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033C" w14:textId="77777777" w:rsidR="00E16C42" w:rsidRDefault="00E16C42" w:rsidP="00E16C42">
      <w:pPr>
        <w:jc w:val="center"/>
        <w:rPr>
          <w:sz w:val="72"/>
          <w:szCs w:val="56"/>
        </w:rPr>
      </w:pPr>
    </w:p>
    <w:p w14:paraId="190B83E4" w14:textId="22C2B94B" w:rsidR="00E16C42" w:rsidRDefault="00E16C42" w:rsidP="00E16C42">
      <w:pPr>
        <w:jc w:val="center"/>
        <w:rPr>
          <w:sz w:val="72"/>
          <w:szCs w:val="56"/>
        </w:rPr>
      </w:pPr>
      <w:r w:rsidRPr="00E16C42">
        <w:rPr>
          <w:noProof/>
        </w:rPr>
        <w:drawing>
          <wp:inline distT="0" distB="0" distL="0" distR="0" wp14:anchorId="0D174580" wp14:editId="3BAE26B9">
            <wp:extent cx="4262755" cy="1296035"/>
            <wp:effectExtent l="0" t="0" r="4445" b="0"/>
            <wp:docPr id="1139345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974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62755" cy="1296035"/>
                    </a:xfrm>
                    <a:prstGeom prst="rect">
                      <a:avLst/>
                    </a:prstGeom>
                  </pic:spPr>
                </pic:pic>
              </a:graphicData>
            </a:graphic>
          </wp:inline>
        </w:drawing>
      </w:r>
    </w:p>
    <w:p w14:paraId="20B4FEA6" w14:textId="77777777" w:rsidR="00E16C42" w:rsidRDefault="00E16C42" w:rsidP="00E16C42">
      <w:pPr>
        <w:spacing w:line="240" w:lineRule="auto"/>
        <w:jc w:val="center"/>
        <w:rPr>
          <w:sz w:val="72"/>
          <w:szCs w:val="56"/>
        </w:rPr>
      </w:pPr>
    </w:p>
    <w:p w14:paraId="507B8580" w14:textId="77777777" w:rsidR="00E16C42" w:rsidRDefault="00E16C42" w:rsidP="00E16C42">
      <w:pPr>
        <w:spacing w:line="240" w:lineRule="auto"/>
        <w:jc w:val="center"/>
        <w:rPr>
          <w:sz w:val="72"/>
          <w:szCs w:val="56"/>
        </w:rPr>
      </w:pPr>
    </w:p>
    <w:p w14:paraId="34B11B1D" w14:textId="05A61B8C" w:rsidR="00D20B9D" w:rsidRDefault="00E16C42" w:rsidP="00E16C42">
      <w:pPr>
        <w:spacing w:line="240" w:lineRule="auto"/>
        <w:jc w:val="center"/>
        <w:rPr>
          <w:sz w:val="72"/>
          <w:szCs w:val="56"/>
        </w:rPr>
      </w:pPr>
      <w:r w:rsidRPr="00E16C42">
        <w:rPr>
          <w:sz w:val="72"/>
          <w:szCs w:val="56"/>
        </w:rPr>
        <w:t>PROYECTO DIGITAL TWIN</w:t>
      </w:r>
    </w:p>
    <w:p w14:paraId="57162008" w14:textId="3D221DB7" w:rsidR="00E16C42" w:rsidRDefault="00E16C42" w:rsidP="00E16C42">
      <w:pPr>
        <w:pStyle w:val="Subttulo"/>
        <w:jc w:val="center"/>
        <w:rPr>
          <w:sz w:val="32"/>
          <w:szCs w:val="32"/>
        </w:rPr>
      </w:pPr>
      <w:r w:rsidRPr="00E16C42">
        <w:rPr>
          <w:sz w:val="32"/>
          <w:szCs w:val="32"/>
        </w:rPr>
        <w:t>Informática Industrial Avanzada</w:t>
      </w:r>
    </w:p>
    <w:p w14:paraId="35B934B2" w14:textId="77777777" w:rsidR="00E16C42" w:rsidRDefault="00E16C42" w:rsidP="00E16C42"/>
    <w:p w14:paraId="08B57080" w14:textId="77777777" w:rsidR="00E16C42" w:rsidRDefault="00E16C42" w:rsidP="00E16C42"/>
    <w:p w14:paraId="0C5D4978" w14:textId="77777777" w:rsidR="00E16C42" w:rsidRDefault="00E16C42" w:rsidP="00E16C42"/>
    <w:p w14:paraId="0E4F8858" w14:textId="77777777" w:rsidR="00E16C42" w:rsidRDefault="00E16C42" w:rsidP="00E16C42"/>
    <w:p w14:paraId="5777897A" w14:textId="77777777" w:rsidR="00E16C42" w:rsidRDefault="00E16C42" w:rsidP="00E16C42"/>
    <w:p w14:paraId="37A0DF9F" w14:textId="77777777" w:rsidR="00E16C42" w:rsidRDefault="00E16C42" w:rsidP="00E16C42"/>
    <w:p w14:paraId="511496DD" w14:textId="70D71DF0" w:rsidR="00E16C42" w:rsidRDefault="00E16C42" w:rsidP="00E16C42">
      <w:pPr>
        <w:jc w:val="right"/>
      </w:pPr>
      <w:r>
        <w:t>Jolehisy Acevedo Medina</w:t>
      </w:r>
    </w:p>
    <w:p w14:paraId="4BF298AE" w14:textId="3937A1A7" w:rsidR="00E16C42" w:rsidRDefault="00E16C42" w:rsidP="00E16C42">
      <w:pPr>
        <w:jc w:val="right"/>
      </w:pPr>
      <w:r>
        <w:t>18/030/2026</w:t>
      </w:r>
    </w:p>
    <w:p w14:paraId="345F7964" w14:textId="087596F5" w:rsidR="00E16C42" w:rsidRDefault="00E16C42" w:rsidP="00E16C42">
      <w:pPr>
        <w:jc w:val="right"/>
      </w:pPr>
      <w:r>
        <w:t>Máster en Ingeniería Industrial</w:t>
      </w:r>
    </w:p>
    <w:p w14:paraId="3CCEEF21" w14:textId="57A1758E" w:rsidR="00E16C42" w:rsidRDefault="00E16C42" w:rsidP="00AF47AE">
      <w:pPr>
        <w:jc w:val="right"/>
      </w:pPr>
      <w:r>
        <w:t>Universidad de La Lagun</w:t>
      </w:r>
      <w:r w:rsidR="00AF47AE">
        <w:t>a</w:t>
      </w:r>
    </w:p>
    <w:sdt>
      <w:sdtPr>
        <w:rPr>
          <w:rFonts w:ascii="Times New Roman" w:eastAsiaTheme="minorHAnsi" w:hAnsi="Times New Roman" w:cs="Times New Roman"/>
          <w:color w:val="auto"/>
          <w:sz w:val="24"/>
          <w:szCs w:val="22"/>
          <w:lang w:eastAsia="en-US"/>
        </w:rPr>
        <w:id w:val="1852529472"/>
        <w:docPartObj>
          <w:docPartGallery w:val="Table of Contents"/>
          <w:docPartUnique/>
        </w:docPartObj>
      </w:sdtPr>
      <w:sdtEndPr>
        <w:rPr>
          <w:b/>
          <w:bCs/>
        </w:rPr>
      </w:sdtEndPr>
      <w:sdtContent>
        <w:p w14:paraId="0087FB0C" w14:textId="31546377" w:rsidR="005B17AA" w:rsidRPr="005B17AA" w:rsidRDefault="005B17AA">
          <w:pPr>
            <w:pStyle w:val="TtuloTDC"/>
            <w:rPr>
              <w:b/>
              <w:bCs/>
              <w:i/>
              <w:iCs/>
              <w:color w:val="000000" w:themeColor="text1"/>
              <w:sz w:val="52"/>
              <w:szCs w:val="52"/>
            </w:rPr>
          </w:pPr>
          <w:r w:rsidRPr="005B17AA">
            <w:rPr>
              <w:b/>
              <w:bCs/>
              <w:i/>
              <w:iCs/>
              <w:color w:val="000000" w:themeColor="text1"/>
              <w:sz w:val="52"/>
              <w:szCs w:val="52"/>
            </w:rPr>
            <w:t>ÍNDICE</w:t>
          </w:r>
        </w:p>
        <w:p w14:paraId="7BB6A4B7" w14:textId="16F7C624" w:rsidR="005B17AA" w:rsidRDefault="005B17AA">
          <w:r>
            <w:fldChar w:fldCharType="begin"/>
          </w:r>
          <w:r>
            <w:instrText xml:space="preserve"> TOC \o "1-3" \h \z \u </w:instrText>
          </w:r>
          <w:r>
            <w:fldChar w:fldCharType="separate"/>
          </w:r>
          <w:r>
            <w:rPr>
              <w:b/>
              <w:bCs/>
              <w:noProof/>
            </w:rPr>
            <w:t>No se encontraron entradas de tabla de contenido.</w:t>
          </w:r>
          <w:r>
            <w:rPr>
              <w:b/>
              <w:bCs/>
            </w:rPr>
            <w:fldChar w:fldCharType="end"/>
          </w:r>
        </w:p>
      </w:sdtContent>
    </w:sdt>
    <w:p w14:paraId="1087FD3E" w14:textId="5E0466F8" w:rsidR="00E16C42" w:rsidRDefault="005B17AA" w:rsidP="00E16C42">
      <w:r>
        <w:br w:type="page"/>
      </w:r>
    </w:p>
    <w:p w14:paraId="5907BFC6" w14:textId="1A2EACF0" w:rsidR="005B17AA" w:rsidRDefault="005B17AA" w:rsidP="00771761">
      <w:pPr>
        <w:pStyle w:val="Ttulo1"/>
        <w:numPr>
          <w:ilvl w:val="0"/>
          <w:numId w:val="2"/>
        </w:numPr>
        <w:spacing w:afterAutospacing="0"/>
        <w:ind w:left="284" w:hanging="284"/>
      </w:pPr>
      <w:r>
        <w:t>Introducción y Objetivos</w:t>
      </w:r>
    </w:p>
    <w:p w14:paraId="250806DC" w14:textId="77777777" w:rsidR="00AF47AE" w:rsidRPr="00AF47AE" w:rsidRDefault="00AF47AE" w:rsidP="00AF47AE">
      <w:pPr>
        <w:pStyle w:val="NormalWeb"/>
        <w:spacing w:before="0" w:beforeAutospacing="0" w:line="360" w:lineRule="auto"/>
        <w:jc w:val="both"/>
      </w:pPr>
      <w:r w:rsidRPr="00AF47AE">
        <w:t>El presente proyecto tiene como objetivo el diseño, implementación y validación de un sistema de control digital de empuje (FADEC) para un motor de aviación mediante un modelo de turbina de gas comercial (</w:t>
      </w:r>
      <w:r w:rsidRPr="00AF47AE">
        <w:rPr>
          <w:i/>
          <w:iCs/>
        </w:rPr>
        <w:t>Turbofan Engine System</w:t>
      </w:r>
      <w:r w:rsidRPr="00AF47AE">
        <w:t>). El trabajo se ha estructurado para dar respuesta a los requisitos técnicos del programa, evolucionando un modelo termodinámico hacia un "Digital Twin" de alta fidelidad.</w:t>
      </w:r>
    </w:p>
    <w:p w14:paraId="3FFBFA97" w14:textId="77777777" w:rsidR="00AF47AE" w:rsidRPr="00AF47AE" w:rsidRDefault="00AF47AE" w:rsidP="00AF47AE">
      <w:pPr>
        <w:pStyle w:val="NormalWeb"/>
        <w:spacing w:after="0" w:afterAutospacing="0" w:line="360" w:lineRule="auto"/>
        <w:jc w:val="both"/>
      </w:pPr>
      <w:r w:rsidRPr="00AF47AE">
        <w:t>Para cumplir con las directrices del enunciado, el desarrollo se divide en los siguientes bloques:</w:t>
      </w:r>
    </w:p>
    <w:p w14:paraId="40C9566F" w14:textId="77777777" w:rsidR="00AF47AE" w:rsidRPr="00AF47AE" w:rsidRDefault="00AF47AE" w:rsidP="00AF47AE">
      <w:pPr>
        <w:pStyle w:val="NormalWeb"/>
        <w:numPr>
          <w:ilvl w:val="0"/>
          <w:numId w:val="6"/>
        </w:numPr>
        <w:spacing w:line="360" w:lineRule="auto"/>
        <w:jc w:val="both"/>
      </w:pPr>
      <w:r w:rsidRPr="00AF47AE">
        <w:rPr>
          <w:b/>
          <w:bCs/>
        </w:rPr>
        <w:t>Selección y uso de un modelo digital:</w:t>
      </w:r>
      <w:r w:rsidRPr="00AF47AE">
        <w:t xml:space="preserve"> Se ha optado por un modelo de alta fidelidad de una turbina de gas, implementando un actuador de combustible inteligente (</w:t>
      </w:r>
      <w:r w:rsidRPr="00AF47AE">
        <w:rPr>
          <w:i/>
          <w:iCs/>
        </w:rPr>
        <w:t>Throttle</w:t>
      </w:r>
      <w:r w:rsidRPr="00AF47AE">
        <w:t>) gestionado por un controlador PID discreto para mantener el empuje constante.</w:t>
      </w:r>
    </w:p>
    <w:p w14:paraId="0705C987" w14:textId="48066291" w:rsidR="00AF47AE" w:rsidRPr="00AF47AE" w:rsidRDefault="00AF47AE" w:rsidP="00AF47AE">
      <w:pPr>
        <w:pStyle w:val="NormalWeb"/>
        <w:numPr>
          <w:ilvl w:val="0"/>
          <w:numId w:val="6"/>
        </w:numPr>
        <w:spacing w:line="360" w:lineRule="auto"/>
        <w:jc w:val="both"/>
      </w:pPr>
      <w:r w:rsidRPr="00AF47AE">
        <w:rPr>
          <w:b/>
          <w:bCs/>
        </w:rPr>
        <w:t>Realismo mediante sensores y perturbaciones:</w:t>
      </w:r>
      <w:r w:rsidRPr="00AF47AE">
        <w:t xml:space="preserve"> Modificación del modelo base para incluir condiciones reales de operación aeroespacial, tales como el muestreo de datos del sensor mediante un retenedor de orden cero (ZOH) a 100 Hz, la saturación física de la válvula, y un escenario de perturbaciones aerodinámicas</w:t>
      </w:r>
      <w:r>
        <w:t>.</w:t>
      </w:r>
    </w:p>
    <w:p w14:paraId="0410F46C" w14:textId="77777777" w:rsidR="00AF47AE" w:rsidRPr="00AF47AE" w:rsidRDefault="00AF47AE" w:rsidP="00AF47AE">
      <w:pPr>
        <w:pStyle w:val="NormalWeb"/>
        <w:numPr>
          <w:ilvl w:val="0"/>
          <w:numId w:val="6"/>
        </w:numPr>
        <w:spacing w:line="360" w:lineRule="auto"/>
        <w:jc w:val="both"/>
      </w:pPr>
      <w:r w:rsidRPr="00AF47AE">
        <w:rPr>
          <w:b/>
          <w:bCs/>
        </w:rPr>
        <w:t>Subsistema de control enmascarado:</w:t>
      </w:r>
      <w:r w:rsidRPr="00AF47AE">
        <w:t xml:space="preserve"> Diseño de un bloque de control FADEC encapsulado y parametrizado mediante una máscara de Simulink, permitiendo una configuración ágil de las ganancias del PID digital y los tiempos de muestreo sin acceder a la lógica interna.</w:t>
      </w:r>
    </w:p>
    <w:p w14:paraId="197D8570" w14:textId="77777777" w:rsidR="00AF47AE" w:rsidRPr="00AF47AE" w:rsidRDefault="00AF47AE" w:rsidP="00AF47AE">
      <w:pPr>
        <w:pStyle w:val="NormalWeb"/>
        <w:numPr>
          <w:ilvl w:val="0"/>
          <w:numId w:val="6"/>
        </w:numPr>
        <w:spacing w:line="360" w:lineRule="auto"/>
        <w:jc w:val="both"/>
      </w:pPr>
      <w:r w:rsidRPr="00AF47AE">
        <w:rPr>
          <w:b/>
          <w:bCs/>
        </w:rPr>
        <w:t>Generación de código C++ y validación:</w:t>
      </w:r>
      <w:r w:rsidRPr="00AF47AE">
        <w:t xml:space="preserve"> Transformación del algoritmo de control discreto a código C++ integrado, verificando mediante el </w:t>
      </w:r>
      <w:r w:rsidRPr="00AF47AE">
        <w:rPr>
          <w:i/>
          <w:iCs/>
        </w:rPr>
        <w:t>Simulation Data Inspector</w:t>
      </w:r>
      <w:r w:rsidRPr="00AF47AE">
        <w:t xml:space="preserve"> que la respuesta de la señal de control generada es idéntica a la simulación original.</w:t>
      </w:r>
    </w:p>
    <w:p w14:paraId="04FFFB58" w14:textId="62C57994" w:rsidR="00AF47AE" w:rsidRDefault="00AF47AE" w:rsidP="00AF47AE">
      <w:pPr>
        <w:pStyle w:val="NormalWeb"/>
        <w:numPr>
          <w:ilvl w:val="0"/>
          <w:numId w:val="6"/>
        </w:numPr>
        <w:spacing w:line="360" w:lineRule="auto"/>
        <w:jc w:val="both"/>
      </w:pPr>
      <w:r w:rsidRPr="00AF47AE">
        <w:rPr>
          <w:b/>
          <w:bCs/>
        </w:rPr>
        <w:t>Protección del modelo (Digital Twin):</w:t>
      </w:r>
      <w:r w:rsidRPr="00AF47AE">
        <w:t xml:space="preserve"> Configuración del sistema completo (Controlador + Turbina) para su distribución en un formato protegido (</w:t>
      </w:r>
      <w:r w:rsidRPr="00AF47AE">
        <w:rPr>
          <w:rStyle w:val="CdigoHTML"/>
          <w:rFonts w:ascii="Times New Roman" w:eastAsiaTheme="majorEastAsia" w:hAnsi="Times New Roman" w:cs="Times New Roman"/>
          <w:sz w:val="24"/>
          <w:szCs w:val="24"/>
        </w:rPr>
        <w:t>.slxp</w:t>
      </w:r>
      <w:r w:rsidRPr="00AF47AE">
        <w:t>), permitiendo realizar pruebas de rendimiento ante cambios de referencias de vuelo sin exponer la propiedad intelectual del diseño.</w:t>
      </w:r>
    </w:p>
    <w:p w14:paraId="1F6F882D" w14:textId="77777777" w:rsidR="00AF47AE" w:rsidRDefault="00AF47AE" w:rsidP="00AF47AE">
      <w:pPr>
        <w:pStyle w:val="NormalWeb"/>
        <w:keepNext/>
        <w:spacing w:after="0" w:afterAutospacing="0" w:line="360" w:lineRule="auto"/>
        <w:jc w:val="center"/>
      </w:pPr>
      <w:r w:rsidRPr="00AF47AE">
        <w:drawing>
          <wp:inline distT="0" distB="0" distL="0" distR="0" wp14:anchorId="65973D3A" wp14:editId="4CB40ACC">
            <wp:extent cx="5715058" cy="2684974"/>
            <wp:effectExtent l="19050" t="19050" r="19050" b="20320"/>
            <wp:docPr id="14897244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24435" name=""/>
                    <pic:cNvPicPr/>
                  </pic:nvPicPr>
                  <pic:blipFill>
                    <a:blip r:embed="rId9"/>
                    <a:stretch>
                      <a:fillRect/>
                    </a:stretch>
                  </pic:blipFill>
                  <pic:spPr>
                    <a:xfrm>
                      <a:off x="0" y="0"/>
                      <a:ext cx="5722542" cy="2688490"/>
                    </a:xfrm>
                    <a:prstGeom prst="rect">
                      <a:avLst/>
                    </a:prstGeom>
                    <a:ln>
                      <a:solidFill>
                        <a:schemeClr val="tx1"/>
                      </a:solidFill>
                    </a:ln>
                  </pic:spPr>
                </pic:pic>
              </a:graphicData>
            </a:graphic>
          </wp:inline>
        </w:drawing>
      </w:r>
    </w:p>
    <w:p w14:paraId="7539604E" w14:textId="476F72F5" w:rsidR="00AF47AE" w:rsidRPr="00AF47AE" w:rsidRDefault="00AF47AE" w:rsidP="00AF47AE">
      <w:pPr>
        <w:pStyle w:val="Descripcin"/>
        <w:jc w:val="center"/>
      </w:pPr>
      <w:r>
        <w:t xml:space="preserve">Figura </w:t>
      </w:r>
      <w:r>
        <w:fldChar w:fldCharType="begin"/>
      </w:r>
      <w:r>
        <w:instrText xml:space="preserve"> SEQ Figura \* ARABIC </w:instrText>
      </w:r>
      <w:r>
        <w:fldChar w:fldCharType="separate"/>
      </w:r>
      <w:r w:rsidR="00857857">
        <w:rPr>
          <w:noProof/>
        </w:rPr>
        <w:t>1</w:t>
      </w:r>
      <w:r>
        <w:fldChar w:fldCharType="end"/>
      </w:r>
      <w:r>
        <w:t>. Modelo de Turbina elegido</w:t>
      </w:r>
    </w:p>
    <w:p w14:paraId="1C99C492" w14:textId="77777777" w:rsidR="00771761" w:rsidRPr="00771761" w:rsidRDefault="00771761" w:rsidP="00771761">
      <w:pPr>
        <w:pStyle w:val="Ttulo1"/>
        <w:spacing w:afterAutospacing="0"/>
      </w:pPr>
      <w:r w:rsidRPr="00771761">
        <w:t>2. Selección y Adaptación del Modelo Digital</w:t>
      </w:r>
    </w:p>
    <w:p w14:paraId="04DE0A02" w14:textId="1B5843CD" w:rsidR="00515108" w:rsidRPr="00515108" w:rsidRDefault="00515108" w:rsidP="00515108">
      <w:r w:rsidRPr="00515108">
        <w:t xml:space="preserve">Para este proyecto se ha seleccionado el modelo de referencia de la librería </w:t>
      </w:r>
      <w:r w:rsidRPr="00515108">
        <w:rPr>
          <w:i/>
          <w:iCs/>
        </w:rPr>
        <w:t>Aerospace Blockset</w:t>
      </w:r>
      <w:r w:rsidRPr="00515108">
        <w:t xml:space="preserve"> de Simulink (Turbofan Engine System). Este bloque representa la física continua y no lineal de una turbina de gas. Sin embargo, para cumplir con los objetivos de control digital específicos y acercar la simulación a la realidad del hardware de a bordo, se han realizado las siguientes adaptaciones:</w:t>
      </w:r>
    </w:p>
    <w:p w14:paraId="5532929E" w14:textId="0D099A05" w:rsidR="00515108" w:rsidRPr="00515108" w:rsidRDefault="00515108" w:rsidP="00515108">
      <w:pPr>
        <w:numPr>
          <w:ilvl w:val="0"/>
          <w:numId w:val="7"/>
        </w:numPr>
      </w:pPr>
      <w:r w:rsidRPr="00515108">
        <w:rPr>
          <w:b/>
          <w:bCs/>
        </w:rPr>
        <w:t>Discretización y Emulación del Sensor (ADC):</w:t>
      </w:r>
      <w:r w:rsidRPr="00515108">
        <w:t xml:space="preserve"> La turbina real opera en tiempo continuo, pero el ordenador de vuelo (FADEC) procesa la información de forma discreta. Se ha introducido un bloque </w:t>
      </w:r>
      <w:r w:rsidRPr="00515108">
        <w:rPr>
          <w:b/>
          <w:bCs/>
        </w:rPr>
        <w:t>Zero-Order Hold (ZOH)</w:t>
      </w:r>
      <w:r w:rsidRPr="00515108">
        <w:t xml:space="preserve"> en el lazo de realimentación del empuje (</w:t>
      </w:r>
      <w:r w:rsidRPr="00515108">
        <w:rPr>
          <w:i/>
          <w:iCs/>
        </w:rPr>
        <w:t>Thrust</w:t>
      </w:r>
      <w:r w:rsidRPr="00515108">
        <w:t xml:space="preserve">). Este bloque actúa como el conversor analógico-digital del sistema, muestreando la señal física a una frecuencia de 100 Hz ($T_s = 0.01$ s). El controlador PID se ha sincronizado a esta misma frecuencia para evitar la pérdida de datos y crear un sistema de control </w:t>
      </w:r>
      <w:r w:rsidRPr="00515108">
        <w:rPr>
          <w:i/>
          <w:iCs/>
        </w:rPr>
        <w:t>single-rate</w:t>
      </w:r>
      <w:r w:rsidRPr="00515108">
        <w:t>.</w:t>
      </w:r>
    </w:p>
    <w:p w14:paraId="102F9177" w14:textId="415657C3" w:rsidR="00515108" w:rsidRPr="00515108" w:rsidRDefault="00515108" w:rsidP="00515108">
      <w:pPr>
        <w:numPr>
          <w:ilvl w:val="0"/>
          <w:numId w:val="7"/>
        </w:numPr>
      </w:pPr>
      <w:r w:rsidRPr="00515108">
        <w:rPr>
          <w:b/>
          <w:bCs/>
        </w:rPr>
        <w:t>Limitaciones Físicas del Actuador (Saturación y Anti-windup):</w:t>
      </w:r>
      <w:r w:rsidRPr="00515108">
        <w:t xml:space="preserve"> La variable manipulada por el controlador es la posición de la válvula de combustible (</w:t>
      </w:r>
      <w:r w:rsidRPr="00515108">
        <w:rPr>
          <w:i/>
          <w:iCs/>
        </w:rPr>
        <w:t>Throttle position</w:t>
      </w:r>
      <w:r w:rsidRPr="00515108">
        <w:t xml:space="preserve">). Físicamente, esta válvula tiene un recorrido limitado entre el cierre casi total y la apertura máxima. Por ello, se ha configurado la salida del PID Discreto con una saturación estricta entre 0 y 1. Adicionalmente, se ha activado el mecanismo </w:t>
      </w:r>
      <w:r w:rsidRPr="00515108">
        <w:rPr>
          <w:i/>
          <w:iCs/>
        </w:rPr>
        <w:t>Anti-windup</w:t>
      </w:r>
      <w:r w:rsidRPr="00515108">
        <w:t xml:space="preserve"> (método </w:t>
      </w:r>
      <w:r w:rsidRPr="00515108">
        <w:rPr>
          <w:i/>
          <w:iCs/>
        </w:rPr>
        <w:t>clamping</w:t>
      </w:r>
      <w:r w:rsidRPr="00515108">
        <w:t>) para evitar que el término integral se acumule al infinito cuando el actuador alcanza su límite físico, garantizando la estabilidad del sistema frente a grandes errores de consigna.</w:t>
      </w:r>
    </w:p>
    <w:p w14:paraId="16FFA54C" w14:textId="77777777" w:rsidR="00857857" w:rsidRDefault="00857857" w:rsidP="00857857">
      <w:pPr>
        <w:keepNext/>
        <w:spacing w:after="0" w:afterAutospacing="0"/>
        <w:jc w:val="center"/>
      </w:pPr>
      <w:r w:rsidRPr="00857857">
        <w:drawing>
          <wp:inline distT="0" distB="0" distL="0" distR="0" wp14:anchorId="528DC150" wp14:editId="2001D851">
            <wp:extent cx="6762841" cy="2143354"/>
            <wp:effectExtent l="19050" t="19050" r="19050" b="28575"/>
            <wp:docPr id="514994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94691" name=""/>
                    <pic:cNvPicPr/>
                  </pic:nvPicPr>
                  <pic:blipFill>
                    <a:blip r:embed="rId10"/>
                    <a:stretch>
                      <a:fillRect/>
                    </a:stretch>
                  </pic:blipFill>
                  <pic:spPr>
                    <a:xfrm>
                      <a:off x="0" y="0"/>
                      <a:ext cx="6765501" cy="2144197"/>
                    </a:xfrm>
                    <a:prstGeom prst="rect">
                      <a:avLst/>
                    </a:prstGeom>
                    <a:ln>
                      <a:solidFill>
                        <a:schemeClr val="tx1"/>
                      </a:solidFill>
                    </a:ln>
                  </pic:spPr>
                </pic:pic>
              </a:graphicData>
            </a:graphic>
          </wp:inline>
        </w:drawing>
      </w:r>
    </w:p>
    <w:p w14:paraId="50663B27" w14:textId="40399DC4" w:rsidR="00771761" w:rsidRPr="00771761" w:rsidRDefault="00857857" w:rsidP="00857857">
      <w:pPr>
        <w:pStyle w:val="Descripcin"/>
        <w:jc w:val="center"/>
      </w:pPr>
      <w:r>
        <w:t xml:space="preserve">Figura </w:t>
      </w:r>
      <w:r>
        <w:fldChar w:fldCharType="begin"/>
      </w:r>
      <w:r>
        <w:instrText xml:space="preserve"> SEQ Figura \* ARABIC </w:instrText>
      </w:r>
      <w:r>
        <w:fldChar w:fldCharType="separate"/>
      </w:r>
      <w:r>
        <w:rPr>
          <w:noProof/>
        </w:rPr>
        <w:t>2</w:t>
      </w:r>
      <w:r>
        <w:fldChar w:fldCharType="end"/>
      </w:r>
      <w:r>
        <w:t>. Modelo con controlador PID</w:t>
      </w:r>
    </w:p>
    <w:p w14:paraId="1E158A65" w14:textId="77777777" w:rsidR="00866710" w:rsidRPr="00866710" w:rsidRDefault="00866710" w:rsidP="00866710">
      <w:pPr>
        <w:pStyle w:val="Ttulo2"/>
      </w:pPr>
      <w:r w:rsidRPr="00866710">
        <w:t>2.1. Sintonización del Controlador PID Discreto</w:t>
      </w:r>
    </w:p>
    <w:p w14:paraId="3B6B04E8" w14:textId="26C97781" w:rsidR="00866710" w:rsidRPr="00866710" w:rsidRDefault="00866710" w:rsidP="00866710">
      <w:r w:rsidRPr="00866710">
        <w:t xml:space="preserve">El ajuste de las ganancias del controlador se ha realizado priorizando la estabilidad absoluta y la integridad física de la turbina. En la industria aeroespacial, un exceso de inyección de combustible (sobreoscilación u </w:t>
      </w:r>
      <w:r w:rsidRPr="00866710">
        <w:rPr>
          <w:i/>
          <w:iCs/>
        </w:rPr>
        <w:t>overshoot</w:t>
      </w:r>
      <w:r w:rsidRPr="00866710">
        <w:t>) provoca picos de temperatura en los gases de escape que pueden fundir los álabes de la turbina. Por tanto, el objetivo principal de la sintonización ha sido obtener una respuesta suave, sin picos, y con un error en régimen permanente nulo.</w:t>
      </w:r>
    </w:p>
    <w:p w14:paraId="13A80550" w14:textId="77777777" w:rsidR="00866710" w:rsidRPr="00866710" w:rsidRDefault="00866710" w:rsidP="00866710">
      <w:r w:rsidRPr="00866710">
        <w:t>La sintonización final responde a las siguientes consideraciones técnicas:</w:t>
      </w:r>
    </w:p>
    <w:p w14:paraId="2FE0770D" w14:textId="15D2A52C" w:rsidR="00866710" w:rsidRPr="00866710" w:rsidRDefault="00866710" w:rsidP="00866710">
      <w:pPr>
        <w:numPr>
          <w:ilvl w:val="0"/>
          <w:numId w:val="8"/>
        </w:numPr>
      </w:pPr>
      <w:r w:rsidRPr="00866710">
        <w:rPr>
          <w:b/>
          <w:bCs/>
        </w:rPr>
        <w:t>Desnivel de Magnitudes (Ganancias P e I):</w:t>
      </w:r>
      <w:r w:rsidRPr="00866710">
        <w:t xml:space="preserve"> Existe una enorme diferencia de escala entre la señal de error (medida en miles de Newtons) y la señal de control (válvula operando en el rango [0, 1]). Por este motivo, las ganancias requeridas son matemáticamente muy pequeñas. Se han establecido valores empíricos de </w:t>
      </w:r>
      <w:r w:rsidRPr="00866710">
        <w:rPr>
          <w:b/>
          <w:bCs/>
        </w:rPr>
        <w:t>P = 0.00</w:t>
      </w:r>
      <w:r w:rsidR="008B3BE6">
        <w:rPr>
          <w:b/>
          <w:bCs/>
        </w:rPr>
        <w:t>1</w:t>
      </w:r>
      <w:r w:rsidRPr="00866710">
        <w:t xml:space="preserve"> e </w:t>
      </w:r>
      <w:r w:rsidRPr="00866710">
        <w:rPr>
          <w:b/>
          <w:bCs/>
        </w:rPr>
        <w:t>I = 0.00</w:t>
      </w:r>
      <w:r w:rsidR="008B3BE6">
        <w:rPr>
          <w:b/>
          <w:bCs/>
        </w:rPr>
        <w:t>5</w:t>
      </w:r>
      <w:r w:rsidRPr="00866710">
        <w:t>, logrando que el sistema alcance</w:t>
      </w:r>
      <w:r w:rsidR="008B3BE6">
        <w:t xml:space="preserve"> la</w:t>
      </w:r>
      <w:r w:rsidRPr="00866710">
        <w:t xml:space="preserve"> de consigna de forma asintótica y segura.</w:t>
      </w:r>
    </w:p>
    <w:p w14:paraId="5143EEE9" w14:textId="107CE0C6" w:rsidR="00866710" w:rsidRPr="00866710" w:rsidRDefault="00866710" w:rsidP="00866710">
      <w:pPr>
        <w:numPr>
          <w:ilvl w:val="0"/>
          <w:numId w:val="8"/>
        </w:numPr>
      </w:pPr>
      <w:r w:rsidRPr="00866710">
        <w:rPr>
          <w:b/>
          <w:bCs/>
        </w:rPr>
        <w:t>Ausencia de Acción Derivativa (D = 0):</w:t>
      </w:r>
      <w:r w:rsidRPr="00866710">
        <w:t xml:space="preserve"> El controlador opera puramente como un regulador PI. En la práctica real, la lectura del empuje mediante sensores de presión conlleva ruido de alta frecuencia por las vibraciones del motor. Implementar una ganancia derivativa amplificaría este ruido, enviando comandos erráticos y de alta frecuencia a la válvula de combustible, lo que provocaría inestabilidad y un desgaste mecánico prematuro (fatiga) en el actuador.</w:t>
      </w:r>
    </w:p>
    <w:p w14:paraId="36313B89" w14:textId="77777777" w:rsidR="00866710" w:rsidRPr="00866710" w:rsidRDefault="00866710" w:rsidP="00866710">
      <w:pPr>
        <w:numPr>
          <w:ilvl w:val="0"/>
          <w:numId w:val="8"/>
        </w:numPr>
      </w:pPr>
      <w:r w:rsidRPr="00866710">
        <w:rPr>
          <w:b/>
          <w:bCs/>
        </w:rPr>
        <w:t>Gestión del esfuerzo de control:</w:t>
      </w:r>
      <w:r w:rsidRPr="00866710">
        <w:t xml:space="preserve"> Gracias a las ganancias seleccionadas y al uso del método </w:t>
      </w:r>
      <w:r w:rsidRPr="00866710">
        <w:rPr>
          <w:i/>
          <w:iCs/>
        </w:rPr>
        <w:t>Anti-windup</w:t>
      </w:r>
      <w:r w:rsidRPr="00866710">
        <w:t xml:space="preserve"> (Clamping), el integrador no se satura durante la fase de aceleración inicial, garantizando que la válvula se abra al máximo permitido solo durante el tiempo estrictamente necesario.</w:t>
      </w:r>
    </w:p>
    <w:p w14:paraId="34481356" w14:textId="77777777" w:rsidR="00076E0D" w:rsidRPr="005B17AA" w:rsidRDefault="00076E0D" w:rsidP="00076E0D"/>
    <w:p w14:paraId="2CD61463" w14:textId="77777777" w:rsidR="005B17AA" w:rsidRPr="005B17AA" w:rsidRDefault="005B17AA" w:rsidP="005B17AA"/>
    <w:p w14:paraId="0BB704AF" w14:textId="77777777" w:rsidR="005B17AA" w:rsidRPr="005B17AA" w:rsidRDefault="005B17AA" w:rsidP="005B17AA"/>
    <w:p w14:paraId="6F9CE200" w14:textId="77777777" w:rsidR="005B17AA" w:rsidRPr="005B17AA" w:rsidRDefault="005B17AA" w:rsidP="005B17AA"/>
    <w:p w14:paraId="1019F67C" w14:textId="77777777" w:rsidR="005B17AA" w:rsidRPr="00E16C42" w:rsidRDefault="005B17AA" w:rsidP="005B17AA"/>
    <w:sectPr w:rsidR="005B17AA" w:rsidRPr="00E16C42" w:rsidSect="005B17AA">
      <w:headerReference w:type="default" r:id="rId11"/>
      <w:pgSz w:w="11906" w:h="16838"/>
      <w:pgMar w:top="1264" w:right="720" w:bottom="720" w:left="720" w:header="142"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E12C" w14:textId="77777777" w:rsidR="00961374" w:rsidRDefault="00961374" w:rsidP="00E16C42">
      <w:pPr>
        <w:spacing w:after="0" w:line="240" w:lineRule="auto"/>
      </w:pPr>
      <w:r>
        <w:separator/>
      </w:r>
    </w:p>
  </w:endnote>
  <w:endnote w:type="continuationSeparator" w:id="0">
    <w:p w14:paraId="05280C68" w14:textId="77777777" w:rsidR="00961374" w:rsidRDefault="00961374" w:rsidP="00E16C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E461B" w14:textId="77777777" w:rsidR="00961374" w:rsidRDefault="00961374" w:rsidP="00E16C42">
      <w:pPr>
        <w:spacing w:after="0" w:line="240" w:lineRule="auto"/>
      </w:pPr>
      <w:r>
        <w:separator/>
      </w:r>
    </w:p>
  </w:footnote>
  <w:footnote w:type="continuationSeparator" w:id="0">
    <w:p w14:paraId="2F1095CE" w14:textId="77777777" w:rsidR="00961374" w:rsidRDefault="00961374" w:rsidP="00E16C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A20D9" w14:textId="3C00B93F" w:rsidR="00E16C42" w:rsidRDefault="00E16C42">
    <w:pPr>
      <w:pStyle w:val="Encabezado"/>
    </w:pPr>
    <w:r w:rsidRPr="00E16C42">
      <w:rPr>
        <w:noProof/>
      </w:rPr>
      <w:drawing>
        <wp:anchor distT="0" distB="0" distL="114300" distR="114300" simplePos="0" relativeHeight="251658240" behindDoc="0" locked="0" layoutInCell="1" allowOverlap="1" wp14:anchorId="02CF68A7" wp14:editId="5ACE01B5">
          <wp:simplePos x="0" y="0"/>
          <wp:positionH relativeFrom="column">
            <wp:posOffset>-198120</wp:posOffset>
          </wp:positionH>
          <wp:positionV relativeFrom="paragraph">
            <wp:posOffset>73025</wp:posOffset>
          </wp:positionV>
          <wp:extent cx="1972945" cy="600075"/>
          <wp:effectExtent l="0" t="0" r="8255" b="9525"/>
          <wp:wrapSquare wrapText="bothSides"/>
          <wp:docPr id="2000231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59748" name=""/>
                  <pic:cNvPicPr/>
                </pic:nvPicPr>
                <pic:blipFill>
                  <a:blip r:embed="rId1">
                    <a:extLst>
                      <a:ext uri="{28A0092B-C50C-407E-A947-70E740481C1C}">
                        <a14:useLocalDpi xmlns:a14="http://schemas.microsoft.com/office/drawing/2010/main" val="0"/>
                      </a:ext>
                    </a:extLst>
                  </a:blip>
                  <a:stretch>
                    <a:fillRect/>
                  </a:stretch>
                </pic:blipFill>
                <pic:spPr>
                  <a:xfrm>
                    <a:off x="0" y="0"/>
                    <a:ext cx="1972945" cy="6000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512A5"/>
    <w:multiLevelType w:val="hybridMultilevel"/>
    <w:tmpl w:val="BFC8FA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D1D0076"/>
    <w:multiLevelType w:val="multilevel"/>
    <w:tmpl w:val="B886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3411B3"/>
    <w:multiLevelType w:val="multilevel"/>
    <w:tmpl w:val="46FE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2E58CB"/>
    <w:multiLevelType w:val="multilevel"/>
    <w:tmpl w:val="7358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AA32C7"/>
    <w:multiLevelType w:val="multilevel"/>
    <w:tmpl w:val="5CFA5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352A7"/>
    <w:multiLevelType w:val="multilevel"/>
    <w:tmpl w:val="3D8A4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39168B"/>
    <w:multiLevelType w:val="multilevel"/>
    <w:tmpl w:val="150E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D1F5D"/>
    <w:multiLevelType w:val="hybridMultilevel"/>
    <w:tmpl w:val="15E8A7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22537509">
    <w:abstractNumId w:val="0"/>
  </w:num>
  <w:num w:numId="2" w16cid:durableId="1072041831">
    <w:abstractNumId w:val="7"/>
  </w:num>
  <w:num w:numId="3" w16cid:durableId="1973558736">
    <w:abstractNumId w:val="4"/>
  </w:num>
  <w:num w:numId="4" w16cid:durableId="1457944001">
    <w:abstractNumId w:val="5"/>
  </w:num>
  <w:num w:numId="5" w16cid:durableId="845945241">
    <w:abstractNumId w:val="1"/>
  </w:num>
  <w:num w:numId="6" w16cid:durableId="1899436957">
    <w:abstractNumId w:val="3"/>
  </w:num>
  <w:num w:numId="7" w16cid:durableId="882524790">
    <w:abstractNumId w:val="6"/>
  </w:num>
  <w:num w:numId="8" w16cid:durableId="338235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C42"/>
    <w:rsid w:val="00076E0D"/>
    <w:rsid w:val="00084FC8"/>
    <w:rsid w:val="00095759"/>
    <w:rsid w:val="00110E79"/>
    <w:rsid w:val="001809EF"/>
    <w:rsid w:val="00190F0D"/>
    <w:rsid w:val="001A78C4"/>
    <w:rsid w:val="0020435F"/>
    <w:rsid w:val="00355C3F"/>
    <w:rsid w:val="003B3CA3"/>
    <w:rsid w:val="003D1FB1"/>
    <w:rsid w:val="00513AD9"/>
    <w:rsid w:val="00515108"/>
    <w:rsid w:val="005A6730"/>
    <w:rsid w:val="005A6DAE"/>
    <w:rsid w:val="005B17AA"/>
    <w:rsid w:val="005C3AFC"/>
    <w:rsid w:val="00771761"/>
    <w:rsid w:val="00780A7A"/>
    <w:rsid w:val="00857857"/>
    <w:rsid w:val="00866710"/>
    <w:rsid w:val="008B3BE6"/>
    <w:rsid w:val="009513E0"/>
    <w:rsid w:val="00954D1C"/>
    <w:rsid w:val="00961374"/>
    <w:rsid w:val="00AF47AE"/>
    <w:rsid w:val="00C56E20"/>
    <w:rsid w:val="00C807DC"/>
    <w:rsid w:val="00CA2ABB"/>
    <w:rsid w:val="00D20B9D"/>
    <w:rsid w:val="00E16C42"/>
    <w:rsid w:val="00E56BA4"/>
    <w:rsid w:val="00E75A29"/>
    <w:rsid w:val="00EE5ACF"/>
    <w:rsid w:val="00F14D04"/>
    <w:rsid w:val="00FA03E0"/>
    <w:rsid w:val="00FC1B48"/>
    <w:rsid w:val="00FC78C1"/>
    <w:rsid w:val="00FF40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C88DF"/>
  <w15:chartTrackingRefBased/>
  <w15:docId w15:val="{3C8E3221-6075-4274-AC60-4AF068D49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4"/>
        <w:szCs w:val="22"/>
        <w:lang w:val="es-ES" w:eastAsia="en-US" w:bidi="ar-SA"/>
      </w:rPr>
    </w:rPrDefault>
    <w:pPrDefault>
      <w:pPr>
        <w:spacing w:after="100" w:afterAutospacing="1"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1FB1"/>
    <w:pPr>
      <w:keepNext/>
      <w:keepLines/>
      <w:spacing w:before="240" w:after="0"/>
      <w:outlineLvl w:val="0"/>
    </w:pPr>
    <w:rPr>
      <w:rFonts w:eastAsiaTheme="majorEastAsia" w:cstheme="majorBidi"/>
      <w:b/>
      <w:color w:val="000000" w:themeColor="text1"/>
      <w:sz w:val="28"/>
      <w:szCs w:val="32"/>
    </w:rPr>
  </w:style>
  <w:style w:type="paragraph" w:styleId="Ttulo2">
    <w:name w:val="heading 2"/>
    <w:basedOn w:val="Normal"/>
    <w:next w:val="Normal"/>
    <w:link w:val="Ttulo2Car"/>
    <w:uiPriority w:val="9"/>
    <w:unhideWhenUsed/>
    <w:qFormat/>
    <w:rsid w:val="003D1FB1"/>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10E79"/>
    <w:pPr>
      <w:keepNext/>
      <w:keepLines/>
      <w:spacing w:before="40" w:after="0"/>
      <w:outlineLvl w:val="2"/>
    </w:pPr>
    <w:rPr>
      <w:rFonts w:eastAsiaTheme="majorEastAsia" w:cstheme="majorBidi"/>
      <w:b/>
      <w:sz w:val="26"/>
    </w:rPr>
  </w:style>
  <w:style w:type="paragraph" w:styleId="Ttulo4">
    <w:name w:val="heading 4"/>
    <w:basedOn w:val="Normal"/>
    <w:next w:val="Normal"/>
    <w:link w:val="Ttulo4Car"/>
    <w:uiPriority w:val="9"/>
    <w:unhideWhenUsed/>
    <w:qFormat/>
    <w:rsid w:val="00E75A29"/>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link w:val="Ttulo5Car"/>
    <w:uiPriority w:val="9"/>
    <w:semiHidden/>
    <w:unhideWhenUsed/>
    <w:qFormat/>
    <w:rsid w:val="00E16C42"/>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E16C42"/>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E16C42"/>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E16C42"/>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E16C42"/>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10E79"/>
    <w:rPr>
      <w:rFonts w:eastAsiaTheme="majorEastAsia" w:cstheme="majorBidi"/>
      <w:b/>
      <w:sz w:val="26"/>
    </w:rPr>
  </w:style>
  <w:style w:type="character" w:customStyle="1" w:styleId="Ttulo1Car">
    <w:name w:val="Título 1 Car"/>
    <w:basedOn w:val="Fuentedeprrafopredeter"/>
    <w:link w:val="Ttulo1"/>
    <w:uiPriority w:val="9"/>
    <w:rsid w:val="003D1FB1"/>
    <w:rPr>
      <w:rFonts w:eastAsiaTheme="majorEastAsia" w:cstheme="majorBidi"/>
      <w:b/>
      <w:color w:val="000000" w:themeColor="text1"/>
      <w:sz w:val="28"/>
      <w:szCs w:val="32"/>
    </w:rPr>
  </w:style>
  <w:style w:type="character" w:customStyle="1" w:styleId="Ttulo2Car">
    <w:name w:val="Título 2 Car"/>
    <w:basedOn w:val="Fuentedeprrafopredeter"/>
    <w:link w:val="Ttulo2"/>
    <w:uiPriority w:val="9"/>
    <w:rsid w:val="003D1FB1"/>
    <w:rPr>
      <w:rFonts w:eastAsiaTheme="majorEastAsia" w:cstheme="majorBidi"/>
      <w:b/>
      <w:sz w:val="26"/>
      <w:szCs w:val="26"/>
    </w:rPr>
  </w:style>
  <w:style w:type="character" w:customStyle="1" w:styleId="Ttulo4Car">
    <w:name w:val="Título 4 Car"/>
    <w:basedOn w:val="Fuentedeprrafopredeter"/>
    <w:link w:val="Ttulo4"/>
    <w:uiPriority w:val="9"/>
    <w:rsid w:val="00E75A29"/>
    <w:rPr>
      <w:rFonts w:eastAsiaTheme="majorEastAsia" w:cstheme="majorBidi"/>
      <w:b/>
      <w:iCs/>
      <w:color w:val="000000" w:themeColor="text1"/>
    </w:rPr>
  </w:style>
  <w:style w:type="character" w:customStyle="1" w:styleId="Ttulo5Car">
    <w:name w:val="Título 5 Car"/>
    <w:basedOn w:val="Fuentedeprrafopredeter"/>
    <w:link w:val="Ttulo5"/>
    <w:uiPriority w:val="9"/>
    <w:semiHidden/>
    <w:rsid w:val="00E16C42"/>
    <w:rPr>
      <w:rFonts w:asciiTheme="minorHAnsi" w:eastAsiaTheme="majorEastAsia" w:hAnsiTheme="minorHAnsi" w:cstheme="majorBidi"/>
      <w:color w:val="2F5496" w:themeColor="accent1" w:themeShade="BF"/>
    </w:rPr>
  </w:style>
  <w:style w:type="character" w:customStyle="1" w:styleId="Ttulo6Car">
    <w:name w:val="Título 6 Car"/>
    <w:basedOn w:val="Fuentedeprrafopredeter"/>
    <w:link w:val="Ttulo6"/>
    <w:uiPriority w:val="9"/>
    <w:semiHidden/>
    <w:rsid w:val="00E16C42"/>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E16C42"/>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E16C42"/>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E16C42"/>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E16C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6C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6C4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6C42"/>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E16C42"/>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16C42"/>
    <w:rPr>
      <w:i/>
      <w:iCs/>
      <w:color w:val="404040" w:themeColor="text1" w:themeTint="BF"/>
    </w:rPr>
  </w:style>
  <w:style w:type="paragraph" w:styleId="Prrafodelista">
    <w:name w:val="List Paragraph"/>
    <w:basedOn w:val="Normal"/>
    <w:uiPriority w:val="34"/>
    <w:qFormat/>
    <w:rsid w:val="00E16C42"/>
    <w:pPr>
      <w:ind w:left="720"/>
      <w:contextualSpacing/>
    </w:pPr>
  </w:style>
  <w:style w:type="character" w:styleId="nfasisintenso">
    <w:name w:val="Intense Emphasis"/>
    <w:basedOn w:val="Fuentedeprrafopredeter"/>
    <w:uiPriority w:val="21"/>
    <w:qFormat/>
    <w:rsid w:val="00E16C42"/>
    <w:rPr>
      <w:i/>
      <w:iCs/>
      <w:color w:val="2F5496" w:themeColor="accent1" w:themeShade="BF"/>
    </w:rPr>
  </w:style>
  <w:style w:type="paragraph" w:styleId="Citadestacada">
    <w:name w:val="Intense Quote"/>
    <w:basedOn w:val="Normal"/>
    <w:next w:val="Normal"/>
    <w:link w:val="CitadestacadaCar"/>
    <w:uiPriority w:val="30"/>
    <w:qFormat/>
    <w:rsid w:val="00E16C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16C42"/>
    <w:rPr>
      <w:i/>
      <w:iCs/>
      <w:color w:val="2F5496" w:themeColor="accent1" w:themeShade="BF"/>
    </w:rPr>
  </w:style>
  <w:style w:type="character" w:styleId="Referenciaintensa">
    <w:name w:val="Intense Reference"/>
    <w:basedOn w:val="Fuentedeprrafopredeter"/>
    <w:uiPriority w:val="32"/>
    <w:qFormat/>
    <w:rsid w:val="00E16C42"/>
    <w:rPr>
      <w:b/>
      <w:bCs/>
      <w:smallCaps/>
      <w:color w:val="2F5496" w:themeColor="accent1" w:themeShade="BF"/>
      <w:spacing w:val="5"/>
    </w:rPr>
  </w:style>
  <w:style w:type="paragraph" w:styleId="Encabezado">
    <w:name w:val="header"/>
    <w:basedOn w:val="Normal"/>
    <w:link w:val="EncabezadoCar"/>
    <w:uiPriority w:val="99"/>
    <w:unhideWhenUsed/>
    <w:rsid w:val="00E16C4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16C42"/>
  </w:style>
  <w:style w:type="paragraph" w:styleId="Piedepgina">
    <w:name w:val="footer"/>
    <w:basedOn w:val="Normal"/>
    <w:link w:val="PiedepginaCar"/>
    <w:uiPriority w:val="99"/>
    <w:unhideWhenUsed/>
    <w:rsid w:val="00E16C4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16C42"/>
  </w:style>
  <w:style w:type="paragraph" w:styleId="TtuloTDC">
    <w:name w:val="TOC Heading"/>
    <w:basedOn w:val="Ttulo1"/>
    <w:next w:val="Normal"/>
    <w:uiPriority w:val="39"/>
    <w:unhideWhenUsed/>
    <w:qFormat/>
    <w:rsid w:val="005B17AA"/>
    <w:pPr>
      <w:spacing w:afterAutospacing="0" w:line="259" w:lineRule="auto"/>
      <w:jc w:val="left"/>
      <w:outlineLvl w:val="9"/>
    </w:pPr>
    <w:rPr>
      <w:rFonts w:asciiTheme="majorHAnsi" w:hAnsiTheme="majorHAnsi"/>
      <w:b w:val="0"/>
      <w:color w:val="2F5496" w:themeColor="accent1" w:themeShade="BF"/>
      <w:sz w:val="32"/>
      <w:lang w:eastAsia="es-ES"/>
    </w:rPr>
  </w:style>
  <w:style w:type="paragraph" w:styleId="NormalWeb">
    <w:name w:val="Normal (Web)"/>
    <w:basedOn w:val="Normal"/>
    <w:uiPriority w:val="99"/>
    <w:unhideWhenUsed/>
    <w:rsid w:val="00AF47AE"/>
    <w:pPr>
      <w:spacing w:before="100" w:beforeAutospacing="1" w:line="240" w:lineRule="auto"/>
      <w:jc w:val="left"/>
    </w:pPr>
    <w:rPr>
      <w:rFonts w:eastAsia="Times New Roman"/>
      <w:szCs w:val="24"/>
      <w:lang w:eastAsia="es-ES"/>
    </w:rPr>
  </w:style>
  <w:style w:type="character" w:styleId="CdigoHTML">
    <w:name w:val="HTML Code"/>
    <w:basedOn w:val="Fuentedeprrafopredeter"/>
    <w:uiPriority w:val="99"/>
    <w:semiHidden/>
    <w:unhideWhenUsed/>
    <w:rsid w:val="00AF47AE"/>
    <w:rPr>
      <w:rFonts w:ascii="Courier New" w:eastAsia="Times New Roman" w:hAnsi="Courier New" w:cs="Courier New"/>
      <w:sz w:val="20"/>
      <w:szCs w:val="20"/>
    </w:rPr>
  </w:style>
  <w:style w:type="paragraph" w:styleId="Descripcin">
    <w:name w:val="caption"/>
    <w:basedOn w:val="Normal"/>
    <w:next w:val="Normal"/>
    <w:uiPriority w:val="35"/>
    <w:unhideWhenUsed/>
    <w:qFormat/>
    <w:rsid w:val="00AF47A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0ECE6-B36A-418B-8295-0E3D62D287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5</Pages>
  <Words>862</Words>
  <Characters>4744</Characters>
  <Application>Microsoft Office Word</Application>
  <DocSecurity>0</DocSecurity>
  <Lines>39</Lines>
  <Paragraphs>11</Paragraphs>
  <ScaleCrop>false</ScaleCrop>
  <HeadingPairs>
    <vt:vector size="4" baseType="variant">
      <vt:variant>
        <vt:lpstr>Título</vt:lpstr>
      </vt:variant>
      <vt:variant>
        <vt:i4>1</vt:i4>
      </vt:variant>
      <vt:variant>
        <vt:lpstr>Títulos</vt:lpstr>
      </vt:variant>
      <vt:variant>
        <vt:i4>3</vt:i4>
      </vt:variant>
    </vt:vector>
  </HeadingPairs>
  <TitlesOfParts>
    <vt:vector size="4" baseType="lpstr">
      <vt:lpstr/>
      <vt:lpstr>Introducción y Objetivos</vt:lpstr>
      <vt:lpstr>2. Selección y Adaptación del Modelo Digital</vt:lpstr>
      <vt:lpstr>    2.1. Sintonización del Controlador PID Discreto</vt:lpstr>
    </vt:vector>
  </TitlesOfParts>
  <Company/>
  <LinksUpToDate>false</LinksUpToDate>
  <CharactersWithSpaces>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Jolehisy Acevedo Medina</dc:creator>
  <cp:keywords/>
  <dc:description/>
  <cp:lastModifiedBy>Jolehisy Acevedo Medina</cp:lastModifiedBy>
  <cp:revision>8</cp:revision>
  <dcterms:created xsi:type="dcterms:W3CDTF">2026-03-13T11:37:00Z</dcterms:created>
  <dcterms:modified xsi:type="dcterms:W3CDTF">2026-03-17T17:29:00Z</dcterms:modified>
</cp:coreProperties>
</file>