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de Arquitetura do Sistema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do Sistema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 da Arquitetura</w:t>
      </w:r>
    </w:p>
    <w:p>
      <w:pPr>
        <w:spacing w:after="150"/>
      </w:pPr>
      <w:r>
        <w:t xml:space="preserve">O Belora é construído como uma aplicação web multi-tenant, com um backend central compartilhado entre todos os tenants e isolamento lógico de dados por tenant_id. A escolha evita a complexidade operacional de bancos de dados separados por cliente, mantendo custo de infraestrutura baixo enquanto o número de tenants ainda é pequeno, com possibilidade de migrar para isolamento físico (schema ou banco por tenant) caso um cliente específico exija isso contratualmente no futuro.</w:t>
      </w:r>
    </w:p>
    <w:p>
      <w:pPr>
        <w:pStyle w:val="Heading2"/>
        <w:spacing w:after="150" w:before="300"/>
      </w:pPr>
      <w:r>
        <w:t xml:space="preserve">1.1 Camadas do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Storefront público (booking page)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página de agendamento do cliente final, servida por tenant (rota por slug)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React/Vite/Tailwind — painel da profissional (agenda, serviços, clientes, configurações)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Node.js/Express — regras de negócio, autenticação, isolamento de tenant, orquestração de notificações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Camada de dados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via Sequelize ORM — banco compartilhado, particionado logicamente por tenant_id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 externos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(Evolution API/WhatsApp Business API), gateway de pagamento (Mercado Pago/Asaas), e-mail transacional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Jobs assíncronos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Fila/worker (ex.: BullMQ + Redis) para envio de lembretes e processamento de webhooks de pagamento</w:t>
            </w:r>
          </w:p>
        </w:tc>
      </w:tr>
    </w:tbl>
    <w:p>
      <w:pPr>
        <w:pStyle w:val="Heading2"/>
        <w:spacing w:after="150" w:before="300"/>
      </w:pPr>
      <w:r>
        <w:t xml:space="preserve">1.2 Diagrama de Alto Nível (textual)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[ Cliente final ]        [ Admin do tenant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Booking Page              Painel Admin</w:t>
      </w:r>
      <w:r>
        <w:rPr>
          <w:rFonts w:ascii="Consolas" w:cs="Consolas" w:eastAsia="Consolas" w:hAnsi="Consolas"/>
          <w:sz w:val="18"/>
          <w:szCs w:val="18"/>
        </w:rPr>
        <w:br/>
        <w:t xml:space="preserve">   (React/Vite)             (React/Vite)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+---------&gt; API (Express) &lt;---------+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Middleware de Tenant + Auth (JWT)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PostgreSQL      Fila (Redis)     Integrações</w:t>
      </w:r>
      <w:r>
        <w:rPr>
          <w:rFonts w:ascii="Consolas" w:cs="Consolas" w:eastAsia="Consolas" w:hAnsi="Consolas"/>
          <w:sz w:val="18"/>
          <w:szCs w:val="18"/>
        </w:rPr>
        <w:br/>
        <w:t xml:space="preserve">  (Sequelize)      (lembretes,     (WhatsApp, Pix,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webhooks)       e-mail)</w:t>
      </w:r>
    </w:p>
    <w:p>
      <w:pPr>
        <w:pStyle w:val="Heading1"/>
        <w:spacing w:after="200" w:before="400"/>
      </w:pPr>
      <w:r>
        <w:t xml:space="preserve">2. Estratégia Multi-tenant</w:t>
      </w:r>
    </w:p>
    <w:p>
      <w:pPr>
        <w:pStyle w:val="Heading2"/>
        <w:spacing w:after="150" w:before="300"/>
      </w:pPr>
      <w:r>
        <w:t xml:space="preserve">2.1 Modelo Escolhido: Banco Compartilhado + tenant_id</w:t>
      </w:r>
    </w:p>
    <w:p>
      <w:pPr>
        <w:spacing w:after="150"/>
      </w:pPr>
      <w:r>
        <w:t xml:space="preserve">Todas as tabelas que armazenam dado de negócio (serviços, clientes, agendamentos, bloqueios) possuem uma coluna tenant_id obrigatória, com chave estrangeira para a tabela tenants. O acesso a qualquer registro passa obrigatoriamente por esse filtro.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tenant: toda requisição autenticada resolve o tenant_id a partir do token JWT (nunca a partir de parâmetro enviado pelo cliente), e injeta esse valor no contexto da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Camada de repositório: nenhuma query ao Sequelize é escrita sem o escopo where: { tenant_id }, reforçado por um wrapper de modelo (scope padrão) e não deixado à disciplina manual de cada rota.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pública (booking page): identifica o tenant pelo slug da URL, mas todas as escritas (criação de agendamento) ainda validam o slug contra o tenant_id internamente antes de qualquer INSERT.</w:t>
      </w:r>
    </w:p>
    <w:p>
      <w:pPr>
        <w:spacing w:after="150"/>
      </w:pPr>
      <w:r>
        <w:t xml:space="preserve">Este ponto é tratado como requisito de segurança crítico (ver Documento de Segurança &amp; LGPD), dado que erros de escopo de tenant já ocorreram em projetos anteriores do autor (ex.: token compartilhado entre sessões admin/cliente no RetroChic e no Dravennx).</w:t>
      </w:r>
    </w:p>
    <w:p>
      <w:pPr>
        <w:pStyle w:val="Heading2"/>
        <w:spacing w:after="150" w:before="300"/>
      </w:pPr>
      <w:r>
        <w:t xml:space="preserve">2.2 Alternativas Consideradas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1400"/>
      </w:tblGrid>
      <w:tr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compartilhado + 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Simples de operar, barato, fácil de fazer deploy único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Exige disciplina rígida de escopo em toda query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Escolhido para v1.0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por tenant (PostgreSQL)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mais forte, ainda 1 banco físico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mais complexas, overhead operacional por tenant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Reavaliar se exigido por contrato/compliance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por tenant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máximo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e complexidade de infraestrutura alto para dezenas de tenants pequenos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 para o estágio atual</w:t>
            </w:r>
          </w:p>
        </w:tc>
      </w:tr>
    </w:tbl>
    <w:p>
      <w:pPr>
        <w:pStyle w:val="Heading1"/>
        <w:spacing w:after="200" w:before="400"/>
      </w:pPr>
      <w:r>
        <w:t xml:space="preserve">3. Stack Tecnológica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Express, Sequelize ORM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(painel + booking page)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19, Vite, Tailwind CSS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(access + refresh token), bcrypt/argon2 para hash de senha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Fila/Jobs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 (lembretes, webhooks assíncronos)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 API (WhatsApp) ou WhatsApp Business API oficial; e-mail transacional (ex.: Resend/SES)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Pago ou Asaas (assinatura recorrente do tenant; sinal de reserva do cliente final, se habilitado)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S3/R2 (fotos de perfil do tenant, logo, imagens de portfólio)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 (erros), logs estruturados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pStyle w:val="Heading1"/>
        <w:spacing w:after="200" w:before="400"/>
      </w:pPr>
      <w:r>
        <w:t xml:space="preserve">4. Estrutura de Pastas</w:t>
      </w:r>
    </w:p>
    <w:p>
      <w:pPr>
        <w:pStyle w:val="Heading2"/>
        <w:spacing w:after="150" w:before="300"/>
      </w:pPr>
      <w:r>
        <w:t xml:space="preserve">4.1 Backend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belora-api/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config/          # config de banco, env, redis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middlewares/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auth.js       # valida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tenant.js     # resolve e injeta tenant_id no contexto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models/           # Sequelize models (todos com tenant_id, exceto tenants)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modules/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tenants/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appointments/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notifications/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billing/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jobs/             # workers BullMQ (lembretes, webhooks)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integrations/     # adaptadores WhatsApp, gateway de pagamento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migrations/</w:t>
      </w:r>
    </w:p>
    <w:p>
      <w:pPr>
        <w:pStyle w:val="Heading2"/>
        <w:spacing w:after="150" w:before="300"/>
      </w:pPr>
      <w:r>
        <w:t xml:space="preserve">4.2 Frontend (Painel Admin)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belora-admin/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Agenda/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Servicos/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Clientes/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Configuracoes/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services/api.js   # client axios/fetch com JWT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2"/>
        <w:spacing w:after="150" w:before="300"/>
      </w:pPr>
      <w:r>
        <w:t xml:space="preserve">4.3 Frontend (Booking Page pública)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belora-booking/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[slug]/       # página pública do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Confirmacao/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App.jsx</w:t>
      </w:r>
    </w:p>
    <w:p>
      <w:pPr>
        <w:pStyle w:val="Heading1"/>
        <w:spacing w:after="200" w:before="400"/>
      </w:pPr>
      <w:r>
        <w:t xml:space="preserve">5. Decisões Arquiteturais Chave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Sessões JWT separadas para admin e cliente final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reincidência do bug de token compartilhado já visto em projetos anteriores; tokens com escopos e segredos distintos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no backend, nunca no frontend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Garante que a fonte da verdade sobre conflito de horário seja única, evitando condição de corrida entre dois clientes agendando o mesmo horário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Lembretes via fila assíncrona, não via requisição síncrona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falha de agendamento caso o provedor de WhatsApp esteja indisponível no momento da criação do agendamento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Adaptador de notificação desacoplado (interface única)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trocar de provedor de WhatsApp (Evolution API → API oficial) sem alterar as regras de negócio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 nunca aceito via input do cliente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derivado do JWT (admin) ou do slug validado (booking page), nunca de um campo de formulário, prevenindo escalonamento entre tenants</w:t>
            </w:r>
          </w:p>
        </w:tc>
      </w:tr>
    </w:tbl>
    <w:p>
      <w:pPr>
        <w:pStyle w:val="Heading1"/>
        <w:spacing w:after="200" w:before="400"/>
      </w:pPr>
      <w:r>
        <w:t xml:space="preserve">6. Ambientes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local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com PostgreSQL e Redis locais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de homologação para validar cada release antes de produção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com dados reais dos tenants, monitorado via Sentry</w:t>
            </w:r>
          </w:p>
        </w:tc>
      </w:tr>
    </w:tbl>
    <w:p>
      <w:pPr>
        <w:pStyle w:val="Heading1"/>
        <w:spacing w:after="200" w:before="400"/>
      </w:pPr>
      <w:r>
        <w:t xml:space="preserve">7. Escalabilidade Futura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Introdução de colaboradores por tenant (múltiplos usuários administrando a mesma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Migração seletiva de tenants grandes para schema dedicado, caso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disponibilidade de horários para tenants com alto volume de acessos simultâneos à booking page.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Arquitetura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2026-08-22T22:13:24.603Z</dcterms:created>
  <dcterms:modified xsi:type="dcterms:W3CDTF">2026-08-22T22:13:24.604Z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