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jc w:val="center"/>
      </w:pPr>
      <w:r>
        <w:rPr>
          <w:b/>
          <w:bCs/>
          <w:color w:val="2E1A47"/>
          <w:sz w:val="72"/>
          <w:szCs w:val="72"/>
        </w:rPr>
        <w:t xml:space="preserve">Belora</w:t>
      </w:r>
    </w:p>
    <w:p>
      <w:pPr>
        <w:spacing w:before="200"/>
        <w:jc w:val="center"/>
      </w:pPr>
      <w:r>
        <w:rPr>
          <w:color w:val="6B6B6B"/>
          <w:sz w:val="28"/>
          <w:szCs w:val="28"/>
        </w:rPr>
        <w:t xml:space="preserve">Plataforma SaaS de Agendamento para Profissionais de Estética</w:t>
      </w:r>
    </w:p>
    <w:p>
      <w:pPr>
        <w:spacing w:before="800"/>
        <w:jc w:val="center"/>
      </w:pPr>
      <w:r>
        <w:rPr>
          <w:b/>
          <w:bCs/>
          <w:sz w:val="32"/>
          <w:szCs w:val="32"/>
        </w:rPr>
        <w:t xml:space="preserve">Plano de Testes</w:t>
      </w:r>
    </w:p>
    <w:p>
      <w:pPr>
        <w:spacing w:before="1600"/>
        <w:jc w:val="center"/>
      </w:pPr>
      <w:r>
        <w:rPr>
          <w:color w:val="6B6B6B"/>
          <w:sz w:val="22"/>
          <w:szCs w:val="22"/>
        </w:rPr>
        <w:t xml:space="preserve">Versão 1.0</w:t>
      </w:r>
    </w:p>
    <w:p>
      <w:pPr>
        <w:jc w:val="center"/>
      </w:pPr>
      <w:r>
        <w:rPr>
          <w:color w:val="6B6B6B"/>
          <w:sz w:val="22"/>
          <w:szCs w:val="22"/>
        </w:rPr>
        <w:t xml:space="preserve">22 de agosto de 2026</w:t>
      </w:r>
    </w:p>
    <w:p>
      <w:r>
        <w:br w:type="page"/>
      </w:r>
    </w:p>
    <w:p>
      <w:pPr>
        <w:pStyle w:val="Heading1"/>
        <w:spacing w:after="200" w:before="400"/>
      </w:pPr>
      <w:r>
        <w:t xml:space="preserve">Controle do Documento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800"/>
      </w:tblGrid>
      <w:tr>
        <w:tc>
          <w:tcPr>
            <w:tcW w:type="dxa" w:w="3000"/>
            <w:shd w:fill="2E1A4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6800"/>
            <w:shd w:fill="2E1A4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Projeto</w:t>
            </w:r>
          </w:p>
        </w:tc>
        <w:tc>
          <w:tcPr>
            <w:tcW w:type="dxa" w:w="6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Belora — Sistema de Agendamento (SaaS)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Documento</w:t>
            </w:r>
          </w:p>
        </w:tc>
        <w:tc>
          <w:tcPr>
            <w:tcW w:type="dxa" w:w="6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Plano de Testes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Versão</w:t>
            </w:r>
          </w:p>
        </w:tc>
        <w:tc>
          <w:tcPr>
            <w:tcW w:type="dxa" w:w="6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Data</w:t>
            </w:r>
          </w:p>
        </w:tc>
        <w:tc>
          <w:tcPr>
            <w:tcW w:type="dxa" w:w="6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22/08/2026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Autor</w:t>
            </w:r>
          </w:p>
        </w:tc>
        <w:tc>
          <w:tcPr>
            <w:tcW w:type="dxa" w:w="6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Jolivan (Desenvolvedor / Fundador)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Status</w:t>
            </w:r>
          </w:p>
        </w:tc>
        <w:tc>
          <w:tcPr>
            <w:tcW w:type="dxa" w:w="6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Rascunho inicial — para validação</w:t>
            </w:r>
          </w:p>
        </w:tc>
      </w:tr>
    </w:tbl>
    <w:p>
      <w:pPr>
        <w:spacing w:after="150"/>
      </w:pPr>
      <w:r>
        <w:t xml:space="preserve"/>
      </w:r>
    </w:p>
    <w:p>
      <w:pPr>
        <w:pStyle w:val="Heading1"/>
        <w:spacing w:after="200" w:before="400"/>
      </w:pPr>
      <w:r>
        <w:t xml:space="preserve">1. Objetivo</w:t>
      </w:r>
    </w:p>
    <w:p>
      <w:pPr>
        <w:spacing w:after="150"/>
      </w:pPr>
      <w:r>
        <w:t xml:space="preserve">Definir a estratégia de testes do Belora, priorizando as regras de negócio mais críticas para um sistema de agendamento multi-tenant: isolamento entre tenants e ausência de conflito de horário na agenda.</w:t>
      </w:r>
    </w:p>
    <w:p>
      <w:pPr>
        <w:pStyle w:val="Heading1"/>
        <w:spacing w:after="200" w:before="400"/>
      </w:pPr>
      <w:r>
        <w:t xml:space="preserve">2. Tipos de Teste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200"/>
        <w:gridCol w:w="4400"/>
      </w:tblGrid>
      <w:tr>
        <w:tc>
          <w:tcPr>
            <w:tcW w:type="dxa" w:w="2000"/>
            <w:shd w:fill="2E1A4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3200"/>
            <w:shd w:fill="2E1A4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Ferramenta sugerida</w:t>
            </w:r>
          </w:p>
        </w:tc>
        <w:tc>
          <w:tcPr>
            <w:tcW w:type="dxa" w:w="4400"/>
            <w:shd w:fill="2E1A4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Escopo</w:t>
            </w:r>
          </w:p>
        </w:tc>
      </w:tr>
      <w:tr>
        <w:tc>
          <w:tcPr>
            <w:tcW w:type="dxa" w:w="2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Unitário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Jest</w:t>
            </w:r>
          </w:p>
        </w:tc>
        <w:tc>
          <w:tcPr>
            <w:tcW w:type="dxa" w:w="4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Regras de negócio isoladas (cálculo de disponibilidade, validação de payload)</w:t>
            </w:r>
          </w:p>
        </w:tc>
      </w:tr>
      <w:tr>
        <w:tc>
          <w:tcPr>
            <w:tcW w:type="dxa" w:w="2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Integração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Jest + Supertest</w:t>
            </w:r>
          </w:p>
        </w:tc>
        <w:tc>
          <w:tcPr>
            <w:tcW w:type="dxa" w:w="4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Rotas da API contra banco de teste (PostgreSQL de teste)</w:t>
            </w:r>
          </w:p>
        </w:tc>
      </w:tr>
      <w:tr>
        <w:tc>
          <w:tcPr>
            <w:tcW w:type="dxa" w:w="2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End-to-end (E2E)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Playwright ou Cypress</w:t>
            </w:r>
          </w:p>
        </w:tc>
        <w:tc>
          <w:tcPr>
            <w:tcW w:type="dxa" w:w="4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Fluxo completo: cliente final agenda → admin visualiza na agenda</w:t>
            </w:r>
          </w:p>
        </w:tc>
      </w:tr>
      <w:tr>
        <w:tc>
          <w:tcPr>
            <w:tcW w:type="dxa" w:w="2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Isolamento de tenant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Jest + Supertest (suíte dedicada)</w:t>
            </w:r>
          </w:p>
        </w:tc>
        <w:tc>
          <w:tcPr>
            <w:tcW w:type="dxa" w:w="4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Garantir que nenhum dado atravessa entre tenants</w:t>
            </w:r>
          </w:p>
        </w:tc>
      </w:tr>
      <w:tr>
        <w:tc>
          <w:tcPr>
            <w:tcW w:type="dxa" w:w="2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Carga (básico)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k6 ou Artillery</w:t>
            </w:r>
          </w:p>
        </w:tc>
        <w:tc>
          <w:tcPr>
            <w:tcW w:type="dxa" w:w="4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Endpoint público de disponibilidade sob picos de acesso</w:t>
            </w:r>
          </w:p>
        </w:tc>
      </w:tr>
    </w:tbl>
    <w:p>
      <w:pPr>
        <w:pStyle w:val="Heading1"/>
        <w:spacing w:after="200" w:before="400"/>
      </w:pPr>
      <w:r>
        <w:t xml:space="preserve">3. Casos de Teste Críticos</w:t>
      </w:r>
    </w:p>
    <w:p>
      <w:pPr>
        <w:pStyle w:val="Heading2"/>
        <w:spacing w:after="150" w:before="300"/>
      </w:pPr>
      <w:r>
        <w:t xml:space="preserve">3.1 Isolamento entre Tenants (prioridade máxima)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200"/>
        <w:gridCol w:w="3200"/>
      </w:tblGrid>
      <w:tr>
        <w:tc>
          <w:tcPr>
            <w:tcW w:type="dxa" w:w="1200"/>
            <w:shd w:fill="2E1A4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5200"/>
            <w:shd w:fill="2E1A4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Cenário</w:t>
            </w:r>
          </w:p>
        </w:tc>
        <w:tc>
          <w:tcPr>
            <w:tcW w:type="dxa" w:w="3200"/>
            <w:shd w:fill="2E1A4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Resultado esperado</w:t>
            </w:r>
          </w:p>
        </w:tc>
      </w:tr>
      <w:tr>
        <w:tc>
          <w:tcPr>
            <w:tcW w:type="dxa" w:w="1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TC-01</w:t>
            </w:r>
          </w:p>
        </w:tc>
        <w:tc>
          <w:tcPr>
            <w:tcW w:type="dxa" w:w="5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Admin do Tenant A tenta buscar um agendamento pelo ID de um agendamento do Tenant B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403 Forbidden ou 404, nunca os dados do recurso</w:t>
            </w:r>
          </w:p>
        </w:tc>
      </w:tr>
      <w:tr>
        <w:tc>
          <w:tcPr>
            <w:tcW w:type="dxa" w:w="1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TC-02</w:t>
            </w:r>
          </w:p>
        </w:tc>
        <w:tc>
          <w:tcPr>
            <w:tcW w:type="dxa" w:w="5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Admin do Tenant A tenta editar um serviço do Tenant B manipulando o ID na URL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403/404 — edição bloqueada</w:t>
            </w:r>
          </w:p>
        </w:tc>
      </w:tr>
      <w:tr>
        <w:tc>
          <w:tcPr>
            <w:tcW w:type="dxa" w:w="1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TC-03</w:t>
            </w:r>
          </w:p>
        </w:tc>
        <w:tc>
          <w:tcPr>
            <w:tcW w:type="dxa" w:w="5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Token JWT de um tenant é usado para acessar rota de outro tenant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Rejeitado pelo middleware de tenant antes de qualquer acesso ao banco</w:t>
            </w:r>
          </w:p>
        </w:tc>
      </w:tr>
      <w:tr>
        <w:tc>
          <w:tcPr>
            <w:tcW w:type="dxa" w:w="1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TC-04</w:t>
            </w:r>
          </w:p>
        </w:tc>
        <w:tc>
          <w:tcPr>
            <w:tcW w:type="dxa" w:w="5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Cliente final faz POST na booking page de um tenant informando serviceId de outro tenant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422 — serviço não pertence ao tenant do slug acessado</w:t>
            </w:r>
          </w:p>
        </w:tc>
      </w:tr>
    </w:tbl>
    <w:p>
      <w:pPr>
        <w:pStyle w:val="Heading2"/>
        <w:spacing w:after="150" w:before="300"/>
      </w:pPr>
      <w:r>
        <w:t xml:space="preserve">3.2 Conflito de Horário na Agenda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200"/>
        <w:gridCol w:w="3200"/>
      </w:tblGrid>
      <w:tr>
        <w:tc>
          <w:tcPr>
            <w:tcW w:type="dxa" w:w="1200"/>
            <w:shd w:fill="2E1A4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5200"/>
            <w:shd w:fill="2E1A4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Cenário</w:t>
            </w:r>
          </w:p>
        </w:tc>
        <w:tc>
          <w:tcPr>
            <w:tcW w:type="dxa" w:w="3200"/>
            <w:shd w:fill="2E1A4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Resultado esperado</w:t>
            </w:r>
          </w:p>
        </w:tc>
      </w:tr>
      <w:tr>
        <w:tc>
          <w:tcPr>
            <w:tcW w:type="dxa" w:w="1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TC-10</w:t>
            </w:r>
          </w:p>
        </w:tc>
        <w:tc>
          <w:tcPr>
            <w:tcW w:type="dxa" w:w="5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Duas requisições simultâneas tentam agendar o mesmo horário para o mesmo tenant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Apenas uma é confirmada; a outra recebe 409 SLOT_UNAVAILABLE</w:t>
            </w:r>
          </w:p>
        </w:tc>
      </w:tr>
      <w:tr>
        <w:tc>
          <w:tcPr>
            <w:tcW w:type="dxa" w:w="1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TC-11</w:t>
            </w:r>
          </w:p>
        </w:tc>
        <w:tc>
          <w:tcPr>
            <w:tcW w:type="dxa" w:w="5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Admin cria um bloqueio manual sobre um horário já agendado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Sistema alerta o conflito e não remove o agendamento existente automaticamente</w:t>
            </w:r>
          </w:p>
        </w:tc>
      </w:tr>
      <w:tr>
        <w:tc>
          <w:tcPr>
            <w:tcW w:type="dxa" w:w="1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TC-12</w:t>
            </w:r>
          </w:p>
        </w:tc>
        <w:tc>
          <w:tcPr>
            <w:tcW w:type="dxa" w:w="5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Cliente tenta agendar um serviço de 60 min em um horário que deixaria apenas 30 min antes do próximo compromisso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Horário não aparece como disponível</w:t>
            </w:r>
          </w:p>
        </w:tc>
      </w:tr>
      <w:tr>
        <w:tc>
          <w:tcPr>
            <w:tcW w:type="dxa" w:w="1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TC-13</w:t>
            </w:r>
          </w:p>
        </w:tc>
        <w:tc>
          <w:tcPr>
            <w:tcW w:type="dxa" w:w="5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Agendamento é cancelado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Horário volta a aparecer como disponível imediatamente</w:t>
            </w:r>
          </w:p>
        </w:tc>
      </w:tr>
    </w:tbl>
    <w:p>
      <w:pPr>
        <w:pStyle w:val="Heading2"/>
        <w:spacing w:after="150" w:before="300"/>
      </w:pPr>
      <w:r>
        <w:t xml:space="preserve">3.3 Autenticação e Autorização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200"/>
        <w:gridCol w:w="3200"/>
      </w:tblGrid>
      <w:tr>
        <w:tc>
          <w:tcPr>
            <w:tcW w:type="dxa" w:w="1200"/>
            <w:shd w:fill="2E1A4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5200"/>
            <w:shd w:fill="2E1A4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Cenário</w:t>
            </w:r>
          </w:p>
        </w:tc>
        <w:tc>
          <w:tcPr>
            <w:tcW w:type="dxa" w:w="3200"/>
            <w:shd w:fill="2E1A4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Resultado esperado</w:t>
            </w:r>
          </w:p>
        </w:tc>
      </w:tr>
      <w:tr>
        <w:tc>
          <w:tcPr>
            <w:tcW w:type="dxa" w:w="1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TC-20</w:t>
            </w:r>
          </w:p>
        </w:tc>
        <w:tc>
          <w:tcPr>
            <w:tcW w:type="dxa" w:w="5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Login com credenciais inválidas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401, sem detalhar se o e-mail existe (evitar enumeração de contas)</w:t>
            </w:r>
          </w:p>
        </w:tc>
      </w:tr>
      <w:tr>
        <w:tc>
          <w:tcPr>
            <w:tcW w:type="dxa" w:w="1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TC-21</w:t>
            </w:r>
          </w:p>
        </w:tc>
        <w:tc>
          <w:tcPr>
            <w:tcW w:type="dxa" w:w="5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Uso de accessToken expirado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401 — cliente deve usar refreshToken</w:t>
            </w:r>
          </w:p>
        </w:tc>
      </w:tr>
      <w:tr>
        <w:tc>
          <w:tcPr>
            <w:tcW w:type="dxa" w:w="1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TC-22</w:t>
            </w:r>
          </w:p>
        </w:tc>
        <w:tc>
          <w:tcPr>
            <w:tcW w:type="dxa" w:w="5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Uso de refreshToken revogado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401 definitivo, exigindo novo login</w:t>
            </w:r>
          </w:p>
        </w:tc>
      </w:tr>
    </w:tbl>
    <w:p>
      <w:pPr>
        <w:pStyle w:val="Heading2"/>
        <w:spacing w:after="150" w:before="300"/>
      </w:pPr>
      <w:r>
        <w:t xml:space="preserve">3.4 Notificações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200"/>
        <w:gridCol w:w="3200"/>
      </w:tblGrid>
      <w:tr>
        <w:tc>
          <w:tcPr>
            <w:tcW w:type="dxa" w:w="1200"/>
            <w:shd w:fill="2E1A4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5200"/>
            <w:shd w:fill="2E1A4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Cenário</w:t>
            </w:r>
          </w:p>
        </w:tc>
        <w:tc>
          <w:tcPr>
            <w:tcW w:type="dxa" w:w="3200"/>
            <w:shd w:fill="2E1A4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Resultado esperado</w:t>
            </w:r>
          </w:p>
        </w:tc>
      </w:tr>
      <w:tr>
        <w:tc>
          <w:tcPr>
            <w:tcW w:type="dxa" w:w="1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TC-30</w:t>
            </w:r>
          </w:p>
        </w:tc>
        <w:tc>
          <w:tcPr>
            <w:tcW w:type="dxa" w:w="5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Provedor de WhatsApp indisponível no momento do agendamento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Agendamento é confirmado normalmente; lembrete é reenfileirado para nova tentativa</w:t>
            </w:r>
          </w:p>
        </w:tc>
      </w:tr>
      <w:tr>
        <w:tc>
          <w:tcPr>
            <w:tcW w:type="dxa" w:w="1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TC-31</w:t>
            </w:r>
          </w:p>
        </w:tc>
        <w:tc>
          <w:tcPr>
            <w:tcW w:type="dxa" w:w="5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Lembrete de 24h e de 2h antes do horário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Ambos são enviados e registrados em notifications_log</w:t>
            </w:r>
          </w:p>
        </w:tc>
      </w:tr>
    </w:tbl>
    <w:p>
      <w:pPr>
        <w:pStyle w:val="Heading1"/>
        <w:spacing w:after="200" w:before="400"/>
      </w:pPr>
      <w:r>
        <w:t xml:space="preserve">4. Cobertura Mínima Esperada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Regras de cálculo de disponibilidade e conflito de horário: 100% dos cenários de borda cobertos por teste unitário e de integração.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Middleware de isolamento de tenant: 100% de cobertura, por ser o controle de segurança mais crítico do sistema.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Demais módulos (CRUD de serviços, clientes): cobertura mínima de 80% nas regras de negócio, sem exigir cobertura de linha total do projeto.</w:t>
      </w:r>
    </w:p>
    <w:p>
      <w:pPr>
        <w:pStyle w:val="Heading1"/>
        <w:spacing w:after="200" w:before="400"/>
      </w:pPr>
      <w:r>
        <w:t xml:space="preserve">5. Ambiente de Testes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Banco de dados de teste isolado (PostgreSQL em container Docker), resetado antes de cada suíte.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Provedores externos (WhatsApp, gateway de pagamento) mockados em testes automatizados; testes manuais de integração real feitos em ambiente de staging antes de cada release.</w:t>
      </w:r>
    </w:p>
    <w:p>
      <w:pPr>
        <w:pStyle w:val="Heading1"/>
        <w:spacing w:after="200" w:before="400"/>
      </w:pPr>
      <w:r>
        <w:t xml:space="preserve">6. Integração Contínua</w:t>
      </w:r>
    </w:p>
    <w:p>
      <w:pPr>
        <w:spacing w:after="150"/>
      </w:pPr>
      <w:r>
        <w:t xml:space="preserve">Toda alteração enviada via pull request deve rodar automaticamente, via GitHub Actions: lint, testes unitários, testes de integração e a suíte dedicada de isolamento de tenant. Merge para a branch principal é bloqueado caso qualquer uma dessas etapas falhe.</w:t>
      </w:r>
    </w:p>
    <w:p>
      <w:pPr>
        <w:pStyle w:val="Heading1"/>
        <w:spacing w:after="200" w:before="400"/>
      </w:pPr>
      <w:r>
        <w:t xml:space="preserve">7. Critérios de Saída para Release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Todos os testes automatizados passando na pipeline de CI.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Nenhum bug crítico ou de segurança em aberto (especialmente relacionado a isolamento de tenant ou conflito de agenda).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Teste manual exploratório do fluxo completo de agendamento (cliente final) realizado em staging.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6B6B"/>
        <w:sz w:val="16"/>
        <w:szCs w:val="16"/>
      </w:rPr>
      <w:t xml:space="preserve">Página </w:t>
    </w:r>
    <w:r>
      <w:rPr>
        <w:color w:val="6B6B6B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6B6B6B"/>
        <w:sz w:val="16"/>
        <w:szCs w:val="16"/>
      </w:rPr>
      <w:t xml:space="preserve"> de </w:t>
    </w:r>
    <w:r>
      <w:rPr>
        <w:color w:val="6B6B6B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B6B6B"/>
        <w:sz w:val="16"/>
        <w:szCs w:val="16"/>
      </w:rPr>
      <w:t xml:space="preserve">Belora — Plano de Testes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60"/>
      </w:pPr>
    </w:lvl>
    <w:lvl w:ilvl="1" w15:tentative="1">
      <w:start w:val="1"/>
      <w:numFmt w:val="bullet"/>
      <w:lvlText w:val="◦"/>
      <w:lvlJc w:val="left"/>
      <w:pPr>
        <w:ind w:left="9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2026-08-22T22:16:29.228Z</dcterms:created>
  <dcterms:modified xsi:type="dcterms:W3CDTF">2026-08-22T22:16:29.228Z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