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Deploy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1.1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Deploy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guia prático de deploy (DEPLOY.md, na pasta belora-deploy) cobrindo duas rotas concretas: Render+Vercel (gerenciado) e Docker Compose (self-host). Este documento continua sendo a referência conceitual; o DEPLOY.md é o passo a passo executável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Definir o processo de build, integração contínua e implantação do Belora, cobrindo os três componentes do sistema: API (backend), painel administrativo e booking page pública.</w:t>
      </w:r>
    </w:p>
    <w:p>
      <w:pPr>
        <w:pStyle w:val="Heading1"/>
        <w:spacing w:after="200" w:before="400"/>
      </w:pPr>
      <w:r>
        <w:t xml:space="preserve">2. Ambientes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(desenvolvimento)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 diário via Docker Compose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fictícios/seed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 cada release antes de produção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Cópia anonimizada ou dados de teste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real dos tenants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reais — acesso restrito</w:t>
            </w:r>
          </w:p>
        </w:tc>
      </w:tr>
    </w:tbl>
    <w:p>
      <w:pPr>
        <w:pStyle w:val="Heading1"/>
        <w:spacing w:after="200" w:before="400"/>
      </w:pPr>
      <w:r>
        <w:t xml:space="preserve">3. Pipeline de CI/CD (GitHub Actions)</w:t>
      </w:r>
    </w:p>
    <w:p>
      <w:pPr>
        <w:pStyle w:val="Heading2"/>
        <w:spacing w:after="150" w:before="300"/>
      </w:pPr>
      <w:r>
        <w:t xml:space="preserve">3.1 Etapas do Pipeline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on: pull_request, push to main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1. install        → instala dependências (backend e frontends)</w:t>
      </w:r>
      <w:r>
        <w:rPr>
          <w:rFonts w:ascii="Consolas" w:cs="Consolas" w:eastAsia="Consolas" w:hAnsi="Consolas"/>
          <w:sz w:val="18"/>
          <w:szCs w:val="18"/>
        </w:rPr>
        <w:br/>
        <w:t xml:space="preserve">2. lint           → eslint em todos os pacotes</w:t>
      </w:r>
      <w:r>
        <w:rPr>
          <w:rFonts w:ascii="Consolas" w:cs="Consolas" w:eastAsia="Consolas" w:hAnsi="Consolas"/>
          <w:sz w:val="18"/>
          <w:szCs w:val="18"/>
        </w:rPr>
        <w:br/>
        <w:t xml:space="preserve">3. test:unit      → Jest (regras de negócio)</w:t>
      </w:r>
      <w:r>
        <w:rPr>
          <w:rFonts w:ascii="Consolas" w:cs="Consolas" w:eastAsia="Consolas" w:hAnsi="Consolas"/>
          <w:sz w:val="18"/>
          <w:szCs w:val="18"/>
        </w:rPr>
        <w:br/>
        <w:t xml:space="preserve">4. test:integr.   → Jest + Supertest (API + banco de teste)</w:t>
      </w:r>
      <w:r>
        <w:rPr>
          <w:rFonts w:ascii="Consolas" w:cs="Consolas" w:eastAsia="Consolas" w:hAnsi="Consolas"/>
          <w:sz w:val="18"/>
          <w:szCs w:val="18"/>
        </w:rPr>
        <w:br/>
        <w:t xml:space="preserve">5. test:tenant    → suíte dedicada de isolamento de tenant</w:t>
      </w:r>
      <w:r>
        <w:rPr>
          <w:rFonts w:ascii="Consolas" w:cs="Consolas" w:eastAsia="Consolas" w:hAnsi="Consolas"/>
          <w:sz w:val="18"/>
          <w:szCs w:val="18"/>
        </w:rPr>
        <w:br/>
        <w:t xml:space="preserve">6. build          → build de produção dos dois frontends (Vite)</w:t>
      </w:r>
      <w:r>
        <w:rPr>
          <w:rFonts w:ascii="Consolas" w:cs="Consolas" w:eastAsia="Consolas" w:hAnsi="Consolas"/>
          <w:sz w:val="18"/>
          <w:szCs w:val="18"/>
        </w:rPr>
        <w:br/>
        <w:t xml:space="preserve">7. deploy:staging → apenas em push para 'develop'</w:t>
      </w:r>
      <w:r>
        <w:rPr>
          <w:rFonts w:ascii="Consolas" w:cs="Consolas" w:eastAsia="Consolas" w:hAnsi="Consolas"/>
          <w:sz w:val="18"/>
          <w:szCs w:val="18"/>
        </w:rPr>
        <w:br/>
        <w:t xml:space="preserve">8. deploy:prod    → apenas em push para 'main', após aprovação manual</w:t>
      </w:r>
    </w:p>
    <w:p>
      <w:pPr>
        <w:spacing w:after="150"/>
      </w:pPr>
      <w:r>
        <w:t xml:space="preserve">Nenhuma etapa pode ser pulada: falha em lint, testes ou build bloqueia o merge/deploy automaticamente.</w:t>
      </w:r>
    </w:p>
    <w:p>
      <w:pPr>
        <w:pStyle w:val="Heading1"/>
        <w:spacing w:after="200" w:before="400"/>
      </w:pPr>
      <w:r>
        <w:t xml:space="preserve">4. Estratégia de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(API): deploy como serviço containerizado (Docker), com migrations do Sequelize executadas de forma controlada antes de subir a nova versão.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Frontends (painel admin e booking page): build estático via Vite, publicado em CDN/hosting de arquivos estáticos, com cache invalidado a cada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Zero-downtime: novas instâncias da API sobem antes de as antigas serem desligadas (rolling deploy), evitando indisponibilidade da booking page pública durante o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Migrations de banco são sempre aditivas e retrocompatíveis dentro de uma mesma release (nunca remover uma coluna que a versão anterior ainda utiliza), para permitir rollback seguro.</w:t>
      </w:r>
    </w:p>
    <w:p>
      <w:pPr>
        <w:pStyle w:val="Heading1"/>
        <w:spacing w:after="200" w:before="400"/>
      </w:pPr>
      <w:r>
        <w:t xml:space="preserve">5. Variáveis de Ambiente e Segredos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de conexão do PostgreSQL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JWT_SECRET_ADMIN / JWT_SECRET_CLIENT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Segredos distintos para sessões de admin e de cliente final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Conexão da fila de jobs (lembretes, webhooks)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WHATSAPP_PROVIDER_TOKEN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 do provedor de WhatsApp (Evolution API/API oficial)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PAYMENT_GATEWAY_KEY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 do gateway de pagamento (Mercado Pago/Asaas)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SENTRY_DSN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de monitoramento de erros</w:t>
            </w:r>
          </w:p>
        </w:tc>
      </w:tr>
    </w:tbl>
    <w:p>
      <w:pPr>
        <w:spacing w:after="150"/>
      </w:pPr>
      <w:r>
        <w:t xml:space="preserve">Segredos nunca são versionados no repositório; são injetados via GitHub Actions Secrets e variáveis de ambiente do provedor de hospedagem.</w:t>
      </w:r>
    </w:p>
    <w:p>
      <w:pPr>
        <w:pStyle w:val="Heading1"/>
        <w:spacing w:after="200" w:before="400"/>
      </w:pPr>
      <w:r>
        <w:t xml:space="preserve">6. Rollback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deploy gera uma versão identificável (tag/commit hash), permitindo reverter rapidamente para a versão anterior em caso de falha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as migrations são aditivas, o rollback da aplicação não exige rollback imediato de schema — apenas de código.</w:t>
      </w:r>
    </w:p>
    <w:p>
      <w:pPr>
        <w:pStyle w:val="Heading1"/>
        <w:spacing w:after="200" w:before="400"/>
      </w:pPr>
      <w:r>
        <w:t xml:space="preserve">7. Monitoramento Pós-Deploy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 monitorado nos primeiros minutos após cada deploy em produção, com atenção a qualquer pico de erro relacionado a isolamento de tenant ou falha de agendamento.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Checklist de fumaça (smoke test) manual: login do admin, criação de um serviço de teste, agendamento de teste via booking page, cancelamento.</w:t>
      </w:r>
    </w:p>
    <w:p>
      <w:pPr>
        <w:pStyle w:val="Heading1"/>
        <w:spacing w:after="200" w:before="400"/>
      </w:pPr>
      <w:r>
        <w:t xml:space="preserve">8. Cronograma de Releases</w:t>
      </w:r>
    </w:p>
    <w:p>
      <w:pPr>
        <w:spacing w:after="150"/>
      </w:pPr>
      <w:r>
        <w:t xml:space="preserve">Releases seguem cadência incremental: correções críticas podem ser implantadas a qualquer momento (hotfix), enquanto novas funcionalidades seguem um ciclo semanal ou quinzenal de release, validado primeiro em staging.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Plano de Deploy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2026-08-23T00:47:41.694Z</dcterms:created>
  <dcterms:modified xsi:type="dcterms:W3CDTF">2026-08-23T00:47:41.694Z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