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Segurança e Conformidade LGPD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 e Conformidade LGPD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Adicionados controles de CORS restrito e rate limiting nos endpoints públicos (seção 7). Documentado o token de cancelamento/confirmação de presença como controle de autorização sem login (seção 3). Migrations formais citadas como controle de integridade de schema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Este documento define as práticas de segurança da informação e de conformidade com a Lei Geral de Proteção de Dados (LGPD, Lei 13.709/2018) adotadas no Belora, com atenção especial ao isolamento entre tenants e ao tratamento de dados pessoais de clientes finais (titulares de dados).</w:t>
      </w:r>
    </w:p>
    <w:p>
      <w:pPr>
        <w:pStyle w:val="Heading1"/>
        <w:spacing w:after="200" w:before="400"/>
      </w:pPr>
      <w:r>
        <w:t xml:space="preserve">2. Papéis, segundo a LGPD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LGPD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ocupa esse papel no Belora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tenant (profissional/negócio) é controlador dos dados dos próprios clientes finais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(plataforma) atua como operador, tratando os dados em nome de cada tenant, conforme finalidade contratada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Titular de dados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que agenda um procedimento</w:t>
            </w:r>
          </w:p>
        </w:tc>
      </w:tr>
    </w:tbl>
    <w:p>
      <w:pPr>
        <w:spacing w:after="150"/>
      </w:pPr>
      <w:r>
        <w:t xml:space="preserve">Essa distinção deve constar nos Termos de Uso do Belora com cada tenant: a profissional é responsável por obter o consentimento adequado de seus próprios clientes, e a plataforma se compromete a tratar esses dados apenas para viabilizar o serviço de agendamento.</w:t>
      </w:r>
    </w:p>
    <w:p>
      <w:pPr>
        <w:pStyle w:val="Heading1"/>
        <w:spacing w:after="200" w:before="400"/>
      </w:pPr>
      <w:r>
        <w:t xml:space="preserve">3. Isolamento de Dados Entre Tenants</w:t>
      </w:r>
    </w:p>
    <w:p>
      <w:pPr>
        <w:spacing w:after="150"/>
      </w:pPr>
      <w:r>
        <w:t xml:space="preserve">Esta é a principal medida de segurança do sistema, dado o modelo multi-tenant com banco compartilhado (ver Arquitetura, seção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query de leitura/escrita a tabelas de domínio é obrigatoriamente escopada por tenant_id, resolvido a partir do JWT do usuário autenticado — nunca de um parâmetro enviado pelo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automatizados dedicados verificam que um usuário do Tenant A nunca consegue ler, editar ou excluir um recurso do Tenant B, mesmo manipulando IDs diretamente na requisição (ver Plano de Testes, seção sobre testes de isolamento de tenant).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Sessões JWT de admin e de cliente final utilizam segredos e escopos diferentes, evitando o padrão de bug já observado em projetos anteriores (token compartilhado entre painel admin e storefront).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de auditoria registram toda ação sensível de um admin (ex.: exclusão de cliente, exportação de dados), incluindo tenant_id, user_id e timestamp.</w:t>
      </w:r>
    </w:p>
    <w:p>
      <w:pPr>
        <w:pStyle w:val="Heading2"/>
        <w:spacing w:after="150" w:before="300"/>
      </w:pPr>
      <w:r>
        <w:t xml:space="preserve">3.1 Autorização de Ações do Cliente Final sem Login</w:t>
      </w:r>
    </w:p>
    <w:p>
      <w:pPr>
        <w:spacing w:after="150"/>
      </w:pPr>
      <w:r>
        <w:t xml:space="preserve">O cancelamento (RF-34) e a confirmação de presença (RF-35) são executados pelo cliente final sem exigir criação de conta - a autorização usa um token opaco (cancellationToken), gerado aleatoriamente junto com o agendamento e enviado apenas nos links das mensagens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token não é o UUID do próprio agendamento: mesmo que alguém enumere ou adivinhe IDs de agendamentos por outra via, ainda precisaria do token para executar a ação em nome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telas de cancelamento/confirmação nunca executam a ação automaticamente ao carregar a página (requisição GET) — apenas mediante clique explícito num botão (requisição POST). Isso evita que a pré-visualização de link gerada automaticamente pelo WhatsApp (que faz uma requisição GET para montar a prévia) cancele um agendamento sem intenção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token já utilizado para cancelamento não pode ser reaproveitado (o backend verifica o status atual do agendamento antes de aplicar a ação).</w:t>
      </w:r>
    </w:p>
    <w:p>
      <w:pPr>
        <w:pStyle w:val="Heading1"/>
        <w:spacing w:after="200" w:before="400"/>
      </w:pPr>
      <w:r>
        <w:t xml:space="preserve">4. Dados Pessoais Tratados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2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Titular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telefone do cliente final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Identificação e confirmação de agendamento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de pele/saúde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 sensível (potencialmente relacionado à saúde)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Personalização do atendimento pela profissional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e senha do 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no painel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pagamento (assinatura)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 financeiro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 da assinatura SaaS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</w:tr>
    </w:tbl>
    <w:p>
      <w:pPr>
        <w:spacing w:after="150"/>
      </w:pPr>
      <w:r>
        <w:t xml:space="preserve">Observações sobre saúde da pele exigem atenção redobrada por poderem ser interpretadas como dado sensível nos termos do art. 5º, II da LGPD. Recomenda-se que o campo seja de preenchimento livre e opcional pela profissional, e não uma lista estruturada de condições de saúde, reduzindo o escopo de dado sensível coletado.</w:t>
      </w:r>
    </w:p>
    <w:p>
      <w:pPr>
        <w:pStyle w:val="Heading1"/>
        <w:spacing w:after="200" w:before="400"/>
      </w:pPr>
      <w:r>
        <w:t xml:space="preserve">5. Bases Legais de Tratamento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Execução de contrato: dados necessários para viabilizar o agendamento em si (nome, telefone, serviço, horário).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Consentimento: observações adicionais sobre a pele/saúde do cliente, e envio de lembretes/comunicações via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Legítimo interesse: logs de auditoria e prevenção a fraude/abuso na booking page pública.</w:t>
      </w:r>
    </w:p>
    <w:p>
      <w:pPr>
        <w:pStyle w:val="Heading1"/>
        <w:spacing w:after="200" w:before="400"/>
      </w:pPr>
      <w:r>
        <w:t xml:space="preserve">6. Direitos do Titular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Direito</w:t>
            </w:r>
          </w:p>
        </w:tc>
        <w:tc>
          <w:tcPr>
            <w:tcW w:type="dxa" w:w="7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atendido no Belora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pode solicitar à profissional os dados armazenados; profissional pode exportar via painel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Correção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Edição de nome/telefone/observações pelo admin do tenant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Eliminação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do cliente, com anonimização de campos não essenciais ao histórico financeiro/fiscal do tenant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Exportação de dados do cliente em formato estruturado (ex.: CSV/JSON), a pedido do tenant</w:t>
            </w:r>
          </w:p>
        </w:tc>
      </w:tr>
    </w:tbl>
    <w:p>
      <w:pPr>
        <w:pStyle w:val="Heading1"/>
        <w:spacing w:after="200" w:before="400"/>
      </w:pPr>
      <w:r>
        <w:t xml:space="preserve">7. Segurança Técnica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7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Senhas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com bcrypt/argon2; nunca armazenadas em texto plano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obrigatório em todos os ambientes, inclusive staging [depende da hospedagem escolhida - ver Plano de Deploy]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com expiração curta (access token) e renovação via refresh token; revogação possível em caso de comprometimento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restrito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produção, apenas as origens do painel admin e da booking page recebem resposta CORS válida, via ALLOWED_ORIGINS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Endpoints públicos (booking page) limitados a 60 requisições/minuto por IP, mitigando scraping/abuso sem exigir login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administrativa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via TOTP para admins do tenant [Planejado, ainda não implementado - ver README do backend]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para captura de erros; alertas para tentativas repetidas de acesso não autorizado entre tenants [Planejado, ainda não 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diário do banco de dados, com teste periódico de restauração [Depende da hospedagem escolhida - a maioria dos provedores gerenciados de Postgres oferece isso nativamente]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Atualização periódica de dependências (Node, bibliotecas) para mitigar vulnerabilidades conhecidas [Processo manual hoje; considerar Dependabot]</w:t>
            </w:r>
          </w:p>
        </w:tc>
      </w:tr>
    </w:tbl>
    <w:p>
      <w:pPr>
        <w:pStyle w:val="Heading1"/>
        <w:spacing w:after="200" w:before="400"/>
      </w:pPr>
      <w:r>
        <w:t xml:space="preserve">8. Retenção e Eliminação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clientes finais são retidos enquanto o tenant mantiver a conta ativa, salvo solicitação de eliminação pelo titular.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encerrar a conta, o tenant pode solicitar exportação completa dos dados antes da eliminação definitiva, respeitando prazos de guarda fiscal quando aplicável (ex.: histórico de cobrança).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de auditoria e notificações são retidos por prazo limitado (ex.: 12 meses) suficiente para investigação de incidentes, sendo eliminados após esse período.</w:t>
      </w:r>
    </w:p>
    <w:p>
      <w:pPr>
        <w:pStyle w:val="Heading1"/>
        <w:spacing w:after="200" w:before="400"/>
      </w:pPr>
      <w:r>
        <w:t xml:space="preserve">9. Gestão de Incidentes</w:t>
      </w:r>
    </w:p>
    <w:p>
      <w:pPr>
        <w:spacing w:after="150"/>
      </w:pPr>
      <w:r>
        <w:t xml:space="preserve">Em caso de incidente de segurança que envolva dados pessoais (ex.: vazamento entre tenants, acesso indevido), o Belora deve: (1) conter o incidente tecnicamente; (2) avaliar o escopo e os tenants/titulares afetados; (3) comunicar os tenants afetados em prazo razoável; (4) registrar o incidente e as medidas corretivas adotadas, conforme boas práticas alinhadas à LGPD.</w:t>
      </w:r>
    </w:p>
    <w:p>
      <w:pPr>
        <w:pStyle w:val="Heading1"/>
        <w:spacing w:after="200" w:before="400"/>
      </w:pPr>
      <w:r>
        <w:t xml:space="preserve">10. Fornecedores e Transferência de Dados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compartilhado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(Evolution API / WhatsApp Business API)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do cliente, conteúdo da mensagem de lembrete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lembretes e confirmações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de pagamento (Mercado Pago/Asaas)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cobrança do tenant (e do cliente final, se houver sinal de reserva)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 de pagamentos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e-mail transacional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do cliente/admin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confirmações 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nuvem (armazenamento, banco de dados)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dados do sistema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 da aplicação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Segurança &amp; LGPD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2026-08-24T12:32:05.648Z</dcterms:created>
  <dcterms:modified xsi:type="dcterms:W3CDTF">2026-08-24T12:32:05.650Z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