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A15C1F"/>
          <w:sz w:val="22"/>
          <w:szCs w:val="22"/>
        </w:rPr>
        <w:t xml:space="preserve">BLUSÃ OVERSIZED STORE</w:t>
      </w:r>
    </w:p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F4666"/>
          <w:sz w:val="44"/>
          <w:szCs w:val="44"/>
        </w:rPr>
        <w:t xml:space="preserve">Arquitetura</w:t>
      </w:r>
    </w:p>
    <w:p>
      <w:pPr>
        <w:spacing w:after="800"/>
        <w:jc w:val="center"/>
      </w:pPr>
      <w:r>
        <w:rPr>
          <w:rFonts w:ascii="Calibri" w:cs="Calibri" w:eastAsia="Calibri" w:hAnsi="Calibri"/>
          <w:color w:val="2B2B2B"/>
          <w:sz w:val="26"/>
          <w:szCs w:val="26"/>
        </w:rPr>
        <w:t xml:space="preserve">Documento de Arquitetura do Sistema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Documento 2 de 8 — Suíte de Documentação Técnica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Versão 1.0 — Agosto de 2026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sistema adota uma arquitetura cliente-servidor em três camadas: aplicações cliente (loja virtual e painel administrativo) em React/Vite, uma API REST em Node.js/Express organizada por serviços de domínio, e uma camada de dados em PostgreSQL, com Redis para cache e sessão. Integrações externas cobrem pagamentos (Mercado Pago), frete e envio de e-mail transacional.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Figura 1 — Diagrama de componentes da arquitetura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2. Stack Tecnológica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62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Frontend (loja e admin)</w:t>
            </w:r>
          </w:p>
        </w:tc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React 19, Vite, React Router, Context API / Zustand para estado global, Tailwind CSS</w:t>
            </w:r>
          </w:p>
        </w:tc>
      </w:tr>
      <w:tr>
        <w:tc>
          <w:tcPr>
            <w:tcW w:type="dxa" w:w="28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Backend</w:t>
            </w:r>
          </w:p>
        </w:tc>
        <w:tc>
          <w:tcPr>
            <w:tcW w:type="dxa" w:w="6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Node.js 20 LTS, Express, Sequelize ORM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PostgreSQL 16</w:t>
            </w:r>
          </w:p>
        </w:tc>
      </w:tr>
      <w:tr>
        <w:tc>
          <w:tcPr>
            <w:tcW w:type="dxa" w:w="28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Cache / sessão</w:t>
            </w:r>
          </w:p>
        </w:tc>
        <w:tc>
          <w:tcPr>
            <w:tcW w:type="dxa" w:w="6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Redis 7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Autenticação</w:t>
            </w:r>
          </w:p>
        </w:tc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JWT (access token curto + refresh token), bcrypt para hash de senha</w:t>
            </w:r>
          </w:p>
        </w:tc>
      </w:tr>
      <w:tr>
        <w:tc>
          <w:tcPr>
            <w:tcW w:type="dxa" w:w="28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Pagamentos</w:t>
            </w:r>
          </w:p>
        </w:tc>
        <w:tc>
          <w:tcPr>
            <w:tcW w:type="dxa" w:w="6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SDK oficial do Mercado Pago (Checkout Transparente — cartão e Pix)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Armazenamento de imagens</w:t>
            </w:r>
          </w:p>
        </w:tc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Cloudinary ou S3-compatível</w:t>
            </w:r>
          </w:p>
        </w:tc>
      </w:tr>
      <w:tr>
        <w:tc>
          <w:tcPr>
            <w:tcW w:type="dxa" w:w="28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E-mail transacional</w:t>
            </w:r>
          </w:p>
        </w:tc>
        <w:tc>
          <w:tcPr>
            <w:tcW w:type="dxa" w:w="6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Nodemailer + provedor SMTP (ex.: SendGrid, Amazon SES)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Frete</w:t>
            </w:r>
          </w:p>
        </w:tc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API Melhor Envio (ou Correios como alternativa)</w:t>
            </w:r>
          </w:p>
        </w:tc>
      </w:tr>
      <w:tr>
        <w:tc>
          <w:tcPr>
            <w:tcW w:type="dxa" w:w="28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Infraestrutura</w:t>
            </w:r>
          </w:p>
        </w:tc>
        <w:tc>
          <w:tcPr>
            <w:tcW w:type="dxa" w:w="6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Deploy containerizado (Docker), CI/CD via GitHub Actions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3. Organização do Backend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backend segue arquitetura em camadas para isolar regras de negócio de detalhes de transporte HTTP e persistência, facilitando testes unitários e manutenção: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Diretório</w:t>
            </w:r>
          </w:p>
        </w:tc>
        <w:tc>
          <w:tcPr>
            <w:tcW w:type="dxa" w:w="68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routes/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Definição dos endpoints REST e middlewares de validação/autenticação aplicados a cada rota</w:t>
            </w:r>
          </w:p>
        </w:tc>
      </w:tr>
      <w:tr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controllers/</w:t>
            </w:r>
          </w:p>
        </w:tc>
        <w:tc>
          <w:tcPr>
            <w:tcW w:type="dxa" w:w="68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Tradução da requisição HTTP para chamadas aos serviços; formatação da resposta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services/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Regras de negócio: pedidos, pagamentos, estoque, cupons, frete</w:t>
            </w:r>
          </w:p>
        </w:tc>
      </w:tr>
      <w:tr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models/</w:t>
            </w:r>
          </w:p>
        </w:tc>
        <w:tc>
          <w:tcPr>
            <w:tcW w:type="dxa" w:w="68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Modelos Sequelize e definição do schema do banco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integrations/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Clientes de integração externa (Mercado Pago, frete, e-mail)</w:t>
            </w:r>
          </w:p>
        </w:tc>
      </w:tr>
      <w:tr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middlewares/</w:t>
            </w:r>
          </w:p>
        </w:tc>
        <w:tc>
          <w:tcPr>
            <w:tcW w:type="dxa" w:w="68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Autenticação JWT, RBAC, rate limiting, tratamento de erros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jobs/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Tarefas agendadas: expiração de reservas de estoque, limpeza de pedidos pendentes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4. Modelo de Dados (visão resumida)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modelo completo, com todos os atributos e relacionamentos, está detalhado no documento "Modelo de Dados" (documento 3). A visão abaixo resume as entidades principais e seus relacionamentos.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Figura 2 — Visão resumida do modelo entidade-relacionamento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5. Fluxo de Status do Pedido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ciclo de vida de um pedido é modelado como uma máquina de estados, garantindo que transições inválidas (por exemplo, marcar como "enviado" um pedido ainda não pago) sejam rejeitadas pela camada de serviço.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Figura 3 — Máquina de estados do pedido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6. Integração com Mercado Pago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B5F8A"/>
          <w:sz w:val="24"/>
          <w:szCs w:val="24"/>
        </w:rPr>
        <w:t xml:space="preserve">6.1 Cartão de Crédito — Checkout Transparente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 frontend carrega o SDK JS do Mercado Pago e tokeniza os dados do cartão diretamente no navegador do cliente — os dados nunca chegam ao backend da loja.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 frontend envia o token gerado, junto com os dados do pedido, ao endpoint POST /payments/card do backend.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 backend cria o pagamento via API do Mercado Pago usando o token recebido, associa o payment_id retornado ao pedido e aguarda a confirmação assíncrona.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 Mercado Pago envia um webhook ao endpoint POST /webhooks/mercadopago informando a mudança de status; o backend consulta a API para confirmar o status oficial antes de atualizar o pedido (nunca confia apenas no payload do webhook).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B5F8A"/>
          <w:sz w:val="24"/>
          <w:szCs w:val="24"/>
        </w:rPr>
        <w:t xml:space="preserve">6.2 Pix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 backend solicita a criação de um pagamento Pix à API do Mercado Pago, recebendo o QR Code (imagem base64) e o código copia-e-cola.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 frontend exibe o QR Code e o código ao cliente, com um cronômetro de expiração de 30 minutos.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 frontend consulta periodicamente (polling a cada 5s) o status do pagamento, e paralelamente o webhook confirma o pagamento assim que compensado.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Ao confirmar o pagamento, o pedido é atualizado para "pago" e o e-mail de confirmação é disparado.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B5F8A"/>
          <w:sz w:val="24"/>
          <w:szCs w:val="24"/>
        </w:rPr>
        <w:t xml:space="preserve">6.3 Segurança da Integração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 assinatura do webhook (x-signature) é validada em toda requisição recebida antes de qualquer processamento.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Credenciais (access token, public key) do Mercado Pago são mantidas em variáveis de ambiente, distintas entre ambiente de sandbox e produção.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Toda atualização de status de pagamento é idempotente: reprocessar o mesmo evento não gera efeitos colaterais duplicados (ex.: e-mail enviado duas vezes).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7. Escalabilidade e Resiliência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Reservas de estoque com expiração automática (job agendado) evitam que carrinhos abandonados travem produtos indefinidamente.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Cache em Redis para catálogo de produtos e sessões, reduzindo carga no PostgreSQL em picos de tráfego (ex.: campanhas promocionais).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Falhas em integrações externas (frete, e-mail) são isoladas via circuit breaker simples e fila de reprocessamento, sem bloquear o checkout.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 API é stateless (autenticação via JWT), permitindo escalar horizontalmente múltiplas instâncias atrás de um load balancer.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8. Ambientes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68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Desenvolvimento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Execução local via Docker Compose; credenciais de sandbox do Mercado Pago</w:t>
            </w:r>
          </w:p>
        </w:tc>
      </w:tr>
      <w:tr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Homologação</w:t>
            </w:r>
          </w:p>
        </w:tc>
        <w:tc>
          <w:tcPr>
            <w:tcW w:type="dxa" w:w="68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Ambiente de staging espelhando produção, usado para validar releases e testar o fluxo completo de pagamento em sandbox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Produção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Credenciais de produção do Mercado Pago; monitoramento e logs centralizados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E0" w:sz="4" w:space="4"/>
      </w:pBdr>
      <w:jc w:val="center"/>
    </w:pPr>
    <w:r>
      <w:rPr>
        <w:rFonts w:ascii="Calibri" w:cs="Calibri" w:eastAsia="Calibri" w:hAnsi="Calibri"/>
        <w:color w:val="666666"/>
        <w:sz w:val="16"/>
        <w:szCs w:val="16"/>
      </w:rPr>
      <w:t xml:space="preserve">Blusã Oversized Store — </w:t>
    </w:r>
    <w:r>
      <w:rPr>
        <w:rFonts w:ascii="Calibri" w:cs="Calibri" w:eastAsia="Calibri" w:hAnsi="Calibri"/>
        <w:color w:val="666666"/>
        <w:sz w:val="16"/>
        <w:szCs w:val="16"/>
      </w:rPr>
      <w:t xml:space="preserve">Página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6"/>
        <w:szCs w:val="16"/>
      </w:rPr>
      <w:t xml:space="preserve"> de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Arquitetura — Blusã Oversized Store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e975dda120f8dfca915417f823a1130a12c2ca.png"/><Relationship Id="rId10" Type="http://schemas.openxmlformats.org/officeDocument/2006/relationships/image" Target="media/2c55bf778bf2c308b96cbf4dba7adc33e7c68eb7.png"/><Relationship Id="rId11" Type="http://schemas.openxmlformats.org/officeDocument/2006/relationships/image" Target="media/017b1c88ddefe65063be3de95f591925e1b3b8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2026-08-04T17:38:20.872Z</dcterms:created>
  <dcterms:modified xsi:type="dcterms:W3CDTF">2026-08-04T17:38:20.872Z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