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A15C1F"/>
          <w:sz w:val="22"/>
          <w:szCs w:val="22"/>
        </w:rPr>
        <w:t xml:space="preserve">BLUSÃ OVERSIZED STORE</w:t>
      </w:r>
    </w:p>
    <w:p>
      <w:pPr>
        <w:spacing w:after="200" w:before="200"/>
        <w:jc w:val="center"/>
      </w:pPr>
      <w:r>
        <w:rPr>
          <w:rFonts w:ascii="Calibri" w:cs="Calibri" w:eastAsia="Calibri" w:hAnsi="Calibri"/>
          <w:b/>
          <w:bCs/>
          <w:color w:val="1F4666"/>
          <w:sz w:val="44"/>
          <w:szCs w:val="44"/>
        </w:rPr>
        <w:t xml:space="preserve">Plano de Testes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2B2B2B"/>
          <w:sz w:val="26"/>
          <w:szCs w:val="26"/>
        </w:rPr>
        <w:t xml:space="preserve">Estratégia de Qualidade e Casos de Teste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Documento 5 de 8 — Suíte de Documentação Técnica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0"/>
          <w:szCs w:val="20"/>
        </w:rPr>
        <w:t xml:space="preserve">Versão 1.0 — Agosto de 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1. Objetivo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Definir a estratégia de testes do sistema de vendas online, garantindo que os requisitos funcionais e não funcionais descritos no SRS sejam validados antes de cada release, com atenção especial ao fluxo de pagamento — a área de maior risco financeiro e reputacional do sistema.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2. Níveis de Teste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68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Descrição e Ferramentas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Testes unitários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Cobrem funções puras e regras de negócio isoladas: cálculo de frete, aplicação de cupom, transições de status de pedido, cálculo de totais. Ferramenta: Jest.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Testes de integração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Validam a comunicação entre camadas: controller → serviço → banco de dados, e a integração real (em sandbox) com o Mercado Pago. Ferramenta: Jest + Supertest, banco de teste isolado.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Testes end-to-end (E2E)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Simulam a jornada completa do usuário no navegador: busca de produto, carrinho, checkout com cartão e com Pix, acompanhamento de pedido. Ferramenta: Playwright ou Cypress.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Testes manuais exploratórios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Executados em homologação antes de cada release, focados em usabilidade e casos de borda não cobertos por automação.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Testes de carga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Simulam picos de tráfego (ex.: campanha promocional) para validar os requisitos RNF-01 a RNF-03. Ferramenta: k6.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3. Meta de Cobertura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Cobertura mínima de 80% em linhas para os serviços de domínio (pedidos, pagamentos, estoque, cupons).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100% dos fluxos de pagamento (cartão aprovado, cartão recusado, Pix aprovado, Pix expirado) cobertos por teste de integração com credenciais de sandbox do Mercado Pago.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Todo requisito funcional (RF-XX) do SRS deve ter ao menos um caso de teste rastreável nesta seção.</w:t>
      </w:r>
    </w:p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4. Casos de Teste — Catálogo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400"/>
        <w:gridCol w:w="2200"/>
      </w:tblGrid>
      <w:tr>
        <w:trPr>
          <w:tblHeader/>
        </w:trPr>
        <w:tc>
          <w:tcPr>
            <w:tcW w:type="dxa" w:w="10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CT-01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Listar produtos por categoria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Ao acessar /products?category=blusas, retornar apenas produtos ativos da categoria, paginados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RF-01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CT-02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Filtrar por tamanho indisponível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Produto sem estoque na variação filtrada não deve aparecer nos resultados quando o filtro de tamanho é aplicado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RF-05, RF-06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CT-03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Busca textual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Buscar "moletom" deve retornar produtos cujo nome ou descrição contenha o termo, ignorando maiúsculas/acentos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RF-04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5. Casos de Teste — Carrinho e Checkout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400"/>
        <w:gridCol w:w="2200"/>
      </w:tblGrid>
      <w:tr>
        <w:trPr>
          <w:tblHeader/>
        </w:trPr>
        <w:tc>
          <w:tcPr>
            <w:tcW w:type="dxa" w:w="10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CT-10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Adicionar item com estoque suficiente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Item incluído no carrinho, quantidade correta, subtotal recalculado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RF-13, RF-14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CT-11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Adicionar item acima do estoque disponível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Sistema retorna 409 e não altera o carrinho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RF-15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CT-12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Aplicar cupom expirado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Sistema rejeita com 422 e mensagem explicando o motivo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RF-17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CT-13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Finalizar pedido reserva estoque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Ao criar o pedido, o stock_quantity da variação é decrementado imediatamente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RF-18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CT-14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Pedido Pix não pago expira em 30 min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Job agendado cancela o pedido e libera o estoque reservado após o prazo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RF-19, RN-03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6. Casos de Teste — Pagamento (críticos)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400"/>
        <w:gridCol w:w="2200"/>
      </w:tblGrid>
      <w:tr>
        <w:trPr>
          <w:tblHeader/>
        </w:trPr>
        <w:tc>
          <w:tcPr>
            <w:tcW w:type="dxa" w:w="10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Pagamento com cartão aprovado (sandbox)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Webhook processado, pedido muda para "pago", e-mail de confirmação disparado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RF-20, RF-22, RF-28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CT-21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Pagamento com cartão recusado (sandbox)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Pedido permanece "aguardando_pagamento", cliente recebe motivo da recusa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RF-20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CT-22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Geração de cobrança Pix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QR Code e código copia-e-cola retornados, com expiração de 30 minutos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RF-21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CT-23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Confirmação de pagamento Pix via webhook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Pedido atualizado para "pago" assim que o webhook é validado e o status confirmado na API do Mercado Pago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RF-22, RF-23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CT-24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Webhook com assinatura inválida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Requisição rejeitada com 401, nenhuma alteração no pedido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RNF-08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CT-25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Webhook duplicado (reenvio)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Segundo processamento do mesmo evento não gera efeito colateral duplicado (idempotência)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RNF-12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CT-26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Estorno de pedido cancelado após pagamento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Requisição de estorno enviada ao Mercado Pago; status do pedido muda para "reembolsado"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RF-29, RN-06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7. Casos de Teste — Painel Administrativo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400"/>
        <w:gridCol w:w="2200"/>
      </w:tblGrid>
      <w:tr>
        <w:trPr>
          <w:tblHeader/>
        </w:trPr>
        <w:tc>
          <w:tcPr>
            <w:tcW w:type="dxa" w:w="10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34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CT-30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Ajuste manual de estoque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Saldo da variação atualizado e refletido na loja em até alguns segundos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RF-33</w:t>
            </w:r>
          </w:p>
        </w:tc>
      </w:tr>
      <w:tr>
        <w:tc>
          <w:tcPr>
            <w:tcW w:type="dxa" w:w="10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CT-31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Atualização de status para "enviado" sem código de rastreio</w:t>
            </w:r>
          </w:p>
        </w:tc>
        <w:tc>
          <w:tcPr>
            <w:tcW w:type="dxa" w:w="34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Sistema exige o código de rastreio antes de permitir a transição</w:t>
            </w:r>
          </w:p>
        </w:tc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RF-27</w:t>
            </w:r>
          </w:p>
        </w:tc>
      </w:tr>
      <w:tr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CT-32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Operador tenta acessar relatório financeiro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Acesso negado (403) — relatórios restritos ao perfil administrador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RNF-07</w:t>
            </w:r>
          </w:p>
        </w:tc>
      </w:tr>
    </w:tbl>
    <w:p>
      <w:pPr>
        <w:pStyle w:val="Heading1"/>
        <w:pageBreakBefore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8. Testes Não Funcionais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00"/>
      </w:tblGrid>
      <w:tr>
        <w:trPr>
          <w:tblHeader/>
        </w:trPr>
        <w:tc>
          <w:tcPr>
            <w:tcW w:type="dxa" w:w="22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6800"/>
            <w:shd w:fill="2B5F8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Abordagem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Segurança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Verificação de que senhas nunca aparecem em logs; teste de rate limiting em /auth/login (bloqueio após N tentativas); scan de dependências vulneráveis (npm audit) a cada build.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Desempenho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Teste de carga com k6 simulando 200 usuários simultâneos navegando e finalizando compras; validação do p95 de resposta abaixo de 400ms.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Idempotência de webhook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Envio do mesmo payload de webhook 5 vezes seguidas; verificação de que o pedido é atualizado uma única vez e nenhum e-mail duplicado é enviado.</w:t>
            </w:r>
          </w:p>
        </w:tc>
      </w:tr>
      <w:tr>
        <w:tc>
          <w:tcPr>
            <w:tcW w:type="dxa" w:w="22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Recuperação de falha externa</w:t>
            </w:r>
          </w:p>
        </w:tc>
        <w:tc>
          <w:tcPr>
            <w:tcW w:type="dxa" w:w="6800"/>
            <w:shd w:fill="EFF4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B2B2B"/>
                <w:sz w:val="19"/>
                <w:szCs w:val="19"/>
              </w:rPr>
              <w:t xml:space="preserve">Simulação de indisponibilidade da API de frete; checkout deve permitir prosseguir com frete padrão ou mensagem de erro amigável, sem quebrar a navegação.</w:t>
            </w:r>
          </w:p>
        </w:tc>
      </w:tr>
    </w:tbl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9. Ambiente e Dados de Teste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Testes de integração e E2E executam contra um banco de dados PostgreSQL isolado, recriado a cada execução (seed determinístico).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Pagamentos são testados exclusivamente com credenciais de sandbox do Mercado Pago; cartões de teste fornecidos pela documentação oficial cobrem os cenários de aprovação e recusa.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Dados sensíveis (CPF, e-mail) usados em teste são fictícios, nunca dados reais de clientes.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F4666"/>
          <w:sz w:val="30"/>
          <w:szCs w:val="30"/>
        </w:rPr>
        <w:t xml:space="preserve">10. Critério de Saída para Release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100% dos casos de teste críticos de pagamento (seção 6) aprovados em homologação.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Nenhum bug de severidade alta ou crítica em aberto.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Cobertura de testes automatizados dentro da meta definida na seção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Checklist de regressão manual executado na versão candidata a release.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E0" w:sz="4" w:space="4"/>
      </w:pBd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Blusã Oversized Store — </w:t>
    </w:r>
    <w:r>
      <w:rPr>
        <w:rFonts w:ascii="Calibri" w:cs="Calibri" w:eastAsia="Calibri" w:hAnsi="Calibri"/>
        <w:color w:val="666666"/>
        <w:sz w:val="16"/>
        <w:szCs w:val="16"/>
      </w:rPr>
      <w:t xml:space="preserve">Página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66666"/>
        <w:sz w:val="16"/>
        <w:szCs w:val="16"/>
      </w:rPr>
      <w:t xml:space="preserve"> de </w:t>
    </w:r>
    <w:r>
      <w:rPr>
        <w:rFonts w:ascii="Calibri" w:cs="Calibri" w:eastAsia="Calibri" w:hAnsi="Calibri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66666"/>
        <w:sz w:val="16"/>
        <w:szCs w:val="16"/>
      </w:rPr>
      <w:t xml:space="preserve">Plano de Testes — Blusã Oversized Store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2026-08-04T17:41:03.040Z</dcterms:created>
  <dcterms:modified xsi:type="dcterms:W3CDTF">2026-08-04T17:41:03.043Z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