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A15C1F"/>
          <w:sz w:val="22"/>
          <w:szCs w:val="22"/>
        </w:rPr>
        <w:t xml:space="preserve">BLUSÃ OVERSIZED STORE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4666"/>
          <w:sz w:val="44"/>
          <w:szCs w:val="44"/>
        </w:rPr>
        <w:t xml:space="preserve">Plano de Implantação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2B2B2B"/>
          <w:sz w:val="26"/>
          <w:szCs w:val="26"/>
        </w:rPr>
        <w:t xml:space="preserve">Infraestrutura, Deploy e Operação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Documento 7 de 8 — Suíte de Documentação Técnica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Versão 1.0 —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1. Visão Geral da Infraestrutura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sistema é implantado como containers Docker independentes para frontend (build estático servido via CDN/Nginx), backend (API Node.js) e serviços de apoio (Redis). O banco de dados PostgreSQL é hospedado como serviço gerenciado, para reduzir esforço operacional com backup e alta disponibilidade.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2. Topologia Recomendada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Estratégia de Hospedagem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Frontend (loja e admin)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Build estático (Vite) publicado em CDN (ex.: Vercel, Netlify ou S3 + CloudFront)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Backend (API)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Container Docker em serviço gerenciado (ex.: Railway, Render, ECS/Fargate ou VPS com Docker Compose), atrás de load balancer com HTTPS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PostgreSQL gerenciado (ex.: RDS, Railway Postgres, Supabase) com backup diário automático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Serviço gerenciado ou container dedicado para cache e sessão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Armazenamento de imagens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Cloudinary ou bucket S3-compatível com CDN</w:t>
            </w:r>
          </w:p>
        </w:tc>
      </w:tr>
      <w:tr>
        <w:tc>
          <w:tcPr>
            <w:tcW w:type="dxa" w:w="26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64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Logs centralizados e alerta de erro (ex.: Sentry para exceções, provedor de logs do host)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3. Variáveis de Ambiente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Todas as credenciais e configurações sensíveis residem exclusivamente em variáveis de ambiente, nunca em código-fonte versionado (RNF-17).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6000"/>
            <w:shd w:fill="2B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String de conexão do PostgreSQL</w:t>
            </w:r>
          </w:p>
        </w:tc>
      </w:tr>
      <w:tr>
        <w:tc>
          <w:tcPr>
            <w:tcW w:type="dxa" w:w="3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REDIS_URL</w:t>
            </w:r>
          </w:p>
        </w:tc>
        <w:tc>
          <w:tcPr>
            <w:tcW w:type="dxa" w:w="6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String de conexão do Redis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JWT_SECRET / JWT_REFRESH_SECRET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Chaves de assinatura dos tokens de acesso e refresh</w:t>
            </w:r>
          </w:p>
        </w:tc>
      </w:tr>
      <w:tr>
        <w:tc>
          <w:tcPr>
            <w:tcW w:type="dxa" w:w="3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MERCADOPAGO_ACCESS_TOKEN</w:t>
            </w:r>
          </w:p>
        </w:tc>
        <w:tc>
          <w:tcPr>
            <w:tcW w:type="dxa" w:w="6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Token de acesso da API do Mercado Pago (sandbox ou produção)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MERCADOPAGO_PUBLIC_KEY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Chave pública usada pelo SDK no frontend para tokenização de cartão</w:t>
            </w:r>
          </w:p>
        </w:tc>
      </w:tr>
      <w:tr>
        <w:tc>
          <w:tcPr>
            <w:tcW w:type="dxa" w:w="3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MERCADOPAGO_WEBHOOK_SECRET</w:t>
            </w:r>
          </w:p>
        </w:tc>
        <w:tc>
          <w:tcPr>
            <w:tcW w:type="dxa" w:w="6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Segredo usado para validar a assinatura dos webhooks recebidos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SMTP_HOST / SMTP_USER / SMTP_PASS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Credenciais do provedor de e-mail transacional</w:t>
            </w:r>
          </w:p>
        </w:tc>
      </w:tr>
      <w:tr>
        <w:tc>
          <w:tcPr>
            <w:tcW w:type="dxa" w:w="3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SHIPPING_API_TOKEN</w:t>
            </w:r>
          </w:p>
        </w:tc>
        <w:tc>
          <w:tcPr>
            <w:tcW w:type="dxa" w:w="6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Token da API de frete (ex.: Melhor Envio)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STORAGE_URL / STORAGE_KEY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Credenciais do serviço de armazenamento de imagens</w:t>
            </w:r>
          </w:p>
        </w:tc>
      </w:tr>
      <w:tr>
        <w:tc>
          <w:tcPr>
            <w:tcW w:type="dxa" w:w="3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6000"/>
            <w:shd w:fill="EFF4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URL pública do frontend, usada em links de e-mail (confirmação, redefinição de senha)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4. Pipeline de CI/CD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pipeline sugerido, via GitHub Actions, é acionado a cada push para a branch principal e a cada pull request: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Instalação de dependências e cache de node_modules.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Lint e verificação de tipos.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Execução dos testes unitários e de integração (banco de dados de teste provisionado no próprio job).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Build da aplicação (frontend e 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 pull requests: publicação automática em ambiente de preview/homologação.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 merge para a branch principal: deploy automático em produção, precedido de migrations do banco de dados.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2B5F8A"/>
          <w:sz w:val="24"/>
          <w:szCs w:val="24"/>
        </w:rPr>
        <w:t xml:space="preserve">4.1 Migrations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Alterações de schema são versionadas via migrations do Sequelize, aplicadas automaticamente no pipeline antes de subir a nova versão da API, com estratégia de rollback documentada para cada migration que altera ou remove colunas existentes.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5. Estratégia de Backup e Recuperação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Backup diário automático do PostgreSQL, com retenção mínima de 30 dias.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Teste periódico de restauração de backup em ambiente isolado, validando a integridade dos dados de pedidos e pagamentos.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Plano de contingência: em caso de indisponibilidade do banco principal, o sistema deve permitir failover para uma réplica, conforme suportado pelo provedor gerenciado escolhido.</w:t>
      </w:r>
    </w:p>
    <w:p>
      <w:pPr>
        <w:pStyle w:val="Heading1"/>
        <w:pageBreakBefore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6. Checklist de Go-Live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Credenciais de produção do Mercado Pago configuradas e testadas com uma transação real de baixo valor.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Webhook do Mercado Pago apontando para a URL de produção e validado (assinatura conferida).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Certificado HTTPS válido em todos os domínios (loja, painel, API).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Variáveis de ambiente de produção revisadas e sem valores de sandbox remanescentes.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Backup do banco de dados validado antes do primeiro dia de operação.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Monitoramento de erros (ex.: Sentry) e alertas configurados para a equipe técnica.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Teste completo do fluxo de compra (cartão e Pix) em produção, com estorno do valor de teste.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Política de privacidade e termos de uso publicados no rodapé da loja (requisito LGPD).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666"/>
          <w:sz w:val="30"/>
          <w:szCs w:val="30"/>
        </w:rPr>
        <w:t xml:space="preserve">7. Operação Contínua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Job agendado de expiração de reservas de estoque e cancelamento de pedidos Pix não pagos deve ser monitorado — falhas nesse job podem travar estoque indevidamente.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Revisão periódica de logs de erro de integração com o Mercado Pago e o serviço de frete.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Atualização regular de dependências (especialmente SDKs de pagamento) para manter compatibilidade e segurança.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Blusã Oversized Store — </w:t>
    </w:r>
    <w:r>
      <w:rPr>
        <w:rFonts w:ascii="Calibri" w:cs="Calibri" w:eastAsia="Calibri" w:hAnsi="Calibri"/>
        <w:color w:val="666666"/>
        <w:sz w:val="16"/>
        <w:szCs w:val="16"/>
      </w:rPr>
      <w:t xml:space="preserve">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Plano de Implantação — Blusã Oversized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2026-08-04T17:42:09.337Z</dcterms:created>
  <dcterms:modified xsi:type="dcterms:W3CDTF">2026-08-04T17:42:09.337Z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