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rFonts w:ascii="Calibri" w:cs="Calibri" w:eastAsia="Calibri" w:hAnsi="Calibri"/>
          <w:b/>
          <w:bCs/>
          <w:color w:val="1A1A1A"/>
          <w:sz w:val="56"/>
          <w:szCs w:val="56"/>
        </w:rPr>
        <w:t xml:space="preserve">DRAVENNX</w:t>
      </w:r>
    </w:p>
    <w:p>
      <w:pPr>
        <w:spacing w:before="120"/>
        <w:jc w:val="center"/>
      </w:pPr>
      <w:r>
        <w:rPr>
          <w:rFonts w:ascii="Calibri" w:cs="Calibri" w:eastAsia="Calibri" w:hAnsi="Calibri"/>
          <w:b/>
          <w:bCs/>
          <w:color w:val="00A651"/>
          <w:sz w:val="32"/>
          <w:szCs w:val="32"/>
        </w:rPr>
        <w:t xml:space="preserve">®</w:t>
      </w:r>
    </w:p>
    <w:p>
      <w:pPr>
        <w:spacing w:before="600"/>
        <w:jc w:val="center"/>
      </w:pPr>
      <w:r>
        <w:rPr>
          <w:rFonts w:ascii="Calibri" w:cs="Calibri" w:eastAsia="Calibri" w:hAnsi="Calibri"/>
          <w:b/>
          <w:bCs/>
          <w:color w:val="1A1A1A"/>
          <w:sz w:val="34"/>
          <w:szCs w:val="34"/>
        </w:rPr>
        <w:t xml:space="preserve">DOCUMENTAÇÃO DE MANUTENÇÃO</w:t>
      </w:r>
    </w:p>
    <w:p>
      <w:pPr>
        <w:spacing w:before="120"/>
        <w:jc w:val="center"/>
      </w:pPr>
      <w:r>
        <w:rPr>
          <w:rFonts w:ascii="Calibri" w:cs="Calibri" w:eastAsia="Calibri" w:hAnsi="Calibri"/>
          <w:b/>
          <w:bCs/>
          <w:color w:val="1A1A1A"/>
          <w:sz w:val="34"/>
          <w:szCs w:val="34"/>
        </w:rPr>
        <w:t xml:space="preserve">E PRESTAÇÃO DE SERVIÇO DO SISTEMA</w:t>
      </w:r>
    </w:p>
    <w:p>
      <w:pPr>
        <w:spacing w:before="400"/>
        <w:jc w:val="center"/>
      </w:pPr>
      <w:r>
        <w:rPr>
          <w:rFonts w:ascii="Calibri" w:cs="Calibri" w:eastAsia="Calibri" w:hAnsi="Calibri"/>
          <w:i/>
          <w:iCs/>
          <w:color w:val="6B7280"/>
          <w:sz w:val="22"/>
          <w:szCs w:val="22"/>
        </w:rPr>
        <w:t xml:space="preserve">Loja virtual, painel administrativo e backend — Dravennx</w:t>
      </w:r>
    </w:p>
    <w:p>
      <w:pPr>
        <w:spacing w:before="2000"/>
        <w:jc w:val="center"/>
      </w:pPr>
      <w:r>
        <w:rPr>
          <w:rFonts w:ascii="Calibri" w:cs="Calibri" w:eastAsia="Calibri" w:hAnsi="Calibri"/>
          <w:color w:val="6B7280"/>
          <w:sz w:val="20"/>
          <w:szCs w:val="20"/>
        </w:rPr>
        <w:t xml:space="preserve">Documento de referência técnico-comercial</w:t>
      </w:r>
    </w:p>
    <w:p>
      <w:pPr>
        <w:spacing w:before="100"/>
        <w:jc w:val="center"/>
      </w:pPr>
      <w:r>
        <w:rPr>
          <w:rFonts w:ascii="Calibri" w:cs="Calibri" w:eastAsia="Calibri" w:hAnsi="Calibri"/>
          <w:color w:val="6B7280"/>
          <w:sz w:val="20"/>
          <w:szCs w:val="20"/>
        </w:rPr>
        <w:t xml:space="preserve">Versão 1.0 — agosto de 2026</w:t>
      </w:r>
    </w:p>
    <w:p>
      <w:pPr>
        <w:spacing w:before="100"/>
        <w:jc w:val="center"/>
      </w:pPr>
      <w:r>
        <w:rPr>
          <w:rFonts w:ascii="Calibri" w:cs="Calibri" w:eastAsia="Calibri" w:hAnsi="Calibri"/>
          <w:color w:val="6B7280"/>
          <w:sz w:val="20"/>
          <w:szCs w:val="20"/>
        </w:rPr>
        <w:t xml:space="preserve">Desenvolvido e mantido por: Jolivan Abreu</w:t>
      </w:r>
    </w:p>
    <w:p>
      <w:r>
        <w:br w:type="page"/>
      </w:r>
    </w:p>
    <w:p>
      <w:pPr>
        <w:sectPr>
          <w:pgSz w:w="11906" w:h="16838" w:orient="portrait"/>
          <w:pgMar w:top="1440" w:right="1440" w:bottom="1440" w:left="1440" w:header="708" w:footer="708" w:gutter="0"/>
          <w:pgNumType/>
          <w:docGrid w:linePitch="360"/>
        </w:sectPr>
      </w:pPr>
    </w:p>
    <w:p>
      <w:pPr>
        <w:pStyle w:val="Heading1"/>
        <w:pBdr>
          <w:bottom w:val="single" w:color="1A1A1A" w:sz="6" w:space="4"/>
        </w:pBdr>
        <w:spacing w:after="200" w:before="480"/>
      </w:pPr>
      <w:r>
        <w:rPr>
          <w:rFonts w:ascii="Calibri" w:cs="Calibri" w:eastAsia="Calibri" w:hAnsi="Calibri"/>
          <w:b/>
          <w:bCs/>
          <w:color w:val="1A1A1A"/>
          <w:sz w:val="28"/>
          <w:szCs w:val="28"/>
        </w:rPr>
        <w:t xml:space="preserve">Aviso importante</w:t>
      </w:r>
    </w:p>
    <w:p>
      <w:pPr>
        <w:pBdr>
          <w:left w:val="single" w:color="00A651" w:sz="18" w:space="8"/>
        </w:pBdr>
        <w:shd w:fill="F4F4F6" w:val="clear"/>
        <w:spacing w:after="200" w:before="120" w:line="264"/>
        <w:ind w:left="200"/>
      </w:pPr>
      <w:r>
        <w:rPr>
          <w:rFonts w:ascii="Calibri" w:cs="Calibri" w:eastAsia="Calibri" w:hAnsi="Calibri"/>
          <w:i/>
          <w:iCs/>
          <w:color w:val="6B7280"/>
          <w:sz w:val="20"/>
          <w:szCs w:val="20"/>
        </w:rPr>
        <w:t xml:space="preserve">Este documento organiza, de forma clara e completa, o modelo de prestação de serviço de manutenção contínua do sistema, mantendo o código-fonte como propriedade do desenvolvedor. As seções 7 e 9 (propriedade intelectual e rescisão) usam linguagem contratual, mas este NÃO é um contrato juridicamente validado — recomenda-se revisão por um advogado antes de assinar qualquer acordo com um cliente real. Os valores de mercado citados são estimativas de referência (agosto de 2026), não uma tabela de preços fechada.</w:t>
      </w:r>
    </w:p>
    <w:p>
      <w:pPr>
        <w:pStyle w:val="Heading1"/>
        <w:pBdr>
          <w:bottom w:val="single" w:color="1A1A1A" w:sz="6" w:space="4"/>
        </w:pBdr>
        <w:spacing w:after="200" w:before="480"/>
      </w:pPr>
      <w:r>
        <w:rPr>
          <w:rFonts w:ascii="Calibri" w:cs="Calibri" w:eastAsia="Calibri" w:hAnsi="Calibri"/>
          <w:b/>
          <w:bCs/>
          <w:color w:val="1A1A1A"/>
          <w:sz w:val="28"/>
          <w:szCs w:val="28"/>
        </w:rPr>
        <w:t xml:space="preserve">1. Visão geral do sistema</w:t>
      </w:r>
    </w:p>
    <w:p>
      <w:pPr>
        <w:spacing w:after="160" w:line="276"/>
      </w:pPr>
      <w:r>
        <w:rPr>
          <w:rFonts w:ascii="Calibri" w:cs="Calibri" w:eastAsia="Calibri" w:hAnsi="Calibri"/>
          <w:color w:val="1A1A1A"/>
          <w:sz w:val="21"/>
          <w:szCs w:val="21"/>
        </w:rPr>
        <w:t xml:space="preserve">A Dravennx é uma plataforma de e-commerce completa, composta por três aplicações independentes que operam de forma integrada:</w:t>
      </w:r>
    </w:p>
    <w:p>
      <w:pPr>
        <w:pStyle w:val="ListParagraph"/>
        <w:numPr>
          <w:ilvl w:val="0"/>
          <w:numId w:val="2"/>
        </w:numPr>
        <w:spacing w:after="80" w:line="264"/>
      </w:pPr>
      <w:r>
        <w:rPr>
          <w:rFonts w:ascii="Calibri" w:cs="Calibri" w:eastAsia="Calibri" w:hAnsi="Calibri"/>
          <w:color w:val="1A1A1A"/>
          <w:sz w:val="21"/>
          <w:szCs w:val="21"/>
        </w:rPr>
        <w:t xml:space="preserve">Loja virtual (storefront) — catálogo, carrinho, checkout, conta do cliente, favoritos, avaliações, rastreio de pedido.</w:t>
      </w:r>
    </w:p>
    <w:p>
      <w:pPr>
        <w:pStyle w:val="ListParagraph"/>
        <w:numPr>
          <w:ilvl w:val="0"/>
          <w:numId w:val="2"/>
        </w:numPr>
        <w:spacing w:after="80" w:line="264"/>
      </w:pPr>
      <w:r>
        <w:rPr>
          <w:rFonts w:ascii="Calibri" w:cs="Calibri" w:eastAsia="Calibri" w:hAnsi="Calibri"/>
          <w:color w:val="1A1A1A"/>
          <w:sz w:val="21"/>
          <w:szCs w:val="21"/>
        </w:rPr>
        <w:t xml:space="preserve">Painel administrativo — gestão de produtos, categorias, pedidos, cupons, usuários, relatórios de venda, banner promocional e vitrine da home.</w:t>
      </w:r>
    </w:p>
    <w:p>
      <w:pPr>
        <w:pStyle w:val="ListParagraph"/>
        <w:numPr>
          <w:ilvl w:val="0"/>
          <w:numId w:val="2"/>
        </w:numPr>
        <w:spacing w:after="80" w:line="264"/>
      </w:pPr>
      <w:r>
        <w:rPr>
          <w:rFonts w:ascii="Calibri" w:cs="Calibri" w:eastAsia="Calibri" w:hAnsi="Calibri"/>
          <w:color w:val="1A1A1A"/>
          <w:sz w:val="21"/>
          <w:szCs w:val="21"/>
        </w:rPr>
        <w:t xml:space="preserve">Backend (API) — toda a lógica de negócio, autenticação, integração de pagamento, banco de dados e regras da loja.</w:t>
      </w:r>
    </w:p>
    <w:p>
      <w:pPr>
        <w:spacing w:after="160" w:line="276"/>
      </w:pPr>
      <w:r>
        <w:rPr>
          <w:rFonts w:ascii="Calibri" w:cs="Calibri" w:eastAsia="Calibri" w:hAnsi="Calibri"/>
          <w:color w:val="1A1A1A"/>
          <w:sz w:val="21"/>
          <w:szCs w:val="21"/>
        </w:rPr>
        <w:t xml:space="preserve">O sistema foi construído sob medida — não é um template genérico — e cobre o ciclo completo de uma operação de e-commerce: catálogo de produtos com variações (tamanho/cor), carrinho, cupom de desconto, cálculo de frete (Uber Flash, 99 e "combinar com o vendedor" via WhatsApp), pagamento via Pix e cartão (Mercado Pago), acompanhamento de pedido com linha do tempo, avaliações de produto, lista de favoritos, gestão de usuários com controle de permissão (cliente/operador/administrador), relatórios de venda exportáveis, banner promocional configurável e vitrine com destaques de produto.</w:t>
      </w:r>
    </w:p>
    <w:p>
      <w:pPr>
        <w:pStyle w:val="Heading2"/>
        <w:spacing w:after="140" w:before="320"/>
      </w:pPr>
      <w:r>
        <w:rPr>
          <w:rFonts w:ascii="Calibri" w:cs="Calibri" w:eastAsia="Calibri" w:hAnsi="Calibri"/>
          <w:b/>
          <w:bCs/>
          <w:color w:val="00A651"/>
          <w:sz w:val="24"/>
          <w:szCs w:val="24"/>
        </w:rPr>
        <w:t xml:space="preserve">1.1 Stack tecnológica</w:t>
      </w:r>
    </w:p>
    <w:tbl>
      <w:tblPr>
        <w:tblW w:type="dxa" w:w="950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6300"/>
      </w:tblGrid>
      <w:tr>
        <w:trPr>
          <w:tblHeader/>
        </w:trPr>
        <w:tc>
          <w:tcPr>
            <w:tcW w:type="dxa" w:w="3200"/>
            <w:shd w:fill="1A1A1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Camada</w:t>
            </w:r>
          </w:p>
        </w:tc>
        <w:tc>
          <w:tcPr>
            <w:tcW w:type="dxa" w:w="6300"/>
            <w:shd w:fill="1A1A1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Tecnologia</w:t>
            </w:r>
          </w:p>
        </w:tc>
      </w:tr>
      <w:tr>
        <w:tc>
          <w:tcPr>
            <w:tcW w:type="dxa" w:w="3200"/>
            <w:tcMar>
              <w:top w:type="dxa" w:w="100"/>
              <w:left w:type="dxa" w:w="120"/>
              <w:bottom w:type="dxa" w:w="100"/>
              <w:right w:type="dxa" w:w="120"/>
            </w:tcMar>
          </w:tcPr>
          <w:p>
            <w:pPr>
              <w:jc w:val="left"/>
            </w:pPr>
            <w:r>
              <w:rPr>
                <w:rFonts w:ascii="Calibri" w:cs="Calibri" w:eastAsia="Calibri" w:hAnsi="Calibri"/>
                <w:b/>
                <w:bCs/>
                <w:color w:val="1A1A1A"/>
                <w:sz w:val="20"/>
                <w:szCs w:val="20"/>
              </w:rPr>
              <w:t xml:space="preserve">Backend</w:t>
            </w:r>
          </w:p>
        </w:tc>
        <w:tc>
          <w:tcPr>
            <w:tcW w:type="dxa" w:w="63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Node.js + Express + Sequelize ORM + PostgreSQL</w:t>
            </w:r>
          </w:p>
        </w:tc>
      </w:tr>
      <w:tr>
        <w:tc>
          <w:tcPr>
            <w:tcW w:type="dxa" w:w="3200"/>
            <w:tcMar>
              <w:top w:type="dxa" w:w="100"/>
              <w:left w:type="dxa" w:w="120"/>
              <w:bottom w:type="dxa" w:w="100"/>
              <w:right w:type="dxa" w:w="120"/>
            </w:tcMar>
          </w:tcPr>
          <w:p>
            <w:pPr>
              <w:jc w:val="left"/>
            </w:pPr>
            <w:r>
              <w:rPr>
                <w:rFonts w:ascii="Calibri" w:cs="Calibri" w:eastAsia="Calibri" w:hAnsi="Calibri"/>
                <w:b/>
                <w:bCs/>
                <w:color w:val="1A1A1A"/>
                <w:sz w:val="20"/>
                <w:szCs w:val="20"/>
              </w:rPr>
              <w:t xml:space="preserve">Loja virtual</w:t>
            </w:r>
          </w:p>
        </w:tc>
        <w:tc>
          <w:tcPr>
            <w:tcW w:type="dxa" w:w="63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React 19 + Vite + Tailwind CSS</w:t>
            </w:r>
          </w:p>
        </w:tc>
      </w:tr>
      <w:tr>
        <w:tc>
          <w:tcPr>
            <w:tcW w:type="dxa" w:w="3200"/>
            <w:tcMar>
              <w:top w:type="dxa" w:w="100"/>
              <w:left w:type="dxa" w:w="120"/>
              <w:bottom w:type="dxa" w:w="100"/>
              <w:right w:type="dxa" w:w="120"/>
            </w:tcMar>
          </w:tcPr>
          <w:p>
            <w:pPr>
              <w:jc w:val="left"/>
            </w:pPr>
            <w:r>
              <w:rPr>
                <w:rFonts w:ascii="Calibri" w:cs="Calibri" w:eastAsia="Calibri" w:hAnsi="Calibri"/>
                <w:b/>
                <w:bCs/>
                <w:color w:val="1A1A1A"/>
                <w:sz w:val="20"/>
                <w:szCs w:val="20"/>
              </w:rPr>
              <w:t xml:space="preserve">Painel administrativo</w:t>
            </w:r>
          </w:p>
        </w:tc>
        <w:tc>
          <w:tcPr>
            <w:tcW w:type="dxa" w:w="63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React 19 + Vite + Tailwind CSS</w:t>
            </w:r>
          </w:p>
        </w:tc>
      </w:tr>
      <w:tr>
        <w:tc>
          <w:tcPr>
            <w:tcW w:type="dxa" w:w="3200"/>
            <w:tcMar>
              <w:top w:type="dxa" w:w="100"/>
              <w:left w:type="dxa" w:w="120"/>
              <w:bottom w:type="dxa" w:w="100"/>
              <w:right w:type="dxa" w:w="120"/>
            </w:tcMar>
          </w:tcPr>
          <w:p>
            <w:pPr>
              <w:jc w:val="left"/>
            </w:pPr>
            <w:r>
              <w:rPr>
                <w:rFonts w:ascii="Calibri" w:cs="Calibri" w:eastAsia="Calibri" w:hAnsi="Calibri"/>
                <w:b/>
                <w:bCs/>
                <w:color w:val="1A1A1A"/>
                <w:sz w:val="20"/>
                <w:szCs w:val="20"/>
              </w:rPr>
              <w:t xml:space="preserve">Autenticação</w:t>
            </w:r>
          </w:p>
        </w:tc>
        <w:tc>
          <w:tcPr>
            <w:tcW w:type="dxa" w:w="63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JWT (token de acesso + renovação)</w:t>
            </w:r>
          </w:p>
        </w:tc>
      </w:tr>
      <w:tr>
        <w:tc>
          <w:tcPr>
            <w:tcW w:type="dxa" w:w="3200"/>
            <w:tcMar>
              <w:top w:type="dxa" w:w="100"/>
              <w:left w:type="dxa" w:w="120"/>
              <w:bottom w:type="dxa" w:w="100"/>
              <w:right w:type="dxa" w:w="120"/>
            </w:tcMar>
          </w:tcPr>
          <w:p>
            <w:pPr>
              <w:jc w:val="left"/>
            </w:pPr>
            <w:r>
              <w:rPr>
                <w:rFonts w:ascii="Calibri" w:cs="Calibri" w:eastAsia="Calibri" w:hAnsi="Calibri"/>
                <w:b/>
                <w:bCs/>
                <w:color w:val="1A1A1A"/>
                <w:sz w:val="20"/>
                <w:szCs w:val="20"/>
              </w:rPr>
              <w:t xml:space="preserve">Pagamento</w:t>
            </w:r>
          </w:p>
        </w:tc>
        <w:tc>
          <w:tcPr>
            <w:tcW w:type="dxa" w:w="63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Mercado Pago (Checkout Transparente — Pix e cartão)</w:t>
            </w:r>
          </w:p>
        </w:tc>
      </w:tr>
      <w:tr>
        <w:tc>
          <w:tcPr>
            <w:tcW w:type="dxa" w:w="3200"/>
            <w:tcMar>
              <w:top w:type="dxa" w:w="100"/>
              <w:left w:type="dxa" w:w="120"/>
              <w:bottom w:type="dxa" w:w="100"/>
              <w:right w:type="dxa" w:w="120"/>
            </w:tcMar>
          </w:tcPr>
          <w:p>
            <w:pPr>
              <w:jc w:val="left"/>
            </w:pPr>
            <w:r>
              <w:rPr>
                <w:rFonts w:ascii="Calibri" w:cs="Calibri" w:eastAsia="Calibri" w:hAnsi="Calibri"/>
                <w:b/>
                <w:bCs/>
                <w:color w:val="1A1A1A"/>
                <w:sz w:val="20"/>
                <w:szCs w:val="20"/>
              </w:rPr>
              <w:t xml:space="preserve">Testes automatizados</w:t>
            </w:r>
          </w:p>
        </w:tc>
        <w:tc>
          <w:tcPr>
            <w:tcW w:type="dxa" w:w="63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Jest + Supertest (testes de integração no backend)</w:t>
            </w:r>
          </w:p>
        </w:tc>
      </w:tr>
    </w:tbl>
    <w:p>
      <w:pPr>
        <w:pStyle w:val="Heading1"/>
        <w:pBdr>
          <w:bottom w:val="single" w:color="1A1A1A" w:sz="6" w:space="4"/>
        </w:pBdr>
        <w:spacing w:after="200" w:before="480"/>
      </w:pPr>
      <w:r>
        <w:rPr>
          <w:rFonts w:ascii="Calibri" w:cs="Calibri" w:eastAsia="Calibri" w:hAnsi="Calibri"/>
          <w:b/>
          <w:bCs/>
          <w:color w:val="1A1A1A"/>
          <w:sz w:val="28"/>
          <w:szCs w:val="28"/>
        </w:rPr>
        <w:t xml:space="preserve">2. Modelo de prestação de serviço</w:t>
      </w:r>
    </w:p>
    <w:p>
      <w:pPr>
        <w:spacing w:after="160" w:line="276"/>
      </w:pPr>
      <w:r>
        <w:rPr>
          <w:rFonts w:ascii="Calibri" w:cs="Calibri" w:eastAsia="Calibri" w:hAnsi="Calibri"/>
          <w:color w:val="1A1A1A"/>
          <w:sz w:val="21"/>
          <w:szCs w:val="21"/>
        </w:rPr>
        <w:t xml:space="preserve">O serviço oferecido é de manutenção contínua e operação do sistema — não a venda ou transferência do código-fonte. Isso significa:</w:t>
      </w:r>
    </w:p>
    <w:p>
      <w:pPr>
        <w:pStyle w:val="ListParagraph"/>
        <w:numPr>
          <w:ilvl w:val="0"/>
          <w:numId w:val="2"/>
        </w:numPr>
        <w:spacing w:after="80" w:line="264"/>
      </w:pPr>
      <w:r>
        <w:rPr>
          <w:rFonts w:ascii="Calibri" w:cs="Calibri" w:eastAsia="Calibri" w:hAnsi="Calibri"/>
          <w:color w:val="1A1A1A"/>
          <w:sz w:val="21"/>
          <w:szCs w:val="21"/>
        </w:rPr>
        <w:t xml:space="preserve">O código-fonte permanece de propriedade exclusiva do desenvolvedor (Jolivan Abreu), incluindo toda a arquitetura, lógica de negócio e implementação técnica.</w:t>
      </w:r>
    </w:p>
    <w:p>
      <w:pPr>
        <w:pStyle w:val="ListParagraph"/>
        <w:numPr>
          <w:ilvl w:val="0"/>
          <w:numId w:val="2"/>
        </w:numPr>
        <w:spacing w:after="80" w:line="264"/>
      </w:pPr>
      <w:r>
        <w:rPr>
          <w:rFonts w:ascii="Calibri" w:cs="Calibri" w:eastAsia="Calibri" w:hAnsi="Calibri"/>
          <w:color w:val="1A1A1A"/>
          <w:sz w:val="21"/>
          <w:szCs w:val="21"/>
        </w:rPr>
        <w:t xml:space="preserve">O cliente contrata o direito de uso do sistema em produção, com a garantia de que ele continua funcionando, atualizado e sob suporte enquanto o contrato de manutenção estiver ativo.</w:t>
      </w:r>
    </w:p>
    <w:p>
      <w:pPr>
        <w:pStyle w:val="ListParagraph"/>
        <w:numPr>
          <w:ilvl w:val="0"/>
          <w:numId w:val="2"/>
        </w:numPr>
        <w:spacing w:after="80" w:line="264"/>
      </w:pPr>
      <w:r>
        <w:rPr>
          <w:rFonts w:ascii="Calibri" w:cs="Calibri" w:eastAsia="Calibri" w:hAnsi="Calibri"/>
          <w:color w:val="1A1A1A"/>
          <w:sz w:val="21"/>
          <w:szCs w:val="21"/>
        </w:rPr>
        <w:t xml:space="preserve">Toda alteração, correção, atualização ou nova funcionalidade é implementada exclusivamente pelo desenvolvedor — o cliente não recebe acesso ao repositório de código.</w:t>
      </w:r>
    </w:p>
    <w:p>
      <w:pPr>
        <w:spacing w:after="160" w:line="276"/>
      </w:pPr>
      <w:r>
        <w:rPr>
          <w:rFonts w:ascii="Calibri" w:cs="Calibri" w:eastAsia="Calibri" w:hAnsi="Calibri"/>
          <w:color w:val="1A1A1A"/>
          <w:sz w:val="21"/>
          <w:szCs w:val="21"/>
        </w:rPr>
        <w:t xml:space="preserve">Esse modelo é comum em desenvolvimento sob encomenda com manutenção recorrente (equivalente a um modelo "SaaS privado"): o cliente paga para ter o sistema funcionando e evoluindo, sem precisar de uma equipe técnica própria, e sem se tornar dono do código.</w:t>
      </w:r>
    </w:p>
    <w:p>
      <w:pPr>
        <w:pStyle w:val="Heading1"/>
        <w:pBdr>
          <w:bottom w:val="single" w:color="1A1A1A" w:sz="6" w:space="4"/>
        </w:pBdr>
        <w:spacing w:after="200" w:before="480"/>
      </w:pPr>
      <w:r>
        <w:rPr>
          <w:rFonts w:ascii="Calibri" w:cs="Calibri" w:eastAsia="Calibri" w:hAnsi="Calibri"/>
          <w:b/>
          <w:bCs/>
          <w:color w:val="1A1A1A"/>
          <w:sz w:val="28"/>
          <w:szCs w:val="28"/>
        </w:rPr>
        <w:t xml:space="preserve">3. Escopo da manutenção — o que está incluso</w:t>
      </w:r>
    </w:p>
    <w:p>
      <w:pPr>
        <w:pStyle w:val="Heading2"/>
        <w:spacing w:after="140" w:before="320"/>
      </w:pPr>
      <w:r>
        <w:rPr>
          <w:rFonts w:ascii="Calibri" w:cs="Calibri" w:eastAsia="Calibri" w:hAnsi="Calibri"/>
          <w:b/>
          <w:bCs/>
          <w:color w:val="00A651"/>
          <w:sz w:val="24"/>
          <w:szCs w:val="24"/>
        </w:rPr>
        <w:t xml:space="preserve">3.1 Infraestrutura e disponibilidade</w:t>
      </w:r>
    </w:p>
    <w:p>
      <w:pPr>
        <w:pStyle w:val="ListParagraph"/>
        <w:numPr>
          <w:ilvl w:val="0"/>
          <w:numId w:val="2"/>
        </w:numPr>
        <w:spacing w:after="80" w:line="264"/>
      </w:pPr>
      <w:r>
        <w:rPr>
          <w:rFonts w:ascii="Calibri" w:cs="Calibri" w:eastAsia="Calibri" w:hAnsi="Calibri"/>
          <w:color w:val="1A1A1A"/>
          <w:sz w:val="21"/>
          <w:szCs w:val="21"/>
        </w:rPr>
        <w:t xml:space="preserve">Hospedagem e operação do backend, banco de dados, loja e painel administrativo.</w:t>
      </w:r>
    </w:p>
    <w:p>
      <w:pPr>
        <w:pStyle w:val="ListParagraph"/>
        <w:numPr>
          <w:ilvl w:val="0"/>
          <w:numId w:val="2"/>
        </w:numPr>
        <w:spacing w:after="80" w:line="264"/>
      </w:pPr>
      <w:r>
        <w:rPr>
          <w:rFonts w:ascii="Calibri" w:cs="Calibri" w:eastAsia="Calibri" w:hAnsi="Calibri"/>
          <w:color w:val="1A1A1A"/>
          <w:sz w:val="21"/>
          <w:szCs w:val="21"/>
        </w:rPr>
        <w:t xml:space="preserve">Monitoramento básico de disponibilidade (o sistema está no ar).</w:t>
      </w:r>
    </w:p>
    <w:p>
      <w:pPr>
        <w:pStyle w:val="ListParagraph"/>
        <w:numPr>
          <w:ilvl w:val="0"/>
          <w:numId w:val="2"/>
        </w:numPr>
        <w:spacing w:after="80" w:line="264"/>
      </w:pPr>
      <w:r>
        <w:rPr>
          <w:rFonts w:ascii="Calibri" w:cs="Calibri" w:eastAsia="Calibri" w:hAnsi="Calibri"/>
          <w:color w:val="1A1A1A"/>
          <w:sz w:val="21"/>
          <w:szCs w:val="21"/>
        </w:rPr>
        <w:t xml:space="preserve">Aplicação de atualizações de segurança em dependências e no servidor.</w:t>
      </w:r>
    </w:p>
    <w:p>
      <w:pPr>
        <w:pStyle w:val="ListParagraph"/>
        <w:numPr>
          <w:ilvl w:val="0"/>
          <w:numId w:val="2"/>
        </w:numPr>
        <w:spacing w:after="80" w:line="264"/>
      </w:pPr>
      <w:r>
        <w:rPr>
          <w:rFonts w:ascii="Calibri" w:cs="Calibri" w:eastAsia="Calibri" w:hAnsi="Calibri"/>
          <w:color w:val="1A1A1A"/>
          <w:sz w:val="21"/>
          <w:szCs w:val="21"/>
        </w:rPr>
        <w:t xml:space="preserve">Backup periódico do banco de dados.</w:t>
      </w:r>
    </w:p>
    <w:p>
      <w:pPr>
        <w:pStyle w:val="Heading2"/>
        <w:spacing w:after="140" w:before="320"/>
      </w:pPr>
      <w:r>
        <w:rPr>
          <w:rFonts w:ascii="Calibri" w:cs="Calibri" w:eastAsia="Calibri" w:hAnsi="Calibri"/>
          <w:b/>
          <w:bCs/>
          <w:color w:val="00A651"/>
          <w:sz w:val="24"/>
          <w:szCs w:val="24"/>
        </w:rPr>
        <w:t xml:space="preserve">3.2 Suporte técnico</w:t>
      </w:r>
    </w:p>
    <w:p>
      <w:pPr>
        <w:pStyle w:val="ListParagraph"/>
        <w:numPr>
          <w:ilvl w:val="0"/>
          <w:numId w:val="2"/>
        </w:numPr>
        <w:spacing w:after="80" w:line="264"/>
      </w:pPr>
      <w:r>
        <w:rPr>
          <w:rFonts w:ascii="Calibri" w:cs="Calibri" w:eastAsia="Calibri" w:hAnsi="Calibri"/>
          <w:color w:val="1A1A1A"/>
          <w:sz w:val="21"/>
          <w:szCs w:val="21"/>
        </w:rPr>
        <w:t xml:space="preserve">Correção de bugs e comportamentos inesperados reportados pelo cliente.</w:t>
      </w:r>
    </w:p>
    <w:p>
      <w:pPr>
        <w:pStyle w:val="ListParagraph"/>
        <w:numPr>
          <w:ilvl w:val="0"/>
          <w:numId w:val="2"/>
        </w:numPr>
        <w:spacing w:after="80" w:line="264"/>
      </w:pPr>
      <w:r>
        <w:rPr>
          <w:rFonts w:ascii="Calibri" w:cs="Calibri" w:eastAsia="Calibri" w:hAnsi="Calibri"/>
          <w:color w:val="1A1A1A"/>
          <w:sz w:val="21"/>
          <w:szCs w:val="21"/>
        </w:rPr>
        <w:t xml:space="preserve">Suporte para dúvidas de uso do painel administrativo.</w:t>
      </w:r>
    </w:p>
    <w:p>
      <w:pPr>
        <w:pStyle w:val="ListParagraph"/>
        <w:numPr>
          <w:ilvl w:val="0"/>
          <w:numId w:val="2"/>
        </w:numPr>
        <w:spacing w:after="80" w:line="264"/>
      </w:pPr>
      <w:r>
        <w:rPr>
          <w:rFonts w:ascii="Calibri" w:cs="Calibri" w:eastAsia="Calibri" w:hAnsi="Calibri"/>
          <w:color w:val="1A1A1A"/>
          <w:sz w:val="21"/>
          <w:szCs w:val="21"/>
        </w:rPr>
        <w:t xml:space="preserve">Ajustes de configuração (ex.: número de WhatsApp, textos do banner, taxas de frete).</w:t>
      </w:r>
    </w:p>
    <w:p>
      <w:pPr>
        <w:pStyle w:val="Heading2"/>
        <w:spacing w:after="140" w:before="320"/>
      </w:pPr>
      <w:r>
        <w:rPr>
          <w:rFonts w:ascii="Calibri" w:cs="Calibri" w:eastAsia="Calibri" w:hAnsi="Calibri"/>
          <w:b/>
          <w:bCs/>
          <w:color w:val="00A651"/>
          <w:sz w:val="24"/>
          <w:szCs w:val="24"/>
        </w:rPr>
        <w:t xml:space="preserve">3.3 Evolução do sistema</w:t>
      </w:r>
    </w:p>
    <w:p>
      <w:pPr>
        <w:pStyle w:val="ListParagraph"/>
        <w:numPr>
          <w:ilvl w:val="0"/>
          <w:numId w:val="2"/>
        </w:numPr>
        <w:spacing w:after="80" w:line="264"/>
      </w:pPr>
      <w:r>
        <w:rPr>
          <w:rFonts w:ascii="Calibri" w:cs="Calibri" w:eastAsia="Calibri" w:hAnsi="Calibri"/>
          <w:color w:val="1A1A1A"/>
          <w:sz w:val="21"/>
          <w:szCs w:val="21"/>
        </w:rPr>
        <w:t xml:space="preserve">Pequenos ajustes visuais e de usabilidade, dentro de um limite de horas mensal a combinar.</w:t>
      </w:r>
    </w:p>
    <w:p>
      <w:pPr>
        <w:pStyle w:val="ListParagraph"/>
        <w:numPr>
          <w:ilvl w:val="0"/>
          <w:numId w:val="2"/>
        </w:numPr>
        <w:spacing w:after="80" w:line="264"/>
      </w:pPr>
      <w:r>
        <w:rPr>
          <w:rFonts w:ascii="Calibri" w:cs="Calibri" w:eastAsia="Calibri" w:hAnsi="Calibri"/>
          <w:color w:val="1A1A1A"/>
          <w:sz w:val="21"/>
          <w:szCs w:val="21"/>
        </w:rPr>
        <w:t xml:space="preserve">Acompanhamento de atualizações de segurança das bibliotecas e serviços integrados (Mercado Pago, etc.).</w:t>
      </w:r>
    </w:p>
    <w:p>
      <w:pPr>
        <w:pStyle w:val="Heading1"/>
        <w:pBdr>
          <w:bottom w:val="single" w:color="1A1A1A" w:sz="6" w:space="4"/>
        </w:pBdr>
        <w:spacing w:after="200" w:before="480"/>
      </w:pPr>
      <w:r>
        <w:rPr>
          <w:rFonts w:ascii="Calibri" w:cs="Calibri" w:eastAsia="Calibri" w:hAnsi="Calibri"/>
          <w:b/>
          <w:bCs/>
          <w:color w:val="1A1A1A"/>
          <w:sz w:val="28"/>
          <w:szCs w:val="28"/>
        </w:rPr>
        <w:t xml:space="preserve">4. Fora do escopo da manutenção</w:t>
      </w:r>
    </w:p>
    <w:p>
      <w:pPr>
        <w:spacing w:after="160" w:line="276"/>
      </w:pPr>
      <w:r>
        <w:rPr>
          <w:rFonts w:ascii="Calibri" w:cs="Calibri" w:eastAsia="Calibri" w:hAnsi="Calibri"/>
          <w:color w:val="1A1A1A"/>
          <w:sz w:val="21"/>
          <w:szCs w:val="21"/>
        </w:rPr>
        <w:t xml:space="preserve">Os itens abaixo não estão cobertos pela mensalidade de manutenção e seriam orçados separadamente, como projetos avulsos:</w:t>
      </w:r>
    </w:p>
    <w:p>
      <w:pPr>
        <w:pStyle w:val="ListParagraph"/>
        <w:numPr>
          <w:ilvl w:val="0"/>
          <w:numId w:val="2"/>
        </w:numPr>
        <w:spacing w:after="80" w:line="264"/>
      </w:pPr>
      <w:r>
        <w:rPr>
          <w:rFonts w:ascii="Calibri" w:cs="Calibri" w:eastAsia="Calibri" w:hAnsi="Calibri"/>
          <w:color w:val="1A1A1A"/>
          <w:sz w:val="21"/>
          <w:szCs w:val="21"/>
        </w:rPr>
        <w:t xml:space="preserve">Novas funcionalidades de grande porte (ex.: um novo módulo, integração com um marketplace, programa de fidelidade).</w:t>
      </w:r>
    </w:p>
    <w:p>
      <w:pPr>
        <w:pStyle w:val="ListParagraph"/>
        <w:numPr>
          <w:ilvl w:val="0"/>
          <w:numId w:val="2"/>
        </w:numPr>
        <w:spacing w:after="80" w:line="264"/>
      </w:pPr>
      <w:r>
        <w:rPr>
          <w:rFonts w:ascii="Calibri" w:cs="Calibri" w:eastAsia="Calibri" w:hAnsi="Calibri"/>
          <w:color w:val="1A1A1A"/>
          <w:sz w:val="21"/>
          <w:szCs w:val="21"/>
        </w:rPr>
        <w:t xml:space="preserve">Redesign visual completo da loja ou do painel.</w:t>
      </w:r>
    </w:p>
    <w:p>
      <w:pPr>
        <w:pStyle w:val="ListParagraph"/>
        <w:numPr>
          <w:ilvl w:val="0"/>
          <w:numId w:val="2"/>
        </w:numPr>
        <w:spacing w:after="80" w:line="264"/>
      </w:pPr>
      <w:r>
        <w:rPr>
          <w:rFonts w:ascii="Calibri" w:cs="Calibri" w:eastAsia="Calibri" w:hAnsi="Calibri"/>
          <w:color w:val="1A1A1A"/>
          <w:sz w:val="21"/>
          <w:szCs w:val="21"/>
        </w:rPr>
        <w:t xml:space="preserve">Migração de fornecedor de pagamento ou de hospedagem por decisão do cliente.</w:t>
      </w:r>
    </w:p>
    <w:p>
      <w:pPr>
        <w:pStyle w:val="ListParagraph"/>
        <w:numPr>
          <w:ilvl w:val="0"/>
          <w:numId w:val="2"/>
        </w:numPr>
        <w:spacing w:after="80" w:line="264"/>
      </w:pPr>
      <w:r>
        <w:rPr>
          <w:rFonts w:ascii="Calibri" w:cs="Calibri" w:eastAsia="Calibri" w:hAnsi="Calibri"/>
          <w:color w:val="1A1A1A"/>
          <w:sz w:val="21"/>
          <w:szCs w:val="21"/>
        </w:rPr>
        <w:t xml:space="preserve">Consultoria fiscal, jurídica ou contábil sobre a operação da loja.</w:t>
      </w:r>
    </w:p>
    <w:p>
      <w:pPr>
        <w:pStyle w:val="ListParagraph"/>
        <w:numPr>
          <w:ilvl w:val="0"/>
          <w:numId w:val="2"/>
        </w:numPr>
        <w:spacing w:after="80" w:line="264"/>
      </w:pPr>
      <w:r>
        <w:rPr>
          <w:rFonts w:ascii="Calibri" w:cs="Calibri" w:eastAsia="Calibri" w:hAnsi="Calibri"/>
          <w:color w:val="1A1A1A"/>
          <w:sz w:val="21"/>
          <w:szCs w:val="21"/>
        </w:rPr>
        <w:t xml:space="preserve">Criação de conteúdo (fotos de produto, textos de marketing, campanhas).</w:t>
      </w:r>
    </w:p>
    <w:p>
      <w:pPr>
        <w:pStyle w:val="Heading1"/>
        <w:pBdr>
          <w:bottom w:val="single" w:color="1A1A1A" w:sz="6" w:space="4"/>
        </w:pBdr>
        <w:spacing w:after="200" w:before="480"/>
      </w:pPr>
      <w:r>
        <w:rPr>
          <w:rFonts w:ascii="Calibri" w:cs="Calibri" w:eastAsia="Calibri" w:hAnsi="Calibri"/>
          <w:b/>
          <w:bCs/>
          <w:color w:val="1A1A1A"/>
          <w:sz w:val="28"/>
          <w:szCs w:val="28"/>
        </w:rPr>
        <w:t xml:space="preserve">5. Infraestrutura e custos de terceiros repassados</w:t>
      </w:r>
    </w:p>
    <w:p>
      <w:pPr>
        <w:spacing w:after="160" w:line="276"/>
      </w:pPr>
      <w:r>
        <w:rPr>
          <w:rFonts w:ascii="Calibri" w:cs="Calibri" w:eastAsia="Calibri" w:hAnsi="Calibri"/>
          <w:color w:val="1A1A1A"/>
          <w:sz w:val="21"/>
          <w:szCs w:val="21"/>
        </w:rPr>
        <w:t xml:space="preserve">Os serviços abaixo são de terceiros, necessários para o sistema funcionar em produção. Os valores são estimativas de mercado (agosto de 2026) e podem ser repassados ao cliente dentro da mensalidade ou cobrados à parte, conforme o acordo comercial.</w:t>
      </w:r>
    </w:p>
    <w:tbl>
      <w:tblPr>
        <w:tblW w:type="dxa" w:w="9500"/>
        <w:tblBorders>
          <w:top w:val="single" w:color="D9D9D9" w:sz="4"/>
          <w:left w:val="single" w:color="D9D9D9" w:sz="4"/>
          <w:bottom w:val="single" w:color="D9D9D9" w:sz="4"/>
          <w:right w:val="single" w:color="D9D9D9" w:sz="4"/>
          <w:insideH w:val="single" w:color="D9D9D9" w:sz="4"/>
          <w:insideV w:val="single" w:color="D9D9D9" w:sz="4"/>
        </w:tblBorders>
      </w:tblPr>
      <w:tblGrid>
        <w:gridCol w:w="3700"/>
        <w:gridCol w:w="3300"/>
        <w:gridCol w:w="2500"/>
      </w:tblGrid>
      <w:tr>
        <w:trPr>
          <w:tblHeader/>
        </w:trPr>
        <w:tc>
          <w:tcPr>
            <w:tcW w:type="dxa" w:w="3700"/>
            <w:shd w:fill="1A1A1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Serviço</w:t>
            </w:r>
          </w:p>
        </w:tc>
        <w:tc>
          <w:tcPr>
            <w:tcW w:type="dxa" w:w="3300"/>
            <w:shd w:fill="1A1A1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Finalidade</w:t>
            </w:r>
          </w:p>
        </w:tc>
        <w:tc>
          <w:tcPr>
            <w:tcW w:type="dxa" w:w="2500"/>
            <w:shd w:fill="1A1A1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Estimativa mensal</w:t>
            </w:r>
          </w:p>
        </w:tc>
      </w:tr>
      <w:tr>
        <w:tc>
          <w:tcPr>
            <w:tcW w:type="dxa" w:w="3700"/>
            <w:tcMar>
              <w:top w:type="dxa" w:w="100"/>
              <w:left w:type="dxa" w:w="120"/>
              <w:bottom w:type="dxa" w:w="100"/>
              <w:right w:type="dxa" w:w="120"/>
            </w:tcMar>
          </w:tcPr>
          <w:p>
            <w:pPr>
              <w:jc w:val="left"/>
            </w:pPr>
            <w:r>
              <w:rPr>
                <w:rFonts w:ascii="Calibri" w:cs="Calibri" w:eastAsia="Calibri" w:hAnsi="Calibri"/>
                <w:b/>
                <w:bCs/>
                <w:color w:val="1A1A1A"/>
                <w:sz w:val="20"/>
                <w:szCs w:val="20"/>
              </w:rPr>
              <w:t xml:space="preserve">Hospedagem do backend + banco de dados (Railway ou Render)</w:t>
            </w:r>
          </w:p>
        </w:tc>
        <w:tc>
          <w:tcPr>
            <w:tcW w:type="dxa" w:w="33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Executa a API e o banco PostgreSQL 24h/dia</w:t>
            </w:r>
          </w:p>
        </w:tc>
        <w:tc>
          <w:tcPr>
            <w:tcW w:type="dxa" w:w="25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R$ 55 – R$ 140</w:t>
            </w:r>
          </w:p>
        </w:tc>
      </w:tr>
      <w:tr>
        <w:tc>
          <w:tcPr>
            <w:tcW w:type="dxa" w:w="3700"/>
            <w:tcMar>
              <w:top w:type="dxa" w:w="100"/>
              <w:left w:type="dxa" w:w="120"/>
              <w:bottom w:type="dxa" w:w="100"/>
              <w:right w:type="dxa" w:w="120"/>
            </w:tcMar>
          </w:tcPr>
          <w:p>
            <w:pPr>
              <w:jc w:val="left"/>
            </w:pPr>
            <w:r>
              <w:rPr>
                <w:rFonts w:ascii="Calibri" w:cs="Calibri" w:eastAsia="Calibri" w:hAnsi="Calibri"/>
                <w:b/>
                <w:bCs/>
                <w:color w:val="1A1A1A"/>
                <w:sz w:val="20"/>
                <w:szCs w:val="20"/>
              </w:rPr>
              <w:t xml:space="preserve">Hospedagem da loja e do painel (Vercel, Netlify ou Cloudflare Pages)</w:t>
            </w:r>
          </w:p>
        </w:tc>
        <w:tc>
          <w:tcPr>
            <w:tcW w:type="dxa" w:w="33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Serve os arquivos da loja e do painel</w:t>
            </w:r>
          </w:p>
        </w:tc>
        <w:tc>
          <w:tcPr>
            <w:tcW w:type="dxa" w:w="25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R$ 0 (plano gratuito cobre)</w:t>
            </w:r>
          </w:p>
        </w:tc>
      </w:tr>
      <w:tr>
        <w:tc>
          <w:tcPr>
            <w:tcW w:type="dxa" w:w="3700"/>
            <w:tcMar>
              <w:top w:type="dxa" w:w="100"/>
              <w:left w:type="dxa" w:w="120"/>
              <w:bottom w:type="dxa" w:w="100"/>
              <w:right w:type="dxa" w:w="120"/>
            </w:tcMar>
          </w:tcPr>
          <w:p>
            <w:pPr>
              <w:jc w:val="left"/>
            </w:pPr>
            <w:r>
              <w:rPr>
                <w:rFonts w:ascii="Calibri" w:cs="Calibri" w:eastAsia="Calibri" w:hAnsi="Calibri"/>
                <w:b/>
                <w:bCs/>
                <w:color w:val="1A1A1A"/>
                <w:sz w:val="20"/>
                <w:szCs w:val="20"/>
              </w:rPr>
              <w:t xml:space="preserve">Armazenamento de imagens (Cloudflare R2)</w:t>
            </w:r>
          </w:p>
        </w:tc>
        <w:tc>
          <w:tcPr>
            <w:tcW w:type="dxa" w:w="33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Fotos de produto e banners — sem custo de download</w:t>
            </w:r>
          </w:p>
        </w:tc>
        <w:tc>
          <w:tcPr>
            <w:tcW w:type="dxa" w:w="25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R$ 0 (dentro da faixa gratuita)</w:t>
            </w:r>
          </w:p>
        </w:tc>
      </w:tr>
      <w:tr>
        <w:tc>
          <w:tcPr>
            <w:tcW w:type="dxa" w:w="3700"/>
            <w:tcMar>
              <w:top w:type="dxa" w:w="100"/>
              <w:left w:type="dxa" w:w="120"/>
              <w:bottom w:type="dxa" w:w="100"/>
              <w:right w:type="dxa" w:w="120"/>
            </w:tcMar>
          </w:tcPr>
          <w:p>
            <w:pPr>
              <w:jc w:val="left"/>
            </w:pPr>
            <w:r>
              <w:rPr>
                <w:rFonts w:ascii="Calibri" w:cs="Calibri" w:eastAsia="Calibri" w:hAnsi="Calibri"/>
                <w:b/>
                <w:bCs/>
                <w:color w:val="1A1A1A"/>
                <w:sz w:val="20"/>
                <w:szCs w:val="20"/>
              </w:rPr>
              <w:t xml:space="preserve">E-mail transacional (Amazon SES, Brevo ou Resend)</w:t>
            </w:r>
          </w:p>
        </w:tc>
        <w:tc>
          <w:tcPr>
            <w:tcW w:type="dxa" w:w="33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Confirmação de cadastro, redefinição de senha, status de pedido</w:t>
            </w:r>
          </w:p>
        </w:tc>
        <w:tc>
          <w:tcPr>
            <w:tcW w:type="dxa" w:w="25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R$ 0 – R$ 15</w:t>
            </w:r>
          </w:p>
        </w:tc>
      </w:tr>
      <w:tr>
        <w:tc>
          <w:tcPr>
            <w:tcW w:type="dxa" w:w="3700"/>
            <w:tcMar>
              <w:top w:type="dxa" w:w="100"/>
              <w:left w:type="dxa" w:w="120"/>
              <w:bottom w:type="dxa" w:w="100"/>
              <w:right w:type="dxa" w:w="120"/>
            </w:tcMar>
          </w:tcPr>
          <w:p>
            <w:pPr>
              <w:jc w:val="left"/>
            </w:pPr>
            <w:r>
              <w:rPr>
                <w:rFonts w:ascii="Calibri" w:cs="Calibri" w:eastAsia="Calibri" w:hAnsi="Calibri"/>
                <w:b/>
                <w:bCs/>
                <w:color w:val="1A1A1A"/>
                <w:sz w:val="20"/>
                <w:szCs w:val="20"/>
              </w:rPr>
              <w:t xml:space="preserve">Domínio (.com.br ou .com)</w:t>
            </w:r>
          </w:p>
        </w:tc>
        <w:tc>
          <w:tcPr>
            <w:tcW w:type="dxa" w:w="33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Endereço da loja na internet</w:t>
            </w:r>
          </w:p>
        </w:tc>
        <w:tc>
          <w:tcPr>
            <w:tcW w:type="dxa" w:w="25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R$ 3 – R$ 7 (rateado por mês)</w:t>
            </w:r>
          </w:p>
        </w:tc>
      </w:tr>
      <w:tr>
        <w:tc>
          <w:tcPr>
            <w:tcW w:type="dxa" w:w="3700"/>
            <w:tcMar>
              <w:top w:type="dxa" w:w="100"/>
              <w:left w:type="dxa" w:w="120"/>
              <w:bottom w:type="dxa" w:w="100"/>
              <w:right w:type="dxa" w:w="120"/>
            </w:tcMar>
          </w:tcPr>
          <w:p>
            <w:pPr>
              <w:jc w:val="left"/>
            </w:pPr>
            <w:r>
              <w:rPr>
                <w:rFonts w:ascii="Calibri" w:cs="Calibri" w:eastAsia="Calibri" w:hAnsi="Calibri"/>
                <w:b/>
                <w:bCs/>
                <w:color w:val="1A1A1A"/>
                <w:sz w:val="20"/>
                <w:szCs w:val="20"/>
              </w:rPr>
              <w:t xml:space="preserve">Mercado Pago</w:t>
            </w:r>
          </w:p>
        </w:tc>
        <w:tc>
          <w:tcPr>
            <w:tcW w:type="dxa" w:w="33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Processamento de pagamento — Pix e cartão</w:t>
            </w:r>
          </w:p>
        </w:tc>
        <w:tc>
          <w:tcPr>
            <w:tcW w:type="dxa" w:w="25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Sem mensalidade — cobra por venda (ver 5.1)</w:t>
            </w:r>
          </w:p>
        </w:tc>
      </w:tr>
    </w:tbl>
    <w:p>
      <w:pPr>
        <w:spacing w:after="160" w:line="276"/>
      </w:pPr>
      <w:r>
        <w:rPr>
          <w:rFonts w:ascii="Calibri" w:cs="Calibri" w:eastAsia="Calibri" w:hAnsi="Calibri"/>
          <w:b/>
          <w:bCs/>
          <w:color w:val="1A1A1A"/>
          <w:sz w:val="21"/>
          <w:szCs w:val="21"/>
        </w:rPr>
        <w:t xml:space="preserve">Total de infraestrutura fixa estimada: aproximadamente R$ 60 a R$ 160 por mês, para uma loja de pequeno/médio porte.</w:t>
      </w:r>
    </w:p>
    <w:p>
      <w:pPr>
        <w:pStyle w:val="Heading2"/>
        <w:spacing w:after="140" w:before="320"/>
      </w:pPr>
      <w:r>
        <w:rPr>
          <w:rFonts w:ascii="Calibri" w:cs="Calibri" w:eastAsia="Calibri" w:hAnsi="Calibri"/>
          <w:b/>
          <w:bCs/>
          <w:color w:val="00A651"/>
          <w:sz w:val="24"/>
          <w:szCs w:val="24"/>
        </w:rPr>
        <w:t xml:space="preserve">5.1 Taxas do Mercado Pago (cobradas por venda, não mensalidade)</w:t>
      </w:r>
    </w:p>
    <w:tbl>
      <w:tblPr>
        <w:tblW w:type="dxa" w:w="9500"/>
        <w:tblBorders>
          <w:top w:val="single" w:color="D9D9D9" w:sz="4"/>
          <w:left w:val="single" w:color="D9D9D9" w:sz="4"/>
          <w:bottom w:val="single" w:color="D9D9D9" w:sz="4"/>
          <w:right w:val="single" w:color="D9D9D9" w:sz="4"/>
          <w:insideH w:val="single" w:color="D9D9D9" w:sz="4"/>
          <w:insideV w:val="single" w:color="D9D9D9" w:sz="4"/>
        </w:tblBorders>
      </w:tblPr>
      <w:tblGrid>
        <w:gridCol w:w="4500"/>
        <w:gridCol w:w="5000"/>
      </w:tblGrid>
      <w:tr>
        <w:trPr>
          <w:tblHeader/>
        </w:trPr>
        <w:tc>
          <w:tcPr>
            <w:tcW w:type="dxa" w:w="4500"/>
            <w:shd w:fill="1A1A1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Forma de pagamento</w:t>
            </w:r>
          </w:p>
        </w:tc>
        <w:tc>
          <w:tcPr>
            <w:tcW w:type="dxa" w:w="5000"/>
            <w:shd w:fill="1A1A1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Taxa aproximada</w:t>
            </w:r>
          </w:p>
        </w:tc>
      </w:tr>
      <w:tr>
        <w:tc>
          <w:tcPr>
            <w:tcW w:type="dxa" w:w="4500"/>
            <w:tcMar>
              <w:top w:type="dxa" w:w="100"/>
              <w:left w:type="dxa" w:w="120"/>
              <w:bottom w:type="dxa" w:w="100"/>
              <w:right w:type="dxa" w:w="120"/>
            </w:tcMar>
          </w:tcPr>
          <w:p>
            <w:pPr>
              <w:jc w:val="left"/>
            </w:pPr>
            <w:r>
              <w:rPr>
                <w:rFonts w:ascii="Calibri" w:cs="Calibri" w:eastAsia="Calibri" w:hAnsi="Calibri"/>
                <w:b/>
                <w:bCs/>
                <w:color w:val="1A1A1A"/>
                <w:sz w:val="20"/>
                <w:szCs w:val="20"/>
              </w:rPr>
              <w:t xml:space="preserve">Pix</w:t>
            </w:r>
          </w:p>
        </w:tc>
        <w:tc>
          <w:tcPr>
            <w:tcW w:type="dxa" w:w="50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0,99% por venda</w:t>
            </w:r>
          </w:p>
        </w:tc>
      </w:tr>
      <w:tr>
        <w:tc>
          <w:tcPr>
            <w:tcW w:type="dxa" w:w="4500"/>
            <w:tcMar>
              <w:top w:type="dxa" w:w="100"/>
              <w:left w:type="dxa" w:w="120"/>
              <w:bottom w:type="dxa" w:w="100"/>
              <w:right w:type="dxa" w:w="120"/>
            </w:tcMar>
          </w:tcPr>
          <w:p>
            <w:pPr>
              <w:jc w:val="left"/>
            </w:pPr>
            <w:r>
              <w:rPr>
                <w:rFonts w:ascii="Calibri" w:cs="Calibri" w:eastAsia="Calibri" w:hAnsi="Calibri"/>
                <w:b/>
                <w:bCs/>
                <w:color w:val="1A1A1A"/>
                <w:sz w:val="20"/>
                <w:szCs w:val="20"/>
              </w:rPr>
              <w:t xml:space="preserve">Cartão de crédito à vista</w:t>
            </w:r>
          </w:p>
        </w:tc>
        <w:tc>
          <w:tcPr>
            <w:tcW w:type="dxa" w:w="50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4,98%</w:t>
            </w:r>
          </w:p>
        </w:tc>
      </w:tr>
      <w:tr>
        <w:tc>
          <w:tcPr>
            <w:tcW w:type="dxa" w:w="4500"/>
            <w:tcMar>
              <w:top w:type="dxa" w:w="100"/>
              <w:left w:type="dxa" w:w="120"/>
              <w:bottom w:type="dxa" w:w="100"/>
              <w:right w:type="dxa" w:w="120"/>
            </w:tcMar>
          </w:tcPr>
          <w:p>
            <w:pPr>
              <w:jc w:val="left"/>
            </w:pPr>
            <w:r>
              <w:rPr>
                <w:rFonts w:ascii="Calibri" w:cs="Calibri" w:eastAsia="Calibri" w:hAnsi="Calibri"/>
                <w:b/>
                <w:bCs/>
                <w:color w:val="1A1A1A"/>
                <w:sz w:val="20"/>
                <w:szCs w:val="20"/>
              </w:rPr>
              <w:t xml:space="preserve">Cartão parcelado</w:t>
            </w:r>
          </w:p>
        </w:tc>
        <w:tc>
          <w:tcPr>
            <w:tcW w:type="dxa" w:w="50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entre 3,98% e 4,98%, conforme o prazo de recebimento</w:t>
            </w:r>
          </w:p>
        </w:tc>
      </w:tr>
      <w:tr>
        <w:tc>
          <w:tcPr>
            <w:tcW w:type="dxa" w:w="4500"/>
            <w:tcMar>
              <w:top w:type="dxa" w:w="100"/>
              <w:left w:type="dxa" w:w="120"/>
              <w:bottom w:type="dxa" w:w="100"/>
              <w:right w:type="dxa" w:w="120"/>
            </w:tcMar>
          </w:tcPr>
          <w:p>
            <w:pPr>
              <w:jc w:val="left"/>
            </w:pPr>
            <w:r>
              <w:rPr>
                <w:rFonts w:ascii="Calibri" w:cs="Calibri" w:eastAsia="Calibri" w:hAnsi="Calibri"/>
                <w:b/>
                <w:bCs/>
                <w:color w:val="1A1A1A"/>
                <w:sz w:val="20"/>
                <w:szCs w:val="20"/>
              </w:rPr>
              <w:t xml:space="preserve">Boleto (se ativado)</w:t>
            </w:r>
          </w:p>
        </w:tc>
        <w:tc>
          <w:tcPr>
            <w:tcW w:type="dxa" w:w="50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R$ 3,49 fixo por venda</w:t>
            </w:r>
          </w:p>
        </w:tc>
      </w:tr>
    </w:tbl>
    <w:p>
      <w:pPr>
        <w:pBdr>
          <w:left w:val="single" w:color="00A651" w:sz="18" w:space="8"/>
        </w:pBdr>
        <w:shd w:fill="F4F4F6" w:val="clear"/>
        <w:spacing w:after="200" w:before="120" w:line="264"/>
        <w:ind w:left="200"/>
      </w:pPr>
      <w:r>
        <w:rPr>
          <w:rFonts w:ascii="Calibri" w:cs="Calibri" w:eastAsia="Calibri" w:hAnsi="Calibri"/>
          <w:i/>
          <w:iCs/>
          <w:color w:val="6B7280"/>
          <w:sz w:val="20"/>
          <w:szCs w:val="20"/>
        </w:rPr>
        <w:t xml:space="preserve">Valores de referência de agosto de 2026 — o Mercado Pago atualiza sua tabela de tarifas periodicamente; vale conferir a tabela oficial e atual dentro do painel do Mercado Pago antes de repassar esse número a um cliente.</w:t>
      </w:r>
    </w:p>
    <w:p>
      <w:pPr>
        <w:pStyle w:val="Heading1"/>
        <w:pBdr>
          <w:bottom w:val="single" w:color="1A1A1A" w:sz="6" w:space="4"/>
        </w:pBdr>
        <w:spacing w:after="200" w:before="480"/>
      </w:pPr>
      <w:r>
        <w:rPr>
          <w:rFonts w:ascii="Calibri" w:cs="Calibri" w:eastAsia="Calibri" w:hAnsi="Calibri"/>
          <w:b/>
          <w:bCs/>
          <w:color w:val="1A1A1A"/>
          <w:sz w:val="28"/>
          <w:szCs w:val="28"/>
        </w:rPr>
        <w:t xml:space="preserve">6. Estrutura de precificação sugerida</w:t>
      </w:r>
    </w:p>
    <w:p>
      <w:pPr>
        <w:spacing w:after="160" w:line="276"/>
      </w:pPr>
      <w:r>
        <w:rPr>
          <w:rFonts w:ascii="Calibri" w:cs="Calibri" w:eastAsia="Calibri" w:hAnsi="Calibri"/>
          <w:color w:val="1A1A1A"/>
          <w:sz w:val="21"/>
          <w:szCs w:val="21"/>
        </w:rPr>
        <w:t xml:space="preserve">Não existe um valor fechado de mercado — cada negociação depende do relacionamento com o cliente, do nível de suporte incluído e da região. As faixas abaixo servem como ponto de partida para calibrar uma proposta:</w:t>
      </w:r>
    </w:p>
    <w:tbl>
      <w:tblPr>
        <w:tblW w:type="dxa" w:w="9300"/>
        <w:tblBorders>
          <w:top w:val="single" w:color="D9D9D9" w:sz="4"/>
          <w:left w:val="single" w:color="D9D9D9" w:sz="4"/>
          <w:bottom w:val="single" w:color="D9D9D9" w:sz="4"/>
          <w:right w:val="single" w:color="D9D9D9" w:sz="4"/>
          <w:insideH w:val="single" w:color="D9D9D9" w:sz="4"/>
          <w:insideV w:val="single" w:color="D9D9D9" w:sz="4"/>
        </w:tblBorders>
      </w:tblPr>
      <w:tblGrid>
        <w:gridCol w:w="3200"/>
        <w:gridCol w:w="3800"/>
        <w:gridCol w:w="2300"/>
      </w:tblGrid>
      <w:tr>
        <w:trPr>
          <w:tblHeader/>
        </w:trPr>
        <w:tc>
          <w:tcPr>
            <w:tcW w:type="dxa" w:w="3200"/>
            <w:shd w:fill="1A1A1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Modelo</w:t>
            </w:r>
          </w:p>
        </w:tc>
        <w:tc>
          <w:tcPr>
            <w:tcW w:type="dxa" w:w="3800"/>
            <w:shd w:fill="1A1A1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O que cobre</w:t>
            </w:r>
          </w:p>
        </w:tc>
        <w:tc>
          <w:tcPr>
            <w:tcW w:type="dxa" w:w="2300"/>
            <w:shd w:fill="1A1A1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Faixa de referência</w:t>
            </w:r>
          </w:p>
        </w:tc>
      </w:tr>
      <w:tr>
        <w:tc>
          <w:tcPr>
            <w:tcW w:type="dxa" w:w="3200"/>
            <w:tcMar>
              <w:top w:type="dxa" w:w="100"/>
              <w:left w:type="dxa" w:w="120"/>
              <w:bottom w:type="dxa" w:w="100"/>
              <w:right w:type="dxa" w:w="120"/>
            </w:tcMar>
          </w:tcPr>
          <w:p>
            <w:pPr>
              <w:jc w:val="left"/>
            </w:pPr>
            <w:r>
              <w:rPr>
                <w:rFonts w:ascii="Calibri" w:cs="Calibri" w:eastAsia="Calibri" w:hAnsi="Calibri"/>
                <w:b/>
                <w:bCs/>
                <w:color w:val="1A1A1A"/>
                <w:sz w:val="20"/>
                <w:szCs w:val="20"/>
              </w:rPr>
              <w:t xml:space="preserve">Mensalidade de manutenção</w:t>
            </w:r>
          </w:p>
        </w:tc>
        <w:tc>
          <w:tcPr>
            <w:tcW w:type="dxa" w:w="38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Infraestrutura (repassada) + suporte técnico + pequenos ajustes</w:t>
            </w:r>
          </w:p>
        </w:tc>
        <w:tc>
          <w:tcPr>
            <w:tcW w:type="dxa" w:w="23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R$ 150 – R$ 500+ /mês</w:t>
            </w:r>
          </w:p>
        </w:tc>
      </w:tr>
      <w:tr>
        <w:tc>
          <w:tcPr>
            <w:tcW w:type="dxa" w:w="3200"/>
            <w:tcMar>
              <w:top w:type="dxa" w:w="100"/>
              <w:left w:type="dxa" w:w="120"/>
              <w:bottom w:type="dxa" w:w="100"/>
              <w:right w:type="dxa" w:w="120"/>
            </w:tcMar>
          </w:tcPr>
          <w:p>
            <w:pPr>
              <w:jc w:val="left"/>
            </w:pPr>
            <w:r>
              <w:rPr>
                <w:rFonts w:ascii="Calibri" w:cs="Calibri" w:eastAsia="Calibri" w:hAnsi="Calibri"/>
                <w:b/>
                <w:bCs/>
                <w:color w:val="1A1A1A"/>
                <w:sz w:val="20"/>
                <w:szCs w:val="20"/>
              </w:rPr>
              <w:t xml:space="preserve">Taxa de setup inicial (se ainda houver customização a fazer)</w:t>
            </w:r>
          </w:p>
        </w:tc>
        <w:tc>
          <w:tcPr>
            <w:tcW w:type="dxa" w:w="38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Configuração inicial, deploy, ajustes finais antes de ir ao ar</w:t>
            </w:r>
          </w:p>
        </w:tc>
        <w:tc>
          <w:tcPr>
            <w:tcW w:type="dxa" w:w="23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R$ 500 – R$ 2.000 (projeto pontual)</w:t>
            </w:r>
          </w:p>
        </w:tc>
      </w:tr>
    </w:tbl>
    <w:p>
      <w:pPr>
        <w:pBdr>
          <w:left w:val="single" w:color="00A651" w:sz="18" w:space="8"/>
        </w:pBdr>
        <w:shd w:fill="F4F4F6" w:val="clear"/>
        <w:spacing w:after="200" w:before="120" w:line="264"/>
        <w:ind w:left="200"/>
      </w:pPr>
      <w:r>
        <w:rPr>
          <w:rFonts w:ascii="Calibri" w:cs="Calibri" w:eastAsia="Calibri" w:hAnsi="Calibri"/>
          <w:i/>
          <w:iCs/>
          <w:color w:val="6B7280"/>
          <w:sz w:val="20"/>
          <w:szCs w:val="20"/>
        </w:rPr>
        <w:t xml:space="preserve">Recomenda-se conversar com 2–3 desenvolvedores ou agências que atuam na mesma região antes de fechar um valor final, para calibrar contra a realidade local de mercado.</w:t>
      </w:r>
    </w:p>
    <w:p>
      <w:pPr>
        <w:pStyle w:val="Heading1"/>
        <w:pBdr>
          <w:bottom w:val="single" w:color="1A1A1A" w:sz="6" w:space="4"/>
        </w:pBdr>
        <w:spacing w:after="200" w:before="480"/>
      </w:pPr>
      <w:r>
        <w:rPr>
          <w:rFonts w:ascii="Calibri" w:cs="Calibri" w:eastAsia="Calibri" w:hAnsi="Calibri"/>
          <w:b/>
          <w:bCs/>
          <w:color w:val="1A1A1A"/>
          <w:sz w:val="28"/>
          <w:szCs w:val="28"/>
        </w:rPr>
        <w:t xml:space="preserve">7. Propriedade intelectual e licença de uso</w:t>
      </w:r>
    </w:p>
    <w:p>
      <w:pPr>
        <w:pStyle w:val="ListParagraph"/>
        <w:numPr>
          <w:ilvl w:val="0"/>
          <w:numId w:val="2"/>
        </w:numPr>
        <w:spacing w:after="80" w:line="264"/>
      </w:pPr>
      <w:r>
        <w:rPr>
          <w:rFonts w:ascii="Calibri" w:cs="Calibri" w:eastAsia="Calibri" w:hAnsi="Calibri"/>
          <w:color w:val="1A1A1A"/>
          <w:sz w:val="21"/>
          <w:szCs w:val="21"/>
        </w:rPr>
        <w:t xml:space="preserve">O código-fonte, a arquitetura, o design do banco de dados e toda a implementação técnica do sistema são de propriedade exclusiva do desenvolvedor (Jolivan Abreu).</w:t>
      </w:r>
    </w:p>
    <w:p>
      <w:pPr>
        <w:pStyle w:val="ListParagraph"/>
        <w:numPr>
          <w:ilvl w:val="0"/>
          <w:numId w:val="2"/>
        </w:numPr>
        <w:spacing w:after="80" w:line="264"/>
      </w:pPr>
      <w:r>
        <w:rPr>
          <w:rFonts w:ascii="Calibri" w:cs="Calibri" w:eastAsia="Calibri" w:hAnsi="Calibri"/>
          <w:color w:val="1A1A1A"/>
          <w:sz w:val="21"/>
          <w:szCs w:val="21"/>
        </w:rPr>
        <w:t xml:space="preserve">O cliente recebe uma licença de uso do sistema em produção, válida enquanto o contrato de manutenção estiver ativo e em dia.</w:t>
      </w:r>
    </w:p>
    <w:p>
      <w:pPr>
        <w:pStyle w:val="ListParagraph"/>
        <w:numPr>
          <w:ilvl w:val="0"/>
          <w:numId w:val="2"/>
        </w:numPr>
        <w:spacing w:after="80" w:line="264"/>
      </w:pPr>
      <w:r>
        <w:rPr>
          <w:rFonts w:ascii="Calibri" w:cs="Calibri" w:eastAsia="Calibri" w:hAnsi="Calibri"/>
          <w:color w:val="1A1A1A"/>
          <w:sz w:val="21"/>
          <w:szCs w:val="21"/>
        </w:rPr>
        <w:t xml:space="preserve">Essa licença não inclui o direito de copiar, redistribuir, revender ou sublicenciar o sistema para terceiros.</w:t>
      </w:r>
    </w:p>
    <w:p>
      <w:pPr>
        <w:pStyle w:val="ListParagraph"/>
        <w:numPr>
          <w:ilvl w:val="0"/>
          <w:numId w:val="2"/>
        </w:numPr>
        <w:spacing w:after="80" w:line="264"/>
      </w:pPr>
      <w:r>
        <w:rPr>
          <w:rFonts w:ascii="Calibri" w:cs="Calibri" w:eastAsia="Calibri" w:hAnsi="Calibri"/>
          <w:color w:val="1A1A1A"/>
          <w:sz w:val="21"/>
          <w:szCs w:val="21"/>
        </w:rPr>
        <w:t xml:space="preserve">Conteúdo enviado pelo cliente (fotos de produto, textos, dados de clientes e pedidos) permanece de propriedade do cliente.</w:t>
      </w:r>
    </w:p>
    <w:p>
      <w:pPr>
        <w:pBdr>
          <w:left w:val="single" w:color="00A651" w:sz="18" w:space="8"/>
        </w:pBdr>
        <w:shd w:fill="F4F4F6" w:val="clear"/>
        <w:spacing w:after="200" w:before="120" w:line="264"/>
        <w:ind w:left="200"/>
      </w:pPr>
      <w:r>
        <w:rPr>
          <w:rFonts w:ascii="Calibri" w:cs="Calibri" w:eastAsia="Calibri" w:hAnsi="Calibri"/>
          <w:i/>
          <w:iCs/>
          <w:color w:val="6B7280"/>
          <w:sz w:val="20"/>
          <w:szCs w:val="20"/>
        </w:rPr>
        <w:t xml:space="preserve">Esta seção é um ponto de partida. Cláusulas de propriedade intelectual têm peso legal real — revise com um advogado antes de formalizar com um cliente.</w:t>
      </w:r>
    </w:p>
    <w:p>
      <w:pPr>
        <w:pStyle w:val="Heading1"/>
        <w:pBdr>
          <w:bottom w:val="single" w:color="1A1A1A" w:sz="6" w:space="4"/>
        </w:pBdr>
        <w:spacing w:after="200" w:before="480"/>
      </w:pPr>
      <w:r>
        <w:rPr>
          <w:rFonts w:ascii="Calibri" w:cs="Calibri" w:eastAsia="Calibri" w:hAnsi="Calibri"/>
          <w:b/>
          <w:bCs/>
          <w:color w:val="1A1A1A"/>
          <w:sz w:val="28"/>
          <w:szCs w:val="28"/>
        </w:rPr>
        <w:t xml:space="preserve">8. Nível de serviço (SLA) sugerido</w:t>
      </w:r>
    </w:p>
    <w:tbl>
      <w:tblPr>
        <w:tblW w:type="dxa" w:w="9500"/>
        <w:tblBorders>
          <w:top w:val="single" w:color="D9D9D9" w:sz="4"/>
          <w:left w:val="single" w:color="D9D9D9" w:sz="4"/>
          <w:bottom w:val="single" w:color="D9D9D9" w:sz="4"/>
          <w:right w:val="single" w:color="D9D9D9" w:sz="4"/>
          <w:insideH w:val="single" w:color="D9D9D9" w:sz="4"/>
          <w:insideV w:val="single" w:color="D9D9D9" w:sz="4"/>
        </w:tblBorders>
      </w:tblPr>
      <w:tblGrid>
        <w:gridCol w:w="4500"/>
        <w:gridCol w:w="5000"/>
      </w:tblGrid>
      <w:tr>
        <w:trPr>
          <w:tblHeader/>
        </w:trPr>
        <w:tc>
          <w:tcPr>
            <w:tcW w:type="dxa" w:w="4500"/>
            <w:shd w:fill="1A1A1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Item</w:t>
            </w:r>
          </w:p>
        </w:tc>
        <w:tc>
          <w:tcPr>
            <w:tcW w:type="dxa" w:w="5000"/>
            <w:shd w:fill="1A1A1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Compromisso sugerido</w:t>
            </w:r>
          </w:p>
        </w:tc>
      </w:tr>
      <w:tr>
        <w:tc>
          <w:tcPr>
            <w:tcW w:type="dxa" w:w="4500"/>
            <w:tcMar>
              <w:top w:type="dxa" w:w="100"/>
              <w:left w:type="dxa" w:w="120"/>
              <w:bottom w:type="dxa" w:w="100"/>
              <w:right w:type="dxa" w:w="120"/>
            </w:tcMar>
          </w:tcPr>
          <w:p>
            <w:pPr>
              <w:jc w:val="left"/>
            </w:pPr>
            <w:r>
              <w:rPr>
                <w:rFonts w:ascii="Calibri" w:cs="Calibri" w:eastAsia="Calibri" w:hAnsi="Calibri"/>
                <w:b/>
                <w:bCs/>
                <w:color w:val="1A1A1A"/>
                <w:sz w:val="20"/>
                <w:szCs w:val="20"/>
              </w:rPr>
              <w:t xml:space="preserve">Disponibilidade do sistema</w:t>
            </w:r>
          </w:p>
        </w:tc>
        <w:tc>
          <w:tcPr>
            <w:tcW w:type="dxa" w:w="50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99% ao mês (tolerando manutenções programadas avisadas com antecedência)</w:t>
            </w:r>
          </w:p>
        </w:tc>
      </w:tr>
      <w:tr>
        <w:tc>
          <w:tcPr>
            <w:tcW w:type="dxa" w:w="4500"/>
            <w:tcMar>
              <w:top w:type="dxa" w:w="100"/>
              <w:left w:type="dxa" w:w="120"/>
              <w:bottom w:type="dxa" w:w="100"/>
              <w:right w:type="dxa" w:w="120"/>
            </w:tcMar>
          </w:tcPr>
          <w:p>
            <w:pPr>
              <w:jc w:val="left"/>
            </w:pPr>
            <w:r>
              <w:rPr>
                <w:rFonts w:ascii="Calibri" w:cs="Calibri" w:eastAsia="Calibri" w:hAnsi="Calibri"/>
                <w:b/>
                <w:bCs/>
                <w:color w:val="1A1A1A"/>
                <w:sz w:val="20"/>
                <w:szCs w:val="20"/>
              </w:rPr>
              <w:t xml:space="preserve">Tempo de resposta a chamado crítico (loja fora do ar, pagamento não funciona)</w:t>
            </w:r>
          </w:p>
        </w:tc>
        <w:tc>
          <w:tcPr>
            <w:tcW w:type="dxa" w:w="50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Até 4 horas úteis</w:t>
            </w:r>
          </w:p>
        </w:tc>
      </w:tr>
      <w:tr>
        <w:tc>
          <w:tcPr>
            <w:tcW w:type="dxa" w:w="4500"/>
            <w:tcMar>
              <w:top w:type="dxa" w:w="100"/>
              <w:left w:type="dxa" w:w="120"/>
              <w:bottom w:type="dxa" w:w="100"/>
              <w:right w:type="dxa" w:w="120"/>
            </w:tcMar>
          </w:tcPr>
          <w:p>
            <w:pPr>
              <w:jc w:val="left"/>
            </w:pPr>
            <w:r>
              <w:rPr>
                <w:rFonts w:ascii="Calibri" w:cs="Calibri" w:eastAsia="Calibri" w:hAnsi="Calibri"/>
                <w:b/>
                <w:bCs/>
                <w:color w:val="1A1A1A"/>
                <w:sz w:val="20"/>
                <w:szCs w:val="20"/>
              </w:rPr>
              <w:t xml:space="preserve">Tempo de resposta a chamado não crítico (ajuste, dúvida, pequeno bug)</w:t>
            </w:r>
          </w:p>
        </w:tc>
        <w:tc>
          <w:tcPr>
            <w:tcW w:type="dxa" w:w="50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Até 2 dias úteis</w:t>
            </w:r>
          </w:p>
        </w:tc>
      </w:tr>
      <w:tr>
        <w:tc>
          <w:tcPr>
            <w:tcW w:type="dxa" w:w="4500"/>
            <w:tcMar>
              <w:top w:type="dxa" w:w="100"/>
              <w:left w:type="dxa" w:w="120"/>
              <w:bottom w:type="dxa" w:w="100"/>
              <w:right w:type="dxa" w:w="120"/>
            </w:tcMar>
          </w:tcPr>
          <w:p>
            <w:pPr>
              <w:jc w:val="left"/>
            </w:pPr>
            <w:r>
              <w:rPr>
                <w:rFonts w:ascii="Calibri" w:cs="Calibri" w:eastAsia="Calibri" w:hAnsi="Calibri"/>
                <w:b/>
                <w:bCs/>
                <w:color w:val="1A1A1A"/>
                <w:sz w:val="20"/>
                <w:szCs w:val="20"/>
              </w:rPr>
              <w:t xml:space="preserve">Canal de suporte</w:t>
            </w:r>
          </w:p>
        </w:tc>
        <w:tc>
          <w:tcPr>
            <w:tcW w:type="dxa" w:w="50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A combinar (WhatsApp, e-mail ou ambos)</w:t>
            </w:r>
          </w:p>
        </w:tc>
      </w:tr>
    </w:tbl>
    <w:p>
      <w:pPr>
        <w:pStyle w:val="Heading1"/>
        <w:pBdr>
          <w:bottom w:val="single" w:color="1A1A1A" w:sz="6" w:space="4"/>
        </w:pBdr>
        <w:spacing w:after="200" w:before="480"/>
      </w:pPr>
      <w:r>
        <w:rPr>
          <w:rFonts w:ascii="Calibri" w:cs="Calibri" w:eastAsia="Calibri" w:hAnsi="Calibri"/>
          <w:b/>
          <w:bCs/>
          <w:color w:val="1A1A1A"/>
          <w:sz w:val="28"/>
          <w:szCs w:val="28"/>
        </w:rPr>
        <w:t xml:space="preserve">9. Vigência, cancelamento e portabilidade de dados</w:t>
      </w:r>
    </w:p>
    <w:p>
      <w:pPr>
        <w:pStyle w:val="ListParagraph"/>
        <w:numPr>
          <w:ilvl w:val="0"/>
          <w:numId w:val="2"/>
        </w:numPr>
        <w:spacing w:after="80" w:line="264"/>
      </w:pPr>
      <w:r>
        <w:rPr>
          <w:rFonts w:ascii="Calibri" w:cs="Calibri" w:eastAsia="Calibri" w:hAnsi="Calibri"/>
          <w:color w:val="1A1A1A"/>
          <w:sz w:val="21"/>
          <w:szCs w:val="21"/>
        </w:rPr>
        <w:t xml:space="preserve">O contrato de manutenção é válido enquanto a mensalidade estiver em dia, renovando automaticamente a cada ciclo (mensal, salvo acordo diferente).</w:t>
      </w:r>
    </w:p>
    <w:p>
      <w:pPr>
        <w:pStyle w:val="ListParagraph"/>
        <w:numPr>
          <w:ilvl w:val="0"/>
          <w:numId w:val="2"/>
        </w:numPr>
        <w:spacing w:after="80" w:line="264"/>
      </w:pPr>
      <w:r>
        <w:rPr>
          <w:rFonts w:ascii="Calibri" w:cs="Calibri" w:eastAsia="Calibri" w:hAnsi="Calibri"/>
          <w:color w:val="1A1A1A"/>
          <w:sz w:val="21"/>
          <w:szCs w:val="21"/>
        </w:rPr>
        <w:t xml:space="preserve">Em caso de cancelamento, recomenda-se um aviso prévio de 30 dias, para viabilizar a transição.</w:t>
      </w:r>
    </w:p>
    <w:p>
      <w:pPr>
        <w:pStyle w:val="ListParagraph"/>
        <w:numPr>
          <w:ilvl w:val="0"/>
          <w:numId w:val="2"/>
        </w:numPr>
        <w:spacing w:after="80" w:line="264"/>
      </w:pPr>
      <w:r>
        <w:rPr>
          <w:rFonts w:ascii="Calibri" w:cs="Calibri" w:eastAsia="Calibri" w:hAnsi="Calibri"/>
          <w:color w:val="1A1A1A"/>
          <w:sz w:val="21"/>
          <w:szCs w:val="21"/>
        </w:rPr>
        <w:t xml:space="preserve">Os dados do cliente (produtos, pedidos, clientes cadastrados) podem ser exportados ao final do contrato — o cliente não fica com os dados "presos" mesmo sem acesso ao código-fonte.</w:t>
      </w:r>
    </w:p>
    <w:p>
      <w:pPr>
        <w:pStyle w:val="ListParagraph"/>
        <w:numPr>
          <w:ilvl w:val="0"/>
          <w:numId w:val="2"/>
        </w:numPr>
        <w:spacing w:after="80" w:line="264"/>
      </w:pPr>
      <w:r>
        <w:rPr>
          <w:rFonts w:ascii="Calibri" w:cs="Calibri" w:eastAsia="Calibri" w:hAnsi="Calibri"/>
          <w:color w:val="1A1A1A"/>
          <w:sz w:val="21"/>
          <w:szCs w:val="21"/>
        </w:rPr>
        <w:t xml:space="preserve">Após o encerramento, o sistema deixa de ser hospedado/mantido pelo desenvolvedor; a loja sai do ar salvo acordo de transição diferente.</w:t>
      </w:r>
    </w:p>
    <w:p>
      <w:pPr>
        <w:pStyle w:val="Heading1"/>
        <w:pBdr>
          <w:bottom w:val="single" w:color="1A1A1A" w:sz="6" w:space="4"/>
        </w:pBdr>
        <w:spacing w:after="200" w:before="480"/>
      </w:pPr>
      <w:r>
        <w:rPr>
          <w:rFonts w:ascii="Calibri" w:cs="Calibri" w:eastAsia="Calibri" w:hAnsi="Calibri"/>
          <w:b/>
          <w:bCs/>
          <w:color w:val="1A1A1A"/>
          <w:sz w:val="28"/>
          <w:szCs w:val="28"/>
        </w:rPr>
        <w:t xml:space="preserve">10. Anexo técnico — serviços externos utilizados</w:t>
      </w:r>
    </w:p>
    <w:tbl>
      <w:tblPr>
        <w:tblW w:type="dxa" w:w="9500"/>
        <w:tblBorders>
          <w:top w:val="single" w:color="D9D9D9" w:sz="4"/>
          <w:left w:val="single" w:color="D9D9D9" w:sz="4"/>
          <w:bottom w:val="single" w:color="D9D9D9" w:sz="4"/>
          <w:right w:val="single" w:color="D9D9D9" w:sz="4"/>
          <w:insideH w:val="single" w:color="D9D9D9" w:sz="4"/>
          <w:insideV w:val="single" w:color="D9D9D9" w:sz="4"/>
        </w:tblBorders>
      </w:tblPr>
      <w:tblGrid>
        <w:gridCol w:w="2800"/>
        <w:gridCol w:w="4200"/>
        <w:gridCol w:w="2500"/>
      </w:tblGrid>
      <w:tr>
        <w:trPr>
          <w:tblHeader/>
        </w:trPr>
        <w:tc>
          <w:tcPr>
            <w:tcW w:type="dxa" w:w="2800"/>
            <w:shd w:fill="1A1A1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Serviço</w:t>
            </w:r>
          </w:p>
        </w:tc>
        <w:tc>
          <w:tcPr>
            <w:tcW w:type="dxa" w:w="4200"/>
            <w:shd w:fill="1A1A1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Papel no sistema</w:t>
            </w:r>
          </w:p>
        </w:tc>
        <w:tc>
          <w:tcPr>
            <w:tcW w:type="dxa" w:w="2500"/>
            <w:shd w:fill="1A1A1A" w:val="clear"/>
            <w:tcMar>
              <w:top w:type="dxa" w:w="100"/>
              <w:left w:type="dxa" w:w="120"/>
              <w:bottom w:type="dxa" w:w="100"/>
              <w:right w:type="dxa" w:w="120"/>
            </w:tcMar>
          </w:tcPr>
          <w:p>
            <w:pPr>
              <w:jc w:val="left"/>
            </w:pPr>
            <w:r>
              <w:rPr>
                <w:rFonts w:ascii="Calibri" w:cs="Calibri" w:eastAsia="Calibri" w:hAnsi="Calibri"/>
                <w:b/>
                <w:bCs/>
                <w:color w:val="FFFFFF"/>
                <w:sz w:val="20"/>
                <w:szCs w:val="20"/>
              </w:rPr>
              <w:t xml:space="preserve">Já integrado?</w:t>
            </w:r>
          </w:p>
        </w:tc>
      </w:tr>
      <w:tr>
        <w:tc>
          <w:tcPr>
            <w:tcW w:type="dxa" w:w="2800"/>
            <w:tcMar>
              <w:top w:type="dxa" w:w="100"/>
              <w:left w:type="dxa" w:w="120"/>
              <w:bottom w:type="dxa" w:w="100"/>
              <w:right w:type="dxa" w:w="120"/>
            </w:tcMar>
          </w:tcPr>
          <w:p>
            <w:pPr>
              <w:jc w:val="left"/>
            </w:pPr>
            <w:r>
              <w:rPr>
                <w:rFonts w:ascii="Calibri" w:cs="Calibri" w:eastAsia="Calibri" w:hAnsi="Calibri"/>
                <w:b/>
                <w:bCs/>
                <w:color w:val="1A1A1A"/>
                <w:sz w:val="20"/>
                <w:szCs w:val="20"/>
              </w:rPr>
              <w:t xml:space="preserve">Mercado Pago</w:t>
            </w:r>
          </w:p>
        </w:tc>
        <w:tc>
          <w:tcPr>
            <w:tcW w:type="dxa" w:w="42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Processamento de pagamento (Pix, cartão)</w:t>
            </w:r>
          </w:p>
        </w:tc>
        <w:tc>
          <w:tcPr>
            <w:tcW w:type="dxa" w:w="25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Sim</w:t>
            </w:r>
          </w:p>
        </w:tc>
      </w:tr>
      <w:tr>
        <w:tc>
          <w:tcPr>
            <w:tcW w:type="dxa" w:w="2800"/>
            <w:tcMar>
              <w:top w:type="dxa" w:w="100"/>
              <w:left w:type="dxa" w:w="120"/>
              <w:bottom w:type="dxa" w:w="100"/>
              <w:right w:type="dxa" w:w="120"/>
            </w:tcMar>
          </w:tcPr>
          <w:p>
            <w:pPr>
              <w:jc w:val="left"/>
            </w:pPr>
            <w:r>
              <w:rPr>
                <w:rFonts w:ascii="Calibri" w:cs="Calibri" w:eastAsia="Calibri" w:hAnsi="Calibri"/>
                <w:b/>
                <w:bCs/>
                <w:color w:val="1A1A1A"/>
                <w:sz w:val="20"/>
                <w:szCs w:val="20"/>
              </w:rPr>
              <w:t xml:space="preserve">ViaCEP</w:t>
            </w:r>
          </w:p>
        </w:tc>
        <w:tc>
          <w:tcPr>
            <w:tcW w:type="dxa" w:w="42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Preenchimento automático de endereço</w:t>
            </w:r>
          </w:p>
        </w:tc>
        <w:tc>
          <w:tcPr>
            <w:tcW w:type="dxa" w:w="25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Sim (gratuito)</w:t>
            </w:r>
          </w:p>
        </w:tc>
      </w:tr>
      <w:tr>
        <w:tc>
          <w:tcPr>
            <w:tcW w:type="dxa" w:w="2800"/>
            <w:tcMar>
              <w:top w:type="dxa" w:w="100"/>
              <w:left w:type="dxa" w:w="120"/>
              <w:bottom w:type="dxa" w:w="100"/>
              <w:right w:type="dxa" w:w="120"/>
            </w:tcMar>
          </w:tcPr>
          <w:p>
            <w:pPr>
              <w:jc w:val="left"/>
            </w:pPr>
            <w:r>
              <w:rPr>
                <w:rFonts w:ascii="Calibri" w:cs="Calibri" w:eastAsia="Calibri" w:hAnsi="Calibri"/>
                <w:b/>
                <w:bCs/>
                <w:color w:val="1A1A1A"/>
                <w:sz w:val="20"/>
                <w:szCs w:val="20"/>
              </w:rPr>
              <w:t xml:space="preserve">WhatsApp (link direto)</w:t>
            </w:r>
          </w:p>
        </w:tc>
        <w:tc>
          <w:tcPr>
            <w:tcW w:type="dxa" w:w="42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Botão de contato e "combinar frete"</w:t>
            </w:r>
          </w:p>
        </w:tc>
        <w:tc>
          <w:tcPr>
            <w:tcW w:type="dxa" w:w="25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Sim (gratuito — sem API paga)</w:t>
            </w:r>
          </w:p>
        </w:tc>
      </w:tr>
      <w:tr>
        <w:tc>
          <w:tcPr>
            <w:tcW w:type="dxa" w:w="2800"/>
            <w:tcMar>
              <w:top w:type="dxa" w:w="100"/>
              <w:left w:type="dxa" w:w="120"/>
              <w:bottom w:type="dxa" w:w="100"/>
              <w:right w:type="dxa" w:w="120"/>
            </w:tcMar>
          </w:tcPr>
          <w:p>
            <w:pPr>
              <w:jc w:val="left"/>
            </w:pPr>
            <w:r>
              <w:rPr>
                <w:rFonts w:ascii="Calibri" w:cs="Calibri" w:eastAsia="Calibri" w:hAnsi="Calibri"/>
                <w:b/>
                <w:bCs/>
                <w:color w:val="1A1A1A"/>
                <w:sz w:val="20"/>
                <w:szCs w:val="20"/>
              </w:rPr>
              <w:t xml:space="preserve">Cloudflare R2 / S3</w:t>
            </w:r>
          </w:p>
        </w:tc>
        <w:tc>
          <w:tcPr>
            <w:tcW w:type="dxa" w:w="42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Armazenamento de imagens de produto</w:t>
            </w:r>
          </w:p>
        </w:tc>
        <w:tc>
          <w:tcPr>
            <w:tcW w:type="dxa" w:w="25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Recomendado para produção</w:t>
            </w:r>
          </w:p>
        </w:tc>
      </w:tr>
      <w:tr>
        <w:tc>
          <w:tcPr>
            <w:tcW w:type="dxa" w:w="2800"/>
            <w:tcMar>
              <w:top w:type="dxa" w:w="100"/>
              <w:left w:type="dxa" w:w="120"/>
              <w:bottom w:type="dxa" w:w="100"/>
              <w:right w:type="dxa" w:w="120"/>
            </w:tcMar>
          </w:tcPr>
          <w:p>
            <w:pPr>
              <w:jc w:val="left"/>
            </w:pPr>
            <w:r>
              <w:rPr>
                <w:rFonts w:ascii="Calibri" w:cs="Calibri" w:eastAsia="Calibri" w:hAnsi="Calibri"/>
                <w:b/>
                <w:bCs/>
                <w:color w:val="1A1A1A"/>
                <w:sz w:val="20"/>
                <w:szCs w:val="20"/>
              </w:rPr>
              <w:t xml:space="preserve">Amazon SES / Brevo / Resend</w:t>
            </w:r>
          </w:p>
        </w:tc>
        <w:tc>
          <w:tcPr>
            <w:tcW w:type="dxa" w:w="42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Envio de e-mail transacional</w:t>
            </w:r>
          </w:p>
        </w:tc>
        <w:tc>
          <w:tcPr>
            <w:tcW w:type="dxa" w:w="25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A configurar</w:t>
            </w:r>
          </w:p>
        </w:tc>
      </w:tr>
      <w:tr>
        <w:tc>
          <w:tcPr>
            <w:tcW w:type="dxa" w:w="2800"/>
            <w:tcMar>
              <w:top w:type="dxa" w:w="100"/>
              <w:left w:type="dxa" w:w="120"/>
              <w:bottom w:type="dxa" w:w="100"/>
              <w:right w:type="dxa" w:w="120"/>
            </w:tcMar>
          </w:tcPr>
          <w:p>
            <w:pPr>
              <w:jc w:val="left"/>
            </w:pPr>
            <w:r>
              <w:rPr>
                <w:rFonts w:ascii="Calibri" w:cs="Calibri" w:eastAsia="Calibri" w:hAnsi="Calibri"/>
                <w:b/>
                <w:bCs/>
                <w:color w:val="1A1A1A"/>
                <w:sz w:val="20"/>
                <w:szCs w:val="20"/>
              </w:rPr>
              <w:t xml:space="preserve">Melhor Envio</w:t>
            </w:r>
          </w:p>
        </w:tc>
        <w:tc>
          <w:tcPr>
            <w:tcW w:type="dxa" w:w="42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Cotação de frete real por transportadora (opcional, futuro)</w:t>
            </w:r>
          </w:p>
        </w:tc>
        <w:tc>
          <w:tcPr>
            <w:tcW w:type="dxa" w:w="25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Não — melhoria futura</w:t>
            </w:r>
          </w:p>
        </w:tc>
      </w:tr>
      <w:tr>
        <w:tc>
          <w:tcPr>
            <w:tcW w:type="dxa" w:w="2800"/>
            <w:tcMar>
              <w:top w:type="dxa" w:w="100"/>
              <w:left w:type="dxa" w:w="120"/>
              <w:bottom w:type="dxa" w:w="100"/>
              <w:right w:type="dxa" w:w="120"/>
            </w:tcMar>
          </w:tcPr>
          <w:p>
            <w:pPr>
              <w:jc w:val="left"/>
            </w:pPr>
            <w:r>
              <w:rPr>
                <w:rFonts w:ascii="Calibri" w:cs="Calibri" w:eastAsia="Calibri" w:hAnsi="Calibri"/>
                <w:b/>
                <w:bCs/>
                <w:color w:val="1A1A1A"/>
                <w:sz w:val="20"/>
                <w:szCs w:val="20"/>
              </w:rPr>
              <w:t xml:space="preserve">Sentry</w:t>
            </w:r>
          </w:p>
        </w:tc>
        <w:tc>
          <w:tcPr>
            <w:tcW w:type="dxa" w:w="42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Monitoramento de erros em produção (opcional)</w:t>
            </w:r>
          </w:p>
        </w:tc>
        <w:tc>
          <w:tcPr>
            <w:tcW w:type="dxa" w:w="2500"/>
            <w:tcMar>
              <w:top w:type="dxa" w:w="100"/>
              <w:left w:type="dxa" w:w="120"/>
              <w:bottom w:type="dxa" w:w="100"/>
              <w:right w:type="dxa" w:w="120"/>
            </w:tcMar>
          </w:tcPr>
          <w:p>
            <w:pPr>
              <w:jc w:val="left"/>
            </w:pPr>
            <w:r>
              <w:rPr>
                <w:rFonts w:ascii="Calibri" w:cs="Calibri" w:eastAsia="Calibri" w:hAnsi="Calibri"/>
                <w:b w:val="false"/>
                <w:bCs w:val="false"/>
                <w:color w:val="1A1A1A"/>
                <w:sz w:val="20"/>
                <w:szCs w:val="20"/>
              </w:rPr>
              <w:t xml:space="preserve">Não — melhoria futura</w:t>
            </w:r>
          </w:p>
        </w:tc>
      </w:tr>
    </w:tbl>
    <w:p>
      <w:pPr>
        <w:spacing w:before="400"/>
      </w:pPr>
    </w:p>
    <w:p>
      <w:pPr>
        <w:pBdr>
          <w:left w:val="single" w:color="00A651" w:sz="18" w:space="8"/>
        </w:pBdr>
        <w:shd w:fill="F4F4F6" w:val="clear"/>
        <w:spacing w:after="200" w:before="120" w:line="264"/>
        <w:ind w:left="200"/>
      </w:pPr>
      <w:r>
        <w:rPr>
          <w:rFonts w:ascii="Calibri" w:cs="Calibri" w:eastAsia="Calibri" w:hAnsi="Calibri"/>
          <w:i/>
          <w:iCs/>
          <w:color w:val="6B7280"/>
          <w:sz w:val="20"/>
          <w:szCs w:val="20"/>
        </w:rPr>
        <w:t xml:space="preserve">Documento gerado como material de referência para estruturar a oferta de manutenção do sistema Dravennx. Atualize os valores de infraestrutura periodicamente — preços de nuvem e taxas de pagamento mudam ao longo do tempo.</w:t>
      </w:r>
    </w:p>
    <w:sectPr>
      <w:headerReference w:type="default" r:id="rId7"/>
      <w:footerReference w:type="default" r:id="rId8"/>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B7280"/>
        <w:sz w:val="16"/>
        <w:szCs w:val="16"/>
      </w:rPr>
      <w:t xml:space="preserve">Página </w:t>
    </w:r>
    <w:r>
      <w:rPr>
        <w:rFonts w:ascii="Calibri" w:cs="Calibri" w:eastAsia="Calibri" w:hAnsi="Calibri"/>
        <w:color w:val="6B7280"/>
        <w:sz w:val="16"/>
        <w:szCs w:val="16"/>
      </w:rPr>
      <w:fldChar w:fldCharType="begin"/>
      <w:instrText xml:space="preserve">PAGE</w:instrText>
      <w:fldChar w:fldCharType="separate"/>
      <w:fldChar w:fldCharType="end"/>
    </w:r>
    <w:r>
      <w:rPr>
        <w:rFonts w:ascii="Calibri" w:cs="Calibri" w:eastAsia="Calibri" w:hAnsi="Calibri"/>
        <w:color w:val="6B7280"/>
        <w:sz w:val="16"/>
        <w:szCs w:val="16"/>
      </w:rPr>
      <w:t xml:space="preserve"> de </w:t>
    </w:r>
    <w:r>
      <w:rPr>
        <w:rFonts w:ascii="Calibri" w:cs="Calibri" w:eastAsia="Calibri" w:hAnsi="Calibri"/>
        <w:color w:val="6B7280"/>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9D9D9" w:sz="4" w:space="4"/>
      </w:pBdr>
      <w:jc w:val="right"/>
    </w:pPr>
    <w:r>
      <w:rPr>
        <w:rFonts w:ascii="Calibri" w:cs="Calibri" w:eastAsia="Calibri" w:hAnsi="Calibri"/>
        <w:color w:val="6B7280"/>
        <w:sz w:val="16"/>
        <w:szCs w:val="16"/>
      </w:rPr>
      <w:t xml:space="preserve">DRAVENNX · Documentação de manutenção do sistema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2026-08-12T19:19:29.680Z</dcterms:created>
  <dcterms:modified xsi:type="dcterms:W3CDTF">2026-08-12T19:19:29.702Z</dcterms:modified>
</cp:coreProperties>
</file>

<file path=docProps/custom.xml><?xml version="1.0" encoding="utf-8"?>
<Properties xmlns="http://schemas.openxmlformats.org/officeDocument/2006/custom-properties" xmlns:vt="http://schemas.openxmlformats.org/officeDocument/2006/docPropsVTypes"/>
</file>