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1A1A"/>
          <w:sz w:val="56"/>
          <w:szCs w:val="56"/>
        </w:rPr>
        <w:t xml:space="preserve">DRAVENNX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00A651"/>
          <w:sz w:val="32"/>
          <w:szCs w:val="32"/>
        </w:rPr>
        <w:t xml:space="preserve">®</w:t>
      </w:r>
    </w:p>
    <w:p>
      <w:pPr>
        <w:spacing w:before="600"/>
        <w:jc w:val="center"/>
      </w:pPr>
      <w:r>
        <w:rPr>
          <w:rFonts w:ascii="Calibri" w:cs="Calibri" w:eastAsia="Calibri" w:hAnsi="Calibri"/>
          <w:b/>
          <w:bCs/>
          <w:color w:val="1A1A1A"/>
          <w:sz w:val="34"/>
          <w:szCs w:val="34"/>
        </w:rPr>
        <w:t xml:space="preserve">SEGURANÇA E LGPD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DOCUMENTO DE SEGURANÇA E CONFORMIDADE COM A LGPD</w:t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Documento 8 de 8 — Suíte de Documentação Técnica</w:t>
      </w:r>
    </w:p>
    <w:p>
      <w:pPr>
        <w:spacing w:before="20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Versão 2.0 — agosto de 2026 (revisão fiel ao sistema em produção)</w:t>
      </w:r>
    </w:p>
    <w:p>
      <w:pPr>
        <w:spacing w:before="10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Substitui a versão 1.0, de planejamento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O que mudou nesta revisão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Esta revisão descreve exatamente as medidas de segurança implementadas hoje no código real (lidas direto dos middlewares e services), e é honesta sobre uma lacuna real: o sistema ainda não tem uma tela de autoatendimento para o cliente exportar ou excluir os próprios dados, direito previsto pela LGPD. Isso está listado como pendência na seção 4, não como algo já resolvido.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1. Objetivo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Consolidar as práticas de segurança da informação adotadas no sistema e a forma como o tratamento de dados pessoais de clientes se relaciona com a Lei Geral de Proteção de Dados (Lei nº 13.709/2018).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2. Medidas de segurança implementadas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2.1 Autenticação e senhas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66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Implementação real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Hash de senha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bcrypt, 12 rounds — nunca armazenada nem retornada em texto puro (o model User exclui password_hash por padrão de qualquer resposta da API)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Tokens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JWT — access token de curta duração (15 min por padrão) + refresh token separado, cada um com segredo próprio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Redefinição de senha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Fluxo por e-mail com token de uso único</w:t>
            </w:r>
          </w:p>
        </w:tc>
      </w:tr>
      <w:tr>
        <w:tc>
          <w:tcPr>
            <w:tcW w:type="dxa" w:w="2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Senha temporária (admin)</w:t>
            </w:r>
          </w:p>
        </w:tc>
        <w:tc>
          <w:tcPr>
            <w:tcW w:type="dxa" w:w="66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Gerada aleatoriamente pelo painel para um usuário que perdeu acesso — nunca fica registrada em log ou em texto puro no banco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2.2 Controle de acesso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RBAC (Role-Based Access Control) — três perfis: cliente, operador, administrador. Cada rota administrativa declara explicitamente quais perfis podem acessá-la.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Um administrador não pode alterar o próprio perfil pela tela de gestão de usuários (mitiga erro ou abuso acidental que resultaria em perda de acesso administrativo).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Endpoints de escrita administrativa mais sensíveis (cupom, categoria, usuário) são restritos só a administrador; operador tem acesso de leitura mais amplo, mas escrita limitada a produtos/estoque e pedidos.</w:t>
      </w: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2.3 Proteção de rede e transporte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Medida</w:t>
            </w:r>
          </w:p>
        </w:tc>
        <w:tc>
          <w:tcPr>
            <w:tcW w:type="dxa" w:w="6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Implementação real</w:t>
            </w:r>
          </w:p>
        </w:tc>
      </w:tr>
      <w:tr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Cabeçalhos HTTP de segurança</w:t>
            </w:r>
          </w:p>
        </w:tc>
        <w:tc>
          <w:tcPr>
            <w:tcW w:type="dxa" w:w="6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Middleware Helmet, com exceção explícita de crossOriginResourcePolicy só para a pasta /uploads (necessária para o frontend, em outra origem, carregar as imagens)</w:t>
            </w:r>
          </w:p>
        </w:tc>
      </w:tr>
      <w:tr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CORS</w:t>
            </w:r>
          </w:p>
        </w:tc>
        <w:tc>
          <w:tcPr>
            <w:tcW w:type="dxa" w:w="6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Restrito às origens configuradas (FRONTEND_URL, ADMIN_URL) — não aberto para qualquer origem</w:t>
            </w:r>
          </w:p>
        </w:tc>
      </w:tr>
      <w:tr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Rate limiting</w:t>
            </w:r>
          </w:p>
        </w:tc>
        <w:tc>
          <w:tcPr>
            <w:tcW w:type="dxa" w:w="6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Login/registro: 10 tentativas por 15 min. Checkout/pagamento: 20 tentativas por 10 min. Mitiga força bruta de credenciais e abuso automatizado de checkout</w:t>
            </w:r>
          </w:p>
        </w:tc>
      </w:tr>
      <w:tr>
        <w:tc>
          <w:tcPr>
            <w:tcW w:type="dxa" w:w="28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Validação de webhook</w:t>
            </w:r>
          </w:p>
        </w:tc>
        <w:tc>
          <w:tcPr>
            <w:tcW w:type="dxa" w:w="6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 webhook do Mercado Pago exige assinatura HMAC-SHA256 válida (x-signature) antes de processar qualquer notificação — requisição sem assinatura válida é rejeitada com 401</w:t>
            </w:r>
          </w:p>
        </w:tc>
      </w:tr>
    </w:tbl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0A651"/>
          <w:sz w:val="23"/>
          <w:szCs w:val="23"/>
        </w:rPr>
        <w:t xml:space="preserve">2.4 Integridade de dados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Exclusão lógica (não física) em produtos, categorias com produtos vinculados e pedidos com histórico — nunca se apaga um registro que quebraria a integridade referencial ou o histórico de compras.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Preço do item é travado no momento da compra (order_items.unit_price) — alterações futuras no preço do produto não afetam pedidos já feitos.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Reserva de estoque validada antes de confirmar item no carrinho e na criação do pedido, evitando venda de estoque negativo.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3. Dados pessoais tratados</w:t>
      </w:r>
    </w:p>
    <w:tbl>
      <w:tblPr>
        <w:tblW w:type="dxa" w:w="900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Dados</w:t>
            </w:r>
          </w:p>
        </w:tc>
        <w:tc>
          <w:tcPr>
            <w:tcW w:type="dxa" w:w="3400"/>
            <w:shd w:fill="1A1A1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Cadastro do cliente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Nome, e-mail, CPF, telefone, senha (hash)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Identificação e autenticação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Endereço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Rua, número, complemento, bairro, cidade, UF, CEP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Entrega do pedido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Pedido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Itens comprados, valores, forma de pagamento, status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Processamento e histórico da compra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Pagamento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ID da transação no Mercado Pago, método, status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Confirmação e conciliação financeira — o sistema não armazena dados de cartão; isso é feito pelo Mercado Pago (o backend recebe só um token de pagamento)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Avaliação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Nota, comentário, vínculo com o produto e o cliente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Exibição pública de avaliação de produto</w:t>
            </w:r>
          </w:p>
        </w:tc>
      </w:tr>
      <w:tr>
        <w:tc>
          <w:tcPr>
            <w:tcW w:type="dxa" w:w="22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Navegação/preferência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Favoritos, histórico de pedidos</w:t>
            </w:r>
          </w:p>
        </w:tc>
        <w:tc>
          <w:tcPr>
            <w:tcW w:type="dxa" w:w="34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Personalização da experiência do cliente logado</w:t>
            </w:r>
          </w:p>
        </w:tc>
      </w:tr>
    </w:tbl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O sistema não coleta dados de navegação de visitantes não autenticados além do necessário para o funcionamento técnico do site (não há pixel de rastreamento de terceiros nem cookie de analytics configurado no código atual).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4. Pendências em relação à LGPD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 sistema atende às boas práticas técnicas de segurança (seção 2), mas ainda não implementa dois direitos específicos do titular de dados previstos na LGPD como funcionalidade de autoatendimento: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Exportação dos próprios dados — hoje não existe uma tela ou endpoint onde o cliente baixe uma cópia de todos os seus dados pessoais armazenados. É possível fazer isso manualmente por consulta direta ao banco, mas não é uma funcionalidade exposta ao cliente.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Exclusão/anonimização da conta a pedido do cliente — hoje não existe um fluxo de "excluir minha conta" no sistema. Um pedido de exclusão precisaria ser tratado manualmente pela equipe.</w:t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Essas duas pendências já estavam identificadas antes desta revisão (constam na lista de próximos passos do projeto) e continuam pendentes — não foram implementadas entre a v1.0 e esta v2.0 do documento. Recomenda-se priorizá-las caso a base de clientes cresça, para reduzir risco de não conformidade.</w:t>
      </w:r>
    </w:p>
    <w:p>
      <w:pPr>
        <w:pStyle w:val="Heading1"/>
        <w:pBdr>
          <w:bottom w:val="single" w:color="1A1A1A" w:sz="6" w:space="4"/>
        </w:pBdr>
        <w:spacing w:after="200" w:before="48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5. Recomendações não implementadas (segurança)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Monitoramento de erro em produção (ex.: Sentry) — ajudaria a identificar tentativas de abuso ou falhas seguras antes que um cliente reclame.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Log de auditoria explícito para ações administrativas sensíveis (troca de perfil de usuário, exclusão de cupom/categoria) — hoje a ação acontece, mas não fica um registro histórico dedicado de quem fez o quê e quando, além do que os logs de aplicação padrão capturam.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Política de retenção de dados formal (por quanto tempo pedidos/contas inativas são mantidos) — não definida no sistema hoje.</w:t>
      </w:r>
    </w:p>
    <w:p>
      <w:pPr>
        <w:spacing w:after="16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/>
      </w:r>
    </w:p>
    <w:p>
      <w:pPr>
        <w:pBdr>
          <w:left w:val="single" w:color="00A651" w:sz="18" w:space="8"/>
        </w:pBdr>
        <w:shd w:fill="F4F4F6" w:val="clear"/>
        <w:spacing w:after="200" w:before="120" w:line="264"/>
        <w:ind w:left="2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Documento revisado a partir da leitura direta dos middlewares de segurança, services de autenticação e integração de pagamento do backend real. As pendências da seção 4 são reportadas com honestidade — não foram implementadas, e omiti-las neste documento criaria uma falsa sensação de conformidade completa.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Página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de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DRAVENNX · Segurança e LGPD (v2.0)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2026-08-13T12:43:56.477Z</dcterms:created>
  <dcterms:modified xsi:type="dcterms:W3CDTF">2026-08-13T12:43:56.477Z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