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7241F"/>
          <w:sz w:val="32"/>
          <w:szCs w:val="32"/>
        </w:rPr>
        <w:t xml:space="preserve">Meu Controle Financeiro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b/>
          <w:bCs/>
          <w:color w:val="2E4A5C"/>
          <w:sz w:val="48"/>
          <w:szCs w:val="48"/>
        </w:rPr>
        <w:t xml:space="preserve">Documento de Arquitetura de Software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4B5B59"/>
          <w:sz w:val="24"/>
          <w:szCs w:val="24"/>
        </w:rPr>
        <w:t xml:space="preserve">SAD — Software Architecture Document</w:t>
      </w:r>
    </w:p>
    <w:p>
      <w:pPr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Versão 1.0</w:t>
      </w:r>
    </w:p>
    <w:p>
      <w:pPr>
        <w:spacing w:after="2400"/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Julho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Sumário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1. Introdução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2. Visão Geral da Arquitetura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3. Visão Lógica (Camadas do Backend)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4. Decisões Arquiteturais Relevantes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5. Visão de Dados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6. Visão de Implantação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7. Riscos Técnicos e Débito Técnico Conhecido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1. Introdução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Este documento descreve a arquitetura de software do sistema “Meu Controle Financeiro”: suas camadas, tecnologias, padrões adotados e as decisões arquiteturais mais relevantes — em especial as que não são óbvias apenas lendo o código.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2. Visão Geral da Arquitetura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O sistema segue uma arquitetura cliente-servidor clássica, com separação total entre frontend e backend, comunicando-se por API REST em JSON. O backend segue um estilo em camadas (rotas → middlewares → controllers → models/ORM → banco de dados).</w:t>
      </w:r>
    </w:p>
    <w:p>
      <w:pPr>
        <w:spacing w:after="200" w:before="200"/>
        <w:jc w:val="center"/>
      </w:pPr>
      <w:r>
        <w:drawing>
          <wp:inline distT="0" distB="0" distL="0" distR="0">
            <wp:extent cx="44767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2.1 Stack Tecnológica</w:t>
      </w:r>
    </w:p>
    <w:tbl>
      <w:tblPr>
        <w:tblW w:type="dxa" w:w="94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8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Frontend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React 19, Vite, Tailwind CSS, React Router, Axios, Recharts</w:t>
            </w:r>
          </w:p>
        </w:tc>
      </w:tr>
      <w:tr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Backend</w:t>
            </w:r>
          </w:p>
        </w:tc>
        <w:tc>
          <w:tcPr>
            <w:tcW w:type="dxa" w:w="6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Node.js, Express, Sequelize (ORM)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MySQL / MariaDB</w:t>
            </w:r>
          </w:p>
        </w:tc>
      </w:tr>
      <w:tr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JSON Web Token (JWT) + bcryptjs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E-mail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Nodemailer (SMTP)</w:t>
            </w:r>
          </w:p>
        </w:tc>
      </w:tr>
      <w:tr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Geração de PDF</w:t>
            </w:r>
          </w:p>
        </w:tc>
        <w:tc>
          <w:tcPr>
            <w:tcW w:type="dxa" w:w="6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pdfmake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express-rate-limit</w:t>
            </w:r>
          </w:p>
        </w:tc>
      </w:tr>
      <w:tr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Testes</w:t>
            </w:r>
          </w:p>
        </w:tc>
        <w:tc>
          <w:tcPr>
            <w:tcW w:type="dxa" w:w="6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Jest + Supertest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3. Visão Lógica (Camadas do Backend)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Rotas (routes.js) — mapeiam método HTTP + caminho para um método de controller. Rotas privadas ficam após o middleware de autenticação.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Middlewares — auth.js valida o JWT e injeta req.userId; rateLimiter.js limita tentativas nas rotas de autenticação.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Controllers — concentram a regra de negócio de cada recurso (Transaction, Budget, Goal, Card, Category, Subcategory, Report, User, Session, PasswordReset).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Models — mapeiam entidades do banco via Sequelize, com associações declaradas explicitamente em cada model.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4. Decisões Arquiteturais Relevantes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4.1 Ciclo de fatura calculado, não armazenado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O sistema não guarda “a qual fatura cada transação pertence” como um dado persistido — esse vínculo é recalculado a cada consulta, a partir da data da transação e do dia de fechamento do cartão. A vantagem é que alterar o dia de fechamento de um cartão reflete corretamente em todo o histórico sem precisar migrar dados; a desvantagem é que o cálculo (funções getCurrentCycle / getCycleForClosingMonth em CardController.js) precisa tratar corretamente casos-limite como dia de fechamento inexistente no mês (31 em fevereiro) e virada de ano.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4.2 Auto-relacionamento para cartões físicos e virtuais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Em vez de duas tabelas separadas (uma para cartões físicos, outra para virtuais), a tabela Card referencia a si mesma via cartaoPaiId. Isso evita duplicação de schema e permite que um cartão físico tenha zero, um ou vários virtuais sem alterações estruturais. Cartões virtuais têm limiteTotal, diaFechamento e diaVencimento sempre nulos — esses valores são sempre lidos do cartão físico pai em tempo de consulta, nunca duplicados.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4.3 Categoria como referência, não texto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Orçamentos referenciam categorias por chave estrangeira (categoryId), não por nome digitado. Essa decisão evita divergência entre o texto salvo em um orçamento e o nome real da categoria (por exemplo, por diferença de maiúsculas/minúsculas ou espaço extra), que impediria o cálculo correto do gasto do orçamento.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4.4 Tokens de segurança com hash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Tokens de confirmação de e-mail e redefinição de senha são gerados aleatoriamente, enviados por e-mail em texto puro, mas armazenados no banco apenas como hash SHA-256. Isso segue o mesmo princípio de nunca armazenar segredos reversíveis, análogo ao hash de senha com bcrypt.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4.5 Degradação graciosa sem SMTP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Funcionalidades que dependem de e-mail (confirmação de cadastro, redefinição de senha) verificam a presença das variáveis de ambiente MAIL_*. Se ausentes, o fluxo continua normalmente e o link é apenas registrado em log — o sistema nunca fica bloqueado por falta de configuração de e-mail, especialmente relevante em ambiente de desenvolvimento.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5. Visão de Dados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O modelo de dados completo está detalhado no documento “Diagrama de Entidade-Relacionamento (DER)”.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6. Visão de Implantação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Frontend: build estático (Vite) hospedável em qualquer serviço de arquivos estáticos/CDN.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Backend: processo Node.js único, conectado a uma instância MySQL/MariaDB.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Banco de dados: pode rodar via container Docker (docker-compose.yml incluso no repositório) em desenvolvimento, ou instância gerenciada em produção.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Variáveis sensíveis (segredo do JWT, credenciais de banco e SMTP) são configuradas via variáveis de ambiente, nunca commitadas no repositório.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7. Riscos Técnicos e Débito Técnico Conhecido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A lógica de cálculo de ciclo de fatura não possui teste automatizado ainda — apenas validação manual documentada no processo de desenvolvimento.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GET /transactions sem paginação (usado por Dashboard e Relatórios) retorna todos os registros do período; em uso com muitos anos de histórico, deve evoluir para paginação também nesses casos.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Sessões expiram em 7 dias fixos, sem renovação automática nem aviso proativo ao usuário.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B59"/>
        <w:sz w:val="16"/>
        <w:szCs w:val="16"/>
      </w:rPr>
      <w:t xml:space="preserve"> de </w:t>
    </w: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C5" w:sz="4" w:space="4"/>
      </w:pBdr>
    </w:pPr>
    <w:r>
      <w:rPr>
        <w:rFonts w:ascii="Calibri" w:cs="Calibri" w:eastAsia="Calibri" w:hAnsi="Calibri"/>
        <w:color w:val="4B5B59"/>
        <w:sz w:val="16"/>
        <w:szCs w:val="16"/>
      </w:rPr>
      <w:t xml:space="preserve">Meu Controle Financeiro — </w:t>
    </w:r>
    <w:r>
      <w:rPr>
        <w:rFonts w:ascii="Calibri" w:cs="Calibri" w:eastAsia="Calibri" w:hAnsi="Calibri"/>
        <w:b/>
        <w:bCs/>
        <w:color w:val="4B5B59"/>
        <w:sz w:val="16"/>
        <w:szCs w:val="16"/>
      </w:rPr>
      <w:t xml:space="preserve">Documento de Arquitetura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B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ea5a9dc5859be17dae2710e75b5a5ec806700f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2026-07-26T23:04:01.386Z</dcterms:created>
  <dcterms:modified xsi:type="dcterms:W3CDTF">2026-07-26T23:04:01.387Z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