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2026 年三季度经营分析报告</w:t>
      </w:r>
    </w:p>
    <w:p>
      <w:pPr>
        <w:pStyle w:val="Heading2"/>
      </w:pPr>
      <w:r>
        <w:t>一、总体表现</w:t>
      </w:r>
    </w:p>
    <w:p>
      <w:r>
        <w:t>2026 年 7 至 9 月，公司营业收入由 86 万元增长至 108 万元，累计增幅 25.6%；营业利润由 20 万元增长至 28 万元；利润率由 23.3% 提升至 25.9%。运营成本由 66 万元上升至 80 万元，环比增速高于营收增速，是本期需要重点关注的科目。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tcBorders>
              <w:top w:val="single" w:sz="18" w:color="1F2937"/>
              <w:bottom w:val="single" w:sz="8" w:color="1F2937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b/>
                <w:sz w:val="20"/>
              </w:rPr>
              <w:t>经营指标 / 万元</w:t>
            </w:r>
          </w:p>
        </w:tc>
        <w:tc>
          <w:tcPr>
            <w:tcW w:type="dxa" w:w="2266"/>
            <w:tcBorders>
              <w:top w:val="single" w:sz="18" w:color="1F2937"/>
              <w:bottom w:val="single" w:sz="8" w:color="1F2937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7 月</w:t>
            </w:r>
          </w:p>
        </w:tc>
        <w:tc>
          <w:tcPr>
            <w:tcW w:type="dxa" w:w="2266"/>
            <w:tcBorders>
              <w:top w:val="single" w:sz="18" w:color="1F2937"/>
              <w:bottom w:val="single" w:sz="8" w:color="1F2937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8 月</w:t>
            </w:r>
          </w:p>
        </w:tc>
        <w:tc>
          <w:tcPr>
            <w:tcW w:type="dxa" w:w="2266"/>
            <w:tcBorders>
              <w:top w:val="single" w:sz="18" w:color="1F2937"/>
              <w:bottom w:val="single" w:sz="8" w:color="1F2937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9 月</w:t>
            </w:r>
          </w:p>
        </w:tc>
      </w:tr>
      <w:tr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b/>
                <w:sz w:val="20"/>
              </w:rPr>
              <w:t>营业收入</w:t>
            </w:r>
          </w:p>
        </w:tc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86</w:t>
            </w:r>
          </w:p>
        </w:tc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94</w:t>
            </w:r>
          </w:p>
        </w:tc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108</w:t>
            </w:r>
          </w:p>
        </w:tc>
      </w:tr>
      <w:tr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b/>
                <w:sz w:val="20"/>
              </w:rPr>
              <w:t>运营成本</w:t>
            </w:r>
          </w:p>
        </w:tc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66</w:t>
            </w:r>
          </w:p>
        </w:tc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</w:t>
            </w:r>
          </w:p>
        </w:tc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80</w:t>
            </w:r>
          </w:p>
        </w:tc>
      </w:tr>
      <w:tr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b/>
                <w:sz w:val="20"/>
              </w:rPr>
              <w:t>营业利润</w:t>
            </w:r>
          </w:p>
        </w:tc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22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28</w:t>
            </w:r>
          </w:p>
        </w:tc>
      </w:tr>
      <w:tr>
        <w:tc>
          <w:tcPr>
            <w:tcW w:type="dxa" w:w="2266"/>
            <w:tcBorders>
              <w:top w:val="nil"/>
              <w:bottom w:val="single" w:sz="18" w:color="1F2937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b/>
                <w:sz w:val="20"/>
              </w:rPr>
              <w:t>利润率</w:t>
            </w:r>
          </w:p>
        </w:tc>
        <w:tc>
          <w:tcPr>
            <w:tcW w:type="dxa" w:w="2266"/>
            <w:tcBorders>
              <w:top w:val="nil"/>
              <w:bottom w:val="single" w:sz="18" w:color="1F2937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23.3%</w:t>
            </w:r>
          </w:p>
        </w:tc>
        <w:tc>
          <w:tcPr>
            <w:tcW w:type="dxa" w:w="2266"/>
            <w:tcBorders>
              <w:top w:val="nil"/>
              <w:bottom w:val="single" w:sz="18" w:color="1F2937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23.4%</w:t>
            </w:r>
          </w:p>
        </w:tc>
        <w:tc>
          <w:tcPr>
            <w:tcW w:type="dxa" w:w="2266"/>
            <w:tcBorders>
              <w:top w:val="nil"/>
              <w:bottom w:val="single" w:sz="18" w:color="1F2937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25.9%</w:t>
            </w:r>
          </w:p>
        </w:tc>
      </w:tr>
    </w:tbl>
    <w:p>
      <w:pPr>
        <w:pStyle w:val="Heading2"/>
      </w:pPr>
      <w:r>
        <w:t>二、结论与行动建议</w:t>
      </w:r>
    </w:p>
    <w:p>
      <w:pPr>
        <w:pStyle w:val="ListBullet"/>
      </w:pPr>
      <w:r>
        <w:t>成本专项：9 月运营成本环比增长 11.1%，建议对采购价格与渠道费用逐项复核。</w:t>
      </w:r>
    </w:p>
    <w:p>
      <w:pPr>
        <w:pStyle w:val="ListBullet"/>
      </w:pPr>
      <w:r>
        <w:t>结构优化：利润率连续三月改善，维持在 25% 以上，当前收入结构可继续执行。</w:t>
      </w:r>
    </w:p>
    <w:p>
      <w:pPr>
        <w:pStyle w:val="ListBullet"/>
      </w:pPr>
      <w:r>
        <w:t>增量探索：海外收入占 9 月营收 12.0%，建议评估该渠道的可复制性。</w:t>
      </w:r>
    </w:p>
    <w:p>
      <w:pPr>
        <w:pStyle w:val="ListBullet"/>
      </w:pPr>
      <w:r>
        <w:t>数据口径：本报告数据源为《月度经营.xlsx》，与演示文稿使用同一份口径。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