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Hospital Hipólito Unanue (Calidad de apoyo), Hospital Nacional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76"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36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El día 2</w:t>
      </w:r>
      <w:r>
        <w:rPr>
          <w:rFonts w:eastAsia="Arial" w:cs="Arial" w:ascii="Arial" w:hAnsi="Arial"/>
          <w:color w:val="auto"/>
          <w:sz w:val="24"/>
          <w:szCs w:val="24"/>
        </w:rPr>
        <w:t>2</w:t>
      </w:r>
      <w:r>
        <w:rPr>
          <w:rFonts w:eastAsia="Arial" w:cs="Arial" w:ascii="Arial" w:hAnsi="Arial"/>
          <w:color w:val="auto"/>
          <w:sz w:val="24"/>
          <w:szCs w:val="24"/>
        </w:rPr>
        <w:t>FEB26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36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36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36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36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 xml:space="preserve">Ademas, </w:t>
      </w:r>
      <w:r>
        <w:rPr>
          <w:rFonts w:eastAsia="Arial" w:cs="Arial" w:ascii="Arial" w:hAnsi="Arial"/>
          <w:color w:val="auto"/>
          <w:sz w:val="24"/>
          <w:szCs w:val="24"/>
        </w:rPr>
        <w:t xml:space="preserve">por </w:t>
      </w:r>
      <w:r>
        <w:rPr>
          <w:rFonts w:eastAsia="Arial" w:cs="Arial" w:ascii="Arial" w:hAnsi="Arial"/>
          <w:color w:val="auto"/>
          <w:sz w:val="24"/>
          <w:szCs w:val="24"/>
        </w:rPr>
        <w:t>orden del Juez PALOMINO MORENO Harold Alejandro, perteneciente al 4</w:t>
      </w:r>
      <w:r>
        <w:rPr>
          <w:rFonts w:eastAsia="Arial" w:cs="Arial" w:ascii="Arial" w:hAnsi="Arial"/>
          <w:color w:val="auto"/>
          <w:sz w:val="24"/>
          <w:szCs w:val="24"/>
          <w:vertAlign w:val="superscript"/>
        </w:rPr>
        <w:t>to</w:t>
      </w:r>
      <w:r>
        <w:rPr>
          <w:rFonts w:eastAsia="Arial" w:cs="Arial" w:ascii="Arial" w:hAnsi="Arial"/>
          <w:color w:val="auto"/>
          <w:sz w:val="24"/>
          <w:szCs w:val="24"/>
        </w:rPr>
        <w:t xml:space="preserve"> </w:t>
      </w:r>
      <w:r>
        <w:rPr>
          <w:rFonts w:eastAsia="Arial" w:cs="Arial" w:ascii="Arial" w:hAnsi="Arial"/>
          <w:color w:val="auto"/>
          <w:sz w:val="24"/>
          <w:szCs w:val="24"/>
        </w:rPr>
        <w:t xml:space="preserve">Juzgado de Investigación Preparatoria, </w:t>
      </w:r>
      <w:r>
        <w:rPr>
          <w:rFonts w:eastAsia="Arial" w:cs="Arial" w:ascii="Arial" w:hAnsi="Arial"/>
          <w:color w:val="auto"/>
          <w:sz w:val="24"/>
          <w:szCs w:val="24"/>
        </w:rPr>
        <w:t xml:space="preserve">por medio de la </w:t>
      </w:r>
      <w:r>
        <w:rPr>
          <w:rFonts w:eastAsia="Arial" w:cs="Arial" w:ascii="Arial" w:hAnsi="Arial"/>
          <w:color w:val="auto"/>
          <w:sz w:val="24"/>
          <w:szCs w:val="24"/>
        </w:rPr>
        <w:t xml:space="preserve">Notificación N.° 79747-2026-JR-PE, </w:t>
      </w:r>
      <w:r>
        <w:rPr>
          <w:rFonts w:eastAsia="Arial" w:cs="Arial" w:ascii="Arial" w:hAnsi="Arial"/>
          <w:color w:val="auto"/>
          <w:sz w:val="24"/>
          <w:szCs w:val="24"/>
        </w:rPr>
        <w:t xml:space="preserve">se ordena el traslado </w:t>
      </w:r>
      <w:r>
        <w:rPr>
          <w:rFonts w:eastAsia="Arial" w:cs="Arial" w:ascii="Arial" w:hAnsi="Arial"/>
          <w:color w:val="auto"/>
          <w:sz w:val="24"/>
          <w:szCs w:val="24"/>
        </w:rPr>
        <w:t xml:space="preserve"> del </w:t>
      </w:r>
      <w:r>
        <w:rPr>
          <w:rFonts w:eastAsia="Arial" w:cs="Arial" w:ascii="Arial" w:hAnsi="Arial"/>
          <w:color w:val="auto"/>
          <w:sz w:val="24"/>
          <w:szCs w:val="24"/>
        </w:rPr>
        <w:t>interno</w:t>
      </w:r>
      <w:r>
        <w:rPr>
          <w:rFonts w:eastAsia="Arial" w:cs="Arial" w:ascii="Arial" w:hAnsi="Arial"/>
          <w:color w:val="auto"/>
          <w:sz w:val="24"/>
          <w:szCs w:val="24"/>
        </w:rPr>
        <w:t xml:space="preserve"> GONZALES GALARRETA Angelo Ivan, quien se encontraba internado en el Hospital Hipólito Unanue, pabellón N.° H3, piso N.° 03, cama N.° 21, </w:t>
      </w:r>
      <w:r>
        <w:rPr>
          <w:rFonts w:eastAsia="Arial" w:cs="Arial" w:ascii="Arial" w:hAnsi="Arial"/>
          <w:color w:val="auto"/>
          <w:sz w:val="24"/>
          <w:szCs w:val="24"/>
        </w:rPr>
        <w:t>hacia</w:t>
      </w:r>
      <w:r>
        <w:rPr>
          <w:rFonts w:eastAsia="Arial" w:cs="Arial" w:ascii="Arial" w:hAnsi="Arial"/>
          <w:color w:val="auto"/>
          <w:sz w:val="24"/>
          <w:szCs w:val="24"/>
        </w:rPr>
        <w:t xml:space="preserve"> </w:t>
      </w:r>
      <w:r>
        <w:rPr>
          <w:rFonts w:eastAsia="Arial" w:cs="Arial" w:ascii="Arial" w:hAnsi="Arial"/>
          <w:color w:val="auto"/>
          <w:sz w:val="24"/>
          <w:szCs w:val="24"/>
        </w:rPr>
        <w:t xml:space="preserve">la Carceleta de Lima, ubicada </w:t>
      </w:r>
      <w:r>
        <w:rPr>
          <w:rFonts w:eastAsia="Arial" w:cs="Arial" w:ascii="Arial" w:hAnsi="Arial"/>
          <w:color w:val="auto"/>
          <w:sz w:val="24"/>
          <w:szCs w:val="24"/>
        </w:rPr>
        <w:t>en el interior</w:t>
      </w:r>
      <w:r>
        <w:rPr>
          <w:rFonts w:eastAsia="Arial" w:cs="Arial" w:ascii="Arial" w:hAnsi="Arial"/>
          <w:color w:val="auto"/>
          <w:sz w:val="24"/>
          <w:szCs w:val="24"/>
        </w:rPr>
        <w:t xml:space="preserve"> del E.P. Ancón II.</w:t>
      </w:r>
    </w:p>
    <w:p>
      <w:pPr>
        <w:pStyle w:val="Normal"/>
        <w:numPr>
          <w:ilvl w:val="0"/>
          <w:numId w:val="0"/>
        </w:numPr>
        <w:tabs>
          <w:tab w:val="clear" w:pos="720"/>
          <w:tab w:val="left" w:pos="1701" w:leader="none"/>
        </w:tabs>
        <w:spacing w:lineRule="auto" w:line="36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36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 xml:space="preserve">En tal sentido, se dio cumplimiento a la  </w:t>
      </w:r>
      <w:r>
        <w:rPr>
          <w:rFonts w:eastAsia="Arial" w:cs="Arial" w:ascii="Arial" w:hAnsi="Arial"/>
          <w:color w:val="auto"/>
          <w:sz w:val="24"/>
          <w:szCs w:val="24"/>
        </w:rPr>
        <w:t xml:space="preserve">Notificación N.° 79747-2026-JR-PE, </w:t>
      </w:r>
      <w:r>
        <w:rPr>
          <w:rFonts w:eastAsia="Arial" w:cs="Arial" w:ascii="Arial" w:hAnsi="Arial"/>
          <w:color w:val="auto"/>
          <w:sz w:val="24"/>
          <w:szCs w:val="24"/>
        </w:rPr>
        <w:t xml:space="preserve">procediendo a las </w:t>
      </w:r>
      <w:r>
        <w:rPr>
          <w:rFonts w:eastAsia="Arial" w:cs="Arial" w:ascii="Arial" w:hAnsi="Arial"/>
          <w:color w:val="auto"/>
          <w:sz w:val="24"/>
          <w:szCs w:val="24"/>
        </w:rPr>
        <w:t>16</w:t>
      </w:r>
      <w:r>
        <w:rPr>
          <w:rFonts w:eastAsia="Arial" w:cs="Arial" w:ascii="Arial" w:hAnsi="Arial"/>
          <w:color w:val="auto"/>
          <w:sz w:val="24"/>
          <w:szCs w:val="24"/>
        </w:rPr>
        <w:t>:</w:t>
      </w:r>
      <w:r>
        <w:rPr>
          <w:rFonts w:eastAsia="Arial" w:cs="Arial" w:ascii="Arial" w:hAnsi="Arial"/>
          <w:color w:val="auto"/>
          <w:sz w:val="24"/>
          <w:szCs w:val="24"/>
        </w:rPr>
        <w:t>4</w:t>
      </w:r>
      <w:r>
        <w:rPr>
          <w:rFonts w:eastAsia="Arial" w:cs="Arial" w:ascii="Arial" w:hAnsi="Arial"/>
          <w:color w:val="auto"/>
          <w:sz w:val="24"/>
          <w:szCs w:val="24"/>
        </w:rPr>
        <w:t xml:space="preserve">0 horas con el inicio del traslado  </w:t>
      </w:r>
      <w:r>
        <w:rPr>
          <w:rFonts w:eastAsia="Arial" w:cs="Arial" w:ascii="Arial" w:hAnsi="Arial"/>
          <w:color w:val="auto"/>
          <w:sz w:val="24"/>
          <w:szCs w:val="24"/>
        </w:rPr>
        <w:t xml:space="preserve">del </w:t>
      </w:r>
      <w:r>
        <w:rPr>
          <w:rFonts w:eastAsia="Arial" w:cs="Arial" w:ascii="Arial" w:hAnsi="Arial"/>
          <w:color w:val="auto"/>
          <w:sz w:val="24"/>
          <w:szCs w:val="24"/>
        </w:rPr>
        <w:t>interno</w:t>
      </w:r>
      <w:r>
        <w:rPr>
          <w:rFonts w:eastAsia="Arial" w:cs="Arial" w:ascii="Arial" w:hAnsi="Arial"/>
          <w:color w:val="auto"/>
          <w:sz w:val="24"/>
          <w:szCs w:val="24"/>
        </w:rPr>
        <w:t xml:space="preserve"> GONZALES GALARRETA Angelo Ivan, </w:t>
      </w:r>
      <w:r>
        <w:rPr>
          <w:rFonts w:eastAsia="Arial" w:cs="Arial" w:ascii="Arial" w:hAnsi="Arial"/>
          <w:color w:val="auto"/>
          <w:sz w:val="24"/>
          <w:szCs w:val="24"/>
        </w:rPr>
        <w:t xml:space="preserve">del  </w:t>
      </w:r>
      <w:r>
        <w:rPr>
          <w:rFonts w:eastAsia="Arial" w:cs="Arial" w:ascii="Arial" w:hAnsi="Arial"/>
          <w:color w:val="auto"/>
          <w:sz w:val="24"/>
          <w:szCs w:val="24"/>
        </w:rPr>
        <w:t xml:space="preserve">Hospital Hipólito Unanue, </w:t>
      </w:r>
      <w:r>
        <w:rPr>
          <w:rFonts w:eastAsia="Arial" w:cs="Arial" w:ascii="Arial" w:hAnsi="Arial"/>
          <w:color w:val="auto"/>
          <w:sz w:val="24"/>
          <w:szCs w:val="24"/>
        </w:rPr>
        <w:t xml:space="preserve">siendo internado a las </w:t>
      </w:r>
      <w:r>
        <w:rPr>
          <w:rFonts w:eastAsia="Arial" w:cs="Arial" w:ascii="Arial" w:hAnsi="Arial"/>
          <w:color w:val="auto"/>
          <w:sz w:val="24"/>
          <w:szCs w:val="24"/>
        </w:rPr>
        <w:t>18</w:t>
      </w:r>
      <w:r>
        <w:rPr>
          <w:rFonts w:eastAsia="Arial" w:cs="Arial" w:ascii="Arial" w:hAnsi="Arial"/>
          <w:color w:val="auto"/>
          <w:sz w:val="24"/>
          <w:szCs w:val="24"/>
        </w:rPr>
        <w:t>:</w:t>
      </w:r>
      <w:r>
        <w:rPr>
          <w:rFonts w:eastAsia="Arial" w:cs="Arial" w:ascii="Arial" w:hAnsi="Arial"/>
          <w:color w:val="auto"/>
          <w:sz w:val="24"/>
          <w:szCs w:val="24"/>
        </w:rPr>
        <w:t>1</w:t>
      </w:r>
      <w:r>
        <w:rPr>
          <w:rFonts w:eastAsia="Arial" w:cs="Arial" w:ascii="Arial" w:hAnsi="Arial"/>
          <w:color w:val="auto"/>
          <w:sz w:val="24"/>
          <w:szCs w:val="24"/>
        </w:rPr>
        <w:t xml:space="preserve">0 horas en la </w:t>
      </w:r>
      <w:r>
        <w:rPr>
          <w:rFonts w:eastAsia="Arial" w:cs="Arial" w:ascii="Arial" w:hAnsi="Arial"/>
          <w:color w:val="auto"/>
          <w:sz w:val="24"/>
          <w:szCs w:val="24"/>
        </w:rPr>
        <w:t xml:space="preserve">Carceleta de Lima, ubicada </w:t>
      </w:r>
      <w:r>
        <w:rPr>
          <w:rFonts w:eastAsia="Arial" w:cs="Arial" w:ascii="Arial" w:hAnsi="Arial"/>
          <w:color w:val="auto"/>
          <w:sz w:val="24"/>
          <w:szCs w:val="24"/>
        </w:rPr>
        <w:t>en el interior</w:t>
      </w:r>
      <w:r>
        <w:rPr>
          <w:rFonts w:eastAsia="Arial" w:cs="Arial" w:ascii="Arial" w:hAnsi="Arial"/>
          <w:color w:val="auto"/>
          <w:sz w:val="24"/>
          <w:szCs w:val="24"/>
        </w:rPr>
        <w:t xml:space="preserve"> del E.P. Ancón II, </w:t>
      </w:r>
      <w:r>
        <w:rPr>
          <w:rFonts w:eastAsia="Arial" w:cs="Arial" w:ascii="Arial" w:hAnsi="Arial"/>
          <w:color w:val="auto"/>
          <w:sz w:val="24"/>
          <w:szCs w:val="24"/>
        </w:rPr>
        <w:t>misma diligencia que culmino sin novedad alguna.</w:t>
      </w:r>
    </w:p>
    <w:p>
      <w:pPr>
        <w:pStyle w:val="Normal"/>
        <w:numPr>
          <w:ilvl w:val="3"/>
          <w:numId w:val="1"/>
        </w:numPr>
        <w:tabs>
          <w:tab w:val="clear" w:pos="720"/>
          <w:tab w:val="left" w:pos="1701" w:leader="none"/>
        </w:tabs>
        <w:spacing w:lineRule="auto" w:line="36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36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36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36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36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36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360" w:before="0" w:after="0"/>
        <w:ind w:left="142"/>
        <w:jc w:val="right"/>
        <w:rPr/>
      </w:pPr>
      <w:r>
        <w:rPr>
          <w:rFonts w:eastAsia="Arial" w:cs="Arial" w:ascii="Arial" w:hAnsi="Arial"/>
          <w:color w:val="auto"/>
          <w:sz w:val="24"/>
          <w:szCs w:val="24"/>
        </w:rPr>
        <w:t>Rímac, 2</w:t>
      </w:r>
      <w:r>
        <w:rPr>
          <w:rFonts w:eastAsia="Arial" w:cs="Arial" w:ascii="Arial" w:hAnsi="Arial"/>
          <w:color w:val="auto"/>
          <w:sz w:val="24"/>
          <w:szCs w:val="24"/>
        </w:rPr>
        <w:t>2</w:t>
      </w:r>
      <w:r>
        <w:rPr>
          <w:rFonts w:eastAsia="Arial" w:cs="Arial" w:ascii="Arial" w:hAnsi="Arial"/>
          <w:color w:val="auto"/>
          <w:sz w:val="24"/>
          <w:szCs w:val="24"/>
        </w:rPr>
        <w:t xml:space="preserve"> de febrero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Arial">
    <w:charset w:val="01"/>
    <w:family w:val="swiss"/>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Noto Sans"/>
    </w:rPr>
  </w:style>
  <w:style w:type="paragraph" w:styleId="Ttulouser">
    <w:name w:val="Título (user)"/>
    <w:basedOn w:val="Normal"/>
    <w:next w:val="BodyText"/>
    <w:qFormat/>
    <w:pPr>
      <w:keepNext w:val="true"/>
      <w:spacing w:before="240" w:after="120"/>
    </w:pPr>
    <w:rPr>
      <w:rFonts w:ascii="Liberation Sans" w:hAnsi="Liberation Sans" w:eastAsia="Noto Sans CJK SC" w:cs="FreeSans"/>
      <w:sz w:val="28"/>
      <w:szCs w:val="28"/>
    </w:rPr>
  </w:style>
  <w:style w:type="paragraph" w:styleId="ndiceuser">
    <w:name w:val="Índice (user)"/>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176</TotalTime>
  <Application>LibreOffice/25.8.3.2$Linux_X86_64 LibreOffice_project/8ca8d55c161d602844f5428fa4b58097424e324e</Application>
  <AppVersion>15.0000</AppVersion>
  <Pages>2</Pages>
  <Words>372</Words>
  <Characters>2008</Characters>
  <CharactersWithSpaces>2818</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2026-02-22T18:18:21Z</cp:lastPrinted>
  <dcterms:modified xsi:type="dcterms:W3CDTF">2026-02-22T18:24:17Z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