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br w:type="textWrapping"/>
      </w:r>
      <w:r w:rsidDel="00000000" w:rsidR="00000000" w:rsidRPr="00000000">
        <w:rPr>
          <w:sz w:val="48"/>
          <w:szCs w:val="48"/>
          <w:rtl w:val="0"/>
        </w:rPr>
        <w:t xml:space="preserve">Qualidade De Vinhos: Exploração de Dados e Análise Estatística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3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360" w:line="12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footerReference r:id="rId7" w:type="default"/>
          <w:footerReference r:id="rId8" w:type="first"/>
          <w:pgSz w:h="16838" w:w="11906" w:orient="portrait"/>
          <w:pgMar w:bottom="1440" w:top="540" w:left="893" w:right="893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40" w:lineRule="auto"/>
        <w:ind w:left="0" w:right="0" w:firstLine="0"/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1º João Lucas Oliveira Mota</w:t>
      </w:r>
    </w:p>
    <w:p w:rsidR="00000000" w:rsidDel="00000000" w:rsidP="00000000" w:rsidRDefault="00000000" w:rsidRPr="00000000" w14:paraId="00000005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Departamento de Engenharia de Teleinformática  </w:t>
      </w:r>
    </w:p>
    <w:p w:rsidR="00000000" w:rsidDel="00000000" w:rsidP="00000000" w:rsidRDefault="00000000" w:rsidRPr="00000000" w14:paraId="00000006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Universidade Federal do Ceará ́</w:t>
      </w:r>
    </w:p>
    <w:p w:rsidR="00000000" w:rsidDel="00000000" w:rsidP="00000000" w:rsidRDefault="00000000" w:rsidRPr="00000000" w14:paraId="00000007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Fortaleza, Brasil</w:t>
      </w:r>
    </w:p>
    <w:p w:rsidR="00000000" w:rsidDel="00000000" w:rsidP="00000000" w:rsidRDefault="00000000" w:rsidRPr="00000000" w14:paraId="00000008">
      <w:pPr>
        <w:rPr>
          <w:sz w:val="28"/>
          <w:szCs w:val="28"/>
          <w:vertAlign w:val="superscript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jlucasoliveira2002@alu.ufc.br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40" w:lineRule="auto"/>
        <w:ind w:left="0" w:right="0" w:firstLine="0"/>
        <w:jc w:val="center"/>
        <w:rPr>
          <w:sz w:val="18"/>
          <w:szCs w:val="1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40" w:lineRule="auto"/>
        <w:ind w:left="0" w:right="0" w:firstLine="0"/>
        <w:jc w:val="center"/>
        <w:rPr>
          <w:i w:val="1"/>
          <w:sz w:val="18"/>
          <w:szCs w:val="18"/>
        </w:rPr>
      </w:pPr>
      <w:r w:rsidDel="00000000" w:rsidR="00000000" w:rsidRPr="00000000">
        <w:br w:type="column"/>
      </w:r>
      <w:r w:rsidDel="00000000" w:rsidR="00000000" w:rsidRPr="00000000">
        <w:rPr>
          <w:i w:val="1"/>
          <w:sz w:val="18"/>
          <w:szCs w:val="18"/>
          <w:rtl w:val="0"/>
        </w:rPr>
        <w:t xml:space="preserve">2º Gabriel dos Reis Rodrigues</w:t>
      </w:r>
    </w:p>
    <w:p w:rsidR="00000000" w:rsidDel="00000000" w:rsidP="00000000" w:rsidRDefault="00000000" w:rsidRPr="00000000" w14:paraId="0000000B">
      <w:pPr>
        <w:ind w:right="-81.37795275590577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Departamento de Engenharia de Teleinformática  </w:t>
      </w:r>
    </w:p>
    <w:p w:rsidR="00000000" w:rsidDel="00000000" w:rsidP="00000000" w:rsidRDefault="00000000" w:rsidRPr="00000000" w14:paraId="0000000C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Universidade Federal do Ceará ́</w:t>
      </w:r>
    </w:p>
    <w:p w:rsidR="00000000" w:rsidDel="00000000" w:rsidP="00000000" w:rsidRDefault="00000000" w:rsidRPr="00000000" w14:paraId="0000000D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Fortaleza, Brasil</w:t>
      </w:r>
    </w:p>
    <w:p w:rsidR="00000000" w:rsidDel="00000000" w:rsidP="00000000" w:rsidRDefault="00000000" w:rsidRPr="00000000" w14:paraId="0000000E">
      <w:pPr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440" w:top="450" w:left="893" w:right="893" w:header="720" w:footer="720"/>
          <w:cols w:equalWidth="0" w:num="2">
            <w:col w:space="720" w:w="4699.74"/>
            <w:col w:space="0" w:w="4699.74"/>
          </w:cols>
        </w:sectPr>
      </w:pPr>
      <w:r w:rsidDel="00000000" w:rsidR="00000000" w:rsidRPr="00000000">
        <w:rPr>
          <w:i w:val="1"/>
          <w:sz w:val="18"/>
          <w:szCs w:val="18"/>
          <w:rtl w:val="0"/>
        </w:rPr>
        <w:t xml:space="preserve">gabrieldosreis@alu.ufc.br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  <w:sectPr>
          <w:type w:val="continuous"/>
          <w:pgSz w:h="16838" w:w="11906" w:orient="portrait"/>
          <w:pgMar w:bottom="1440" w:top="450" w:left="893" w:right="893" w:header="720" w:footer="720"/>
          <w:cols w:equalWidth="0" w:num="3">
            <w:col w:space="720" w:w="2893.333333333333"/>
            <w:col w:space="720" w:w="2893.333333333333"/>
            <w:col w:space="0" w:w="2893.333333333333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272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Abstract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—</w:t>
      </w:r>
      <w:r w:rsidDel="00000000" w:rsidR="00000000" w:rsidRPr="00000000">
        <w:rPr>
          <w:b w:val="1"/>
          <w:sz w:val="18"/>
          <w:szCs w:val="18"/>
          <w:rtl w:val="0"/>
        </w:rPr>
        <w:t xml:space="preserve"> Existem diferentes tipos de vinhos tintos e brancos. Considerando fatores sensoriais é possível classificá-los entre "bons" e "ruins", segundo especialistas. Nesse artigo, utilizamos de um dataset com medições físico-químicas de diferentes amostras de vinhos brancos e tintos, e sua classificação segundo  esses especialistas, visando realizar o tratamento dos dados e a apresentação de relações entre as propriedades e suas classificações. Ademais, foi realizada uma análise exploratória dos dados, de forma univariada, bivariada e multivariada, elaborando gráficos e tabelas para melhor ilustrar os dados utilizados.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274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Keywords—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Análise estatística, Qualidade de Vinhos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tabs>
          <w:tab w:val="left" w:leader="none" w:pos="210"/>
        </w:tabs>
        <w:ind w:left="0" w:firstLine="216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Introdução   </w:t>
      </w:r>
    </w:p>
    <w:p w:rsidR="00000000" w:rsidDel="00000000" w:rsidP="00000000" w:rsidRDefault="00000000" w:rsidRPr="00000000" w14:paraId="00000013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Devido à grande variedade de subtipos de vinhos, é possível tentar enxergar um padrão de qualidade, seguindo diferentes características físico-químicas e sensoriais deles.</w:t>
      </w:r>
    </w:p>
    <w:p w:rsidR="00000000" w:rsidDel="00000000" w:rsidP="00000000" w:rsidRDefault="00000000" w:rsidRPr="00000000" w14:paraId="00000014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No dataset Wine Quality [1], foram realizadas medições objetivas de características físico-químicas de exemplares de vinhos brancos e tintos. Para cada exemplar, também foi retirado um valor sensorial (uma média de pelo menos 3 avaliações feitas por especialistas em vinhos) que atribui um número entre 0 e 10, com zero sendo um vinho muito ruim e 10 um vinho excelente.</w:t>
      </w:r>
    </w:p>
    <w:p w:rsidR="00000000" w:rsidDel="00000000" w:rsidP="00000000" w:rsidRDefault="00000000" w:rsidRPr="00000000" w14:paraId="00000015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Neste artigo, realizamos uma análise estatística desses dados, buscando encontrar uma relação entre os valores obtidos nos testes objetivos e nas observações sensoriais.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tabs>
          <w:tab w:val="left" w:leader="none" w:pos="216"/>
        </w:tabs>
        <w:ind w:left="0" w:firstLine="216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Métodos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  <w:t xml:space="preserve">Nesta seção, vamos abordar os dados que estamos trabalhando, explicar as variáveis que vamos considerar nas análises e nos gráficos, e as técnicas que utilizamos para averiguar os dados.</w:t>
      </w:r>
    </w:p>
    <w:p w:rsidR="00000000" w:rsidDel="00000000" w:rsidP="00000000" w:rsidRDefault="00000000" w:rsidRPr="00000000" w14:paraId="00000019">
      <w:pPr>
        <w:pStyle w:val="Heading2"/>
        <w:numPr>
          <w:ilvl w:val="1"/>
          <w:numId w:val="1"/>
        </w:numPr>
      </w:pPr>
      <w:bookmarkStart w:colFirst="0" w:colLast="0" w:name="_heading=h.iic87mds08eh" w:id="0"/>
      <w:bookmarkEnd w:id="0"/>
      <w:r w:rsidDel="00000000" w:rsidR="00000000" w:rsidRPr="00000000">
        <w:rPr>
          <w:rtl w:val="0"/>
        </w:rPr>
        <w:t xml:space="preserve">Conhecimento necessário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  <w:t xml:space="preserve">Focamos, neste trabalho, na análise dos dados, com ênfase em seu desvio padrão, assimetria (</w:t>
      </w:r>
      <w:r w:rsidDel="00000000" w:rsidR="00000000" w:rsidRPr="00000000">
        <w:rPr>
          <w:i w:val="1"/>
          <w:rtl w:val="0"/>
        </w:rPr>
        <w:t xml:space="preserve">skewness</w:t>
      </w:r>
      <w:r w:rsidDel="00000000" w:rsidR="00000000" w:rsidRPr="00000000">
        <w:rPr>
          <w:rtl w:val="0"/>
        </w:rPr>
        <w:t xml:space="preserve">) e média.</w:t>
      </w:r>
    </w:p>
    <w:p w:rsidR="00000000" w:rsidDel="00000000" w:rsidP="00000000" w:rsidRDefault="00000000" w:rsidRPr="00000000" w14:paraId="0000001B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O desvio padrão indica o quão os valores do conjunto estão dispersos. Ele mostra a distância dos valores em relação à média do conjunto. Para o cálculo do desvio padrão, utilizaremos a Equação (1):</w:t>
      </w:r>
    </w:p>
    <w:p w:rsidR="00000000" w:rsidDel="00000000" w:rsidP="00000000" w:rsidRDefault="00000000" w:rsidRPr="00000000" w14:paraId="0000001C">
      <w:pPr>
        <w:tabs>
          <w:tab w:val="left" w:leader="none" w:pos="288"/>
        </w:tabs>
        <w:spacing w:after="120" w:line="228" w:lineRule="auto"/>
        <w:ind w:firstLine="28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83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495"/>
        <w:gridCol w:w="1335"/>
        <w:tblGridChange w:id="0">
          <w:tblGrid>
            <w:gridCol w:w="3495"/>
            <w:gridCol w:w="1335"/>
          </w:tblGrid>
        </w:tblGridChange>
      </w:tblGrid>
      <w:tr>
        <w:trPr>
          <w:cantSplit w:val="0"/>
          <w:trHeight w:val="1155.2242285600614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tabs>
                <w:tab w:val="left" w:leader="none" w:pos="288"/>
              </w:tabs>
              <w:spacing w:after="120" w:line="228" w:lineRule="auto"/>
              <w:ind w:firstLine="288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sz w:val="32"/>
                      <w:szCs w:val="32"/>
                    </w:rPr>
                  </m:ctrlPr>
                </m:sSubPr>
                <m:e>
                  <m:r>
                    <m:t>σ</m:t>
                  </m:r>
                </m:e>
                <m:sub>
                  <m:r>
                    <w:rPr>
                      <w:sz w:val="32"/>
                      <w:szCs w:val="32"/>
                    </w:rPr>
                    <m:t xml:space="preserve">d</m:t>
                  </m:r>
                </m:sub>
              </m:sSub>
              <m:r>
                <w:rPr>
                  <w:sz w:val="32"/>
                  <w:szCs w:val="32"/>
                </w:rPr>
                <m:t xml:space="preserve">=</m:t>
              </m:r>
              <m:rad>
                <m:radPr>
                  <m:degHide m:val="1"/>
                  <m:ctrlPr>
                    <w:rPr>
                      <w:sz w:val="32"/>
                      <w:szCs w:val="32"/>
                    </w:rPr>
                  </m:ctrlPr>
                </m:radPr>
                <m:e>
                  <m:f>
                    <m:fPr>
                      <m:ctrlPr>
                        <w:rPr>
                          <w:sz w:val="32"/>
                          <w:szCs w:val="32"/>
                        </w:rPr>
                      </m:ctrlPr>
                    </m:fPr>
                    <m:num>
                      <m:nary>
                        <m:naryPr>
                          <m:chr m:val="∑"/>
                          <m:ctrlPr>
                            <w:rPr>
                              <w:sz w:val="32"/>
                              <w:szCs w:val="32"/>
                            </w:rPr>
                          </m:ctrlPr>
                        </m:naryPr>
                        <m:sub>
                          <m:r>
                            <w:rPr>
                              <w:sz w:val="32"/>
                              <w:szCs w:val="32"/>
                            </w:rPr>
                            <m:t xml:space="preserve">i=1</m:t>
                          </m:r>
                        </m:sub>
                        <m:sup>
                          <m:r>
                            <w:rPr>
                              <w:sz w:val="32"/>
                              <w:szCs w:val="32"/>
                            </w:rPr>
                            <m:t xml:space="preserve">n</m:t>
                          </m:r>
                        </m:sup>
                      </m:nary>
                      <m:r>
                        <w:rPr>
                          <w:sz w:val="32"/>
                          <w:szCs w:val="32"/>
                        </w:rPr>
                        <m:t xml:space="preserve">(</m:t>
                      </m:r>
                      <m:sSub>
                        <m:sSubPr>
                          <m:ctrlPr>
                            <w:rPr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sz w:val="32"/>
                              <w:szCs w:val="32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sz w:val="32"/>
                              <w:szCs w:val="32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sz w:val="32"/>
                          <w:szCs w:val="32"/>
                        </w:rPr>
                        <m:t xml:space="preserve">-</m:t>
                      </m:r>
                      <m:sSub>
                        <m:sSubPr>
                          <m:ctrlPr>
                            <w:rPr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sz w:val="32"/>
                              <w:szCs w:val="32"/>
                            </w:rPr>
                            <m:t xml:space="preserve">x</m:t>
                          </m:r>
                        </m:sub>
                      </m:sSub>
                      <m:r>
                        <w:rPr>
                          <w:sz w:val="32"/>
                          <w:szCs w:val="32"/>
                        </w:rPr>
                        <m:t xml:space="preserve">)²</m:t>
                      </m:r>
                    </m:num>
                    <m:den>
                      <m:r>
                        <w:rPr>
                          <w:sz w:val="32"/>
                          <w:szCs w:val="32"/>
                        </w:rPr>
                        <m:t xml:space="preserve">n-1</m:t>
                      </m:r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(1)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  <w:t xml:space="preserve">Nesta fórmula, temos </w:t>
      </w:r>
      <w:r w:rsidDel="00000000" w:rsidR="00000000" w:rsidRPr="00000000">
        <w:rPr>
          <w:i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o número total de componentes, </w:t>
      </w: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m:t>μ</m:t>
            </m:r>
          </m:e>
          <m:sub>
            <m:r>
              <w:rPr/>
              <m:t xml:space="preserve">x</m:t>
            </m:r>
          </m:sub>
        </m:sSub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 a média dos componentes 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é o componente atual.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Também utilizaremos o valor de assimetria, que define o quão centralizado o preditor está, se a moda e a média estão na mesma posição. Para o cálculo da assimetria, utilizaremos a Equação (2):</w:t>
      </w:r>
      <w:r w:rsidDel="00000000" w:rsidR="00000000" w:rsidRPr="00000000">
        <w:rPr>
          <w:rtl w:val="0"/>
        </w:rPr>
      </w:r>
    </w:p>
    <w:tbl>
      <w:tblPr>
        <w:tblStyle w:val="Table2"/>
        <w:tblW w:w="483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495"/>
        <w:gridCol w:w="1335"/>
        <w:tblGridChange w:id="0">
          <w:tblGrid>
            <w:gridCol w:w="3495"/>
            <w:gridCol w:w="1335"/>
          </w:tblGrid>
        </w:tblGridChange>
      </w:tblGrid>
      <w:tr>
        <w:trPr>
          <w:cantSplit w:val="0"/>
          <w:trHeight w:val="1155.2242285600614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tabs>
                <w:tab w:val="left" w:leader="none" w:pos="288"/>
              </w:tabs>
              <w:spacing w:after="120" w:line="228" w:lineRule="auto"/>
              <w:ind w:firstLine="288"/>
              <w:rPr>
                <w:sz w:val="32"/>
                <w:szCs w:val="32"/>
              </w:rPr>
            </w:pPr>
            <m:oMath>
              <m:r>
                <w:rPr>
                  <w:sz w:val="32"/>
                  <w:szCs w:val="32"/>
                </w:rPr>
                <m:t xml:space="preserve">Skewness=</m:t>
              </m:r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sz w:val="32"/>
                          <w:szCs w:val="32"/>
                        </w:rPr>
                      </m:ctrlPr>
                    </m:naryPr>
                    <m:sub/>
                    <m:sup/>
                  </m:nary>
                  <m:r>
                    <w:rPr>
                      <w:sz w:val="32"/>
                      <w:szCs w:val="32"/>
                    </w:rPr>
                    <m:t xml:space="preserve">(</m:t>
                  </m:r>
                  <m:sSub>
                    <m:sSubPr>
                      <m:ctrlPr>
                        <w:rPr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sz w:val="32"/>
                          <w:szCs w:val="32"/>
                        </w:rPr>
                        <m:t xml:space="preserve">x</m:t>
                      </m:r>
                    </m:e>
                    <m:sub>
                      <m:r>
                        <w:rPr>
                          <w:sz w:val="32"/>
                          <w:szCs w:val="32"/>
                        </w:rPr>
                        <m:t xml:space="preserve">i</m:t>
                      </m:r>
                    </m:sub>
                  </m:sSub>
                  <m:r>
                    <w:rPr>
                      <w:sz w:val="32"/>
                      <w:szCs w:val="32"/>
                    </w:rPr>
                    <m:t xml:space="preserve">-</m:t>
                  </m:r>
                  <m:sSub>
                    <m:sSubPr>
                      <m:ctrlPr>
                        <w:rPr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sz w:val="32"/>
                          <w:szCs w:val="32"/>
                        </w:rPr>
                        <m:t>μ</m:t>
                      </m:r>
                    </m:e>
                    <m:sub>
                      <m:r>
                        <w:rPr>
                          <w:sz w:val="32"/>
                          <w:szCs w:val="32"/>
                        </w:rPr>
                        <m:t xml:space="preserve">x</m:t>
                      </m:r>
                    </m:sub>
                  </m:sSub>
                  <m:r>
                    <w:rPr>
                      <w:sz w:val="32"/>
                      <w:szCs w:val="32"/>
                    </w:rPr>
                    <m:t xml:space="preserve">)³</m:t>
                  </m:r>
                </m:num>
                <m:den>
                  <m:r>
                    <w:rPr>
                      <w:sz w:val="32"/>
                      <w:szCs w:val="32"/>
                    </w:rPr>
                    <m:t xml:space="preserve">(n-1)</m:t>
                  </m:r>
                  <m:sSub>
                    <m:sSubPr>
                      <m:ctrlPr>
                        <w:rPr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sz w:val="32"/>
                          <w:szCs w:val="32"/>
                        </w:rPr>
                        <m:t xml:space="preserve">(</m:t>
                      </m:r>
                      <m:r>
                        <w:rPr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sz w:val="32"/>
                          <w:szCs w:val="32"/>
                        </w:rPr>
                        <m:t xml:space="preserve">d</m:t>
                      </m:r>
                    </m:sub>
                  </m:sSub>
                  <m:r>
                    <w:rPr>
                      <w:sz w:val="32"/>
                      <w:szCs w:val="32"/>
                    </w:rPr>
                    <m:t xml:space="preserve">)³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(2)</w:t>
            </w:r>
          </w:p>
        </w:tc>
      </w:tr>
    </w:tbl>
    <w:p w:rsidR="00000000" w:rsidDel="00000000" w:rsidP="00000000" w:rsidRDefault="00000000" w:rsidRPr="00000000" w14:paraId="00000023">
      <w:pPr>
        <w:tabs>
          <w:tab w:val="left" w:leader="none" w:pos="288"/>
        </w:tabs>
        <w:spacing w:after="120" w:line="228" w:lineRule="auto"/>
        <w:ind w:firstLine="28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Sendo na fórmula 2, 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o componente atual, μ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a média dos componentes e 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vertAlign w:val="subscript"/>
          <w:rtl w:val="0"/>
        </w:rPr>
        <w:t xml:space="preserve">d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desvio padrão. </w:t>
      </w:r>
      <w:r w:rsidDel="00000000" w:rsidR="00000000" w:rsidRPr="00000000">
        <w:rPr>
          <w:rtl w:val="0"/>
        </w:rPr>
        <w:t xml:space="preserve">Por fim, temos a fórmula da média, definida como</w:t>
      </w:r>
      <w:r w:rsidDel="00000000" w:rsidR="00000000" w:rsidRPr="00000000">
        <w:rPr>
          <w:rtl w:val="0"/>
        </w:rPr>
        <w:t xml:space="preserve"> o valor que demonstra a concentração dos dados de uma distribuição, como o ponto de equilíbrio das frequências em um histograma. Vide Equação (3):</w:t>
      </w:r>
      <w:r w:rsidDel="00000000" w:rsidR="00000000" w:rsidRPr="00000000">
        <w:rPr>
          <w:rtl w:val="0"/>
        </w:rPr>
      </w:r>
    </w:p>
    <w:tbl>
      <w:tblPr>
        <w:tblStyle w:val="Table3"/>
        <w:tblW w:w="483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495"/>
        <w:gridCol w:w="1335"/>
        <w:tblGridChange w:id="0">
          <w:tblGrid>
            <w:gridCol w:w="3495"/>
            <w:gridCol w:w="1335"/>
          </w:tblGrid>
        </w:tblGridChange>
      </w:tblGrid>
      <w:tr>
        <w:trPr>
          <w:cantSplit w:val="0"/>
          <w:trHeight w:val="1155.2242285600614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tabs>
                <w:tab w:val="left" w:leader="none" w:pos="288"/>
              </w:tabs>
              <w:spacing w:after="120" w:line="228" w:lineRule="auto"/>
              <w:ind w:firstLine="288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sz w:val="32"/>
                      <w:szCs w:val="32"/>
                    </w:rPr>
                  </m:ctrlPr>
                </m:sSubPr>
                <m:e>
                  <m:r>
                    <m:t>μ</m:t>
                  </m:r>
                </m:e>
                <m:sub>
                  <m:r>
                    <w:rPr>
                      <w:sz w:val="32"/>
                      <w:szCs w:val="32"/>
                    </w:rPr>
                    <m:t xml:space="preserve">x</m:t>
                  </m:r>
                </m:sub>
              </m:sSub>
              <m:r>
                <w:rPr>
                  <w:sz w:val="32"/>
                  <w:szCs w:val="32"/>
                </w:rPr>
                <m:t xml:space="preserve">=</m:t>
              </m:r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sz w:val="32"/>
                          <w:szCs w:val="32"/>
                        </w:rPr>
                        <m:t xml:space="preserve">i=1</m:t>
                      </m:r>
                    </m:sub>
                    <m:sup>
                      <m:r>
                        <w:rPr>
                          <w:sz w:val="32"/>
                          <w:szCs w:val="32"/>
                        </w:rPr>
                        <m:t xml:space="preserve">n</m:t>
                      </m:r>
                    </m:sup>
                  </m:nary>
                  <m:r>
                    <w:rPr>
                      <w:sz w:val="32"/>
                      <w:szCs w:val="32"/>
                    </w:rPr>
                    <m:t xml:space="preserve">(</m:t>
                  </m:r>
                  <m:sSub>
                    <m:sSubPr>
                      <m:ctrlPr>
                        <w:rPr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sz w:val="32"/>
                          <w:szCs w:val="32"/>
                        </w:rPr>
                        <m:t xml:space="preserve">x</m:t>
                      </m:r>
                    </m:e>
                    <m:sub>
                      <m:r>
                        <w:rPr>
                          <w:sz w:val="32"/>
                          <w:szCs w:val="32"/>
                        </w:rPr>
                        <m:t xml:space="preserve">i</m:t>
                      </m:r>
                    </m:sub>
                  </m:sSub>
                  <m:r>
                    <w:rPr>
                      <w:sz w:val="32"/>
                      <w:szCs w:val="32"/>
                    </w:rPr>
                    <m:t xml:space="preserve">)</m:t>
                  </m:r>
                </m:num>
                <m:den>
                  <m:r>
                    <w:rPr>
                      <w:sz w:val="32"/>
                      <w:szCs w:val="32"/>
                    </w:rPr>
                    <m:t xml:space="preserve">n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(3)</w:t>
            </w:r>
          </w:p>
        </w:tc>
      </w:tr>
    </w:tbl>
    <w:p w:rsidR="00000000" w:rsidDel="00000000" w:rsidP="00000000" w:rsidRDefault="00000000" w:rsidRPr="00000000" w14:paraId="00000026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Para as análises feitas neste artigo, utilizamos histogramas de frequência, como os gráficos 1 e 2, que indicam a distribuição dos valores do eixo X conforme os dados apresentam. </w:t>
      </w:r>
    </w:p>
    <w:p w:rsidR="00000000" w:rsidDel="00000000" w:rsidP="00000000" w:rsidRDefault="00000000" w:rsidRPr="00000000" w14:paraId="00000027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Também foram utilizados gráficos de dispersão, que possuem uma distribuição de pontos conforme a intersecção de valores de duas variáveis, e uma chamada reta de dispersão, que ilustra a relação entre essas variáveis e o seu comportamento. Elaboramos os gráficos com os dois  eixos com preditores e pontos com uma escala de cores que varia  do amarelo (para vinhos de qualidade baixa) e azul escuro (para vinhos de qualidade elevada).</w:t>
      </w:r>
    </w:p>
    <w:p w:rsidR="00000000" w:rsidDel="00000000" w:rsidP="00000000" w:rsidRDefault="00000000" w:rsidRPr="00000000" w14:paraId="00000028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Por fim, realizamos o procedimento de Principal Component Analysis (PCA).</w:t>
      </w:r>
    </w:p>
    <w:p w:rsidR="00000000" w:rsidDel="00000000" w:rsidP="00000000" w:rsidRDefault="00000000" w:rsidRPr="00000000" w14:paraId="00000029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O principal objetivo do PCA é conseguir representar o máximo de informações sobre um conjunto de dados em uma dimensão menor que a original com a menor perda possível de informações. Para tal é necessário termos uma matriz de covariância, para isso seja uma matriz X formada por “p” características (preditores) de “n” indivíduos, ou seja, uma matriz de ordem n x p. A partir de X obteremos a matriz de covariância simétrica e de tamanho p x p. Após isso é necessário normalizar os dados para que as características diferentes possam ser analisadas de maneira uniforme.</w:t>
      </w:r>
    </w:p>
    <w:p w:rsidR="00000000" w:rsidDel="00000000" w:rsidP="00000000" w:rsidRDefault="00000000" w:rsidRPr="00000000" w14:paraId="0000002A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Por fim, é necessário calcular os autovetores, dessa forma teremos a expressão det( M - λ*I) = 0, sendo M nossa matriz de covariância normalizada, λ os autovalores e I a matriz identidade. Para cada λ existe um conjunto de autovetores (a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) que são obtidos após solucionar a equação citada acima. O componente principal é obtido Equação 4:</w:t>
      </w:r>
    </w:p>
    <w:p w:rsidR="00000000" w:rsidDel="00000000" w:rsidP="00000000" w:rsidRDefault="00000000" w:rsidRPr="00000000" w14:paraId="0000002B">
      <w:pPr>
        <w:ind w:firstLine="283.46456692913375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483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495"/>
        <w:gridCol w:w="1335"/>
        <w:tblGridChange w:id="0">
          <w:tblGrid>
            <w:gridCol w:w="3495"/>
            <w:gridCol w:w="1335"/>
          </w:tblGrid>
        </w:tblGridChange>
      </w:tblGrid>
      <w:tr>
        <w:trPr>
          <w:cantSplit w:val="0"/>
          <w:trHeight w:val="1155.2242285600614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sz w:val="44"/>
                <w:szCs w:val="44"/>
              </w:rPr>
            </w:pPr>
            <m:oMath>
              <m:sSub>
                <m:sSubPr>
                  <m:ctrlPr>
                    <w:rPr>
                      <w:sz w:val="32"/>
                      <w:szCs w:val="32"/>
                    </w:rPr>
                  </m:ctrlPr>
                </m:sSubPr>
                <m:e>
                  <m:r>
                    <w:rPr>
                      <w:sz w:val="32"/>
                      <w:szCs w:val="32"/>
                    </w:rPr>
                    <m:t xml:space="preserve">Y</m:t>
                  </m:r>
                </m:e>
                <m:sub>
                  <m:r>
                    <w:rPr>
                      <w:sz w:val="32"/>
                      <w:szCs w:val="32"/>
                    </w:rPr>
                    <m:t xml:space="preserve">j</m:t>
                  </m:r>
                </m:sub>
              </m:sSub>
              <m:r>
                <w:rPr>
                  <w:sz w:val="32"/>
                  <w:szCs w:val="32"/>
                </w:rPr>
                <m:t xml:space="preserve">=</m:t>
              </m:r>
              <m:nary>
                <m:naryPr>
                  <m:chr m:val="∑"/>
                  <m:ctrlPr>
                    <w:rPr>
                      <w:sz w:val="32"/>
                      <w:szCs w:val="32"/>
                    </w:rPr>
                  </m:ctrlPr>
                </m:naryPr>
                <m:sub>
                  <m:r>
                    <w:rPr>
                      <w:sz w:val="32"/>
                      <w:szCs w:val="32"/>
                    </w:rPr>
                    <m:t xml:space="preserve">i=1</m:t>
                  </m:r>
                </m:sub>
                <m:sup>
                  <m:r>
                    <w:rPr>
                      <w:sz w:val="32"/>
                      <w:szCs w:val="32"/>
                    </w:rPr>
                    <m:t xml:space="preserve">p</m:t>
                  </m:r>
                </m:sup>
              </m:nary>
              <m:sSub>
                <m:sSubPr>
                  <m:ctrlPr>
                    <w:rPr>
                      <w:sz w:val="32"/>
                      <w:szCs w:val="32"/>
                    </w:rPr>
                  </m:ctrlPr>
                </m:sSubPr>
                <m:e>
                  <m:r>
                    <w:rPr>
                      <w:sz w:val="32"/>
                      <w:szCs w:val="32"/>
                    </w:rPr>
                    <m:t xml:space="preserve">a</m:t>
                  </m:r>
                </m:e>
                <m:sub>
                  <m:r>
                    <w:rPr>
                      <w:sz w:val="32"/>
                      <w:szCs w:val="32"/>
                    </w:rPr>
                    <m:t xml:space="preserve">i</m:t>
                  </m:r>
                </m:sub>
              </m:sSub>
              <m:sSub>
                <m:sSubPr>
                  <m:ctrlPr>
                    <w:rPr>
                      <w:sz w:val="32"/>
                      <w:szCs w:val="32"/>
                    </w:rPr>
                  </m:ctrlPr>
                </m:sSubPr>
                <m:e>
                  <m:r>
                    <w:rPr>
                      <w:sz w:val="32"/>
                      <w:szCs w:val="32"/>
                    </w:rPr>
                    <m:t xml:space="preserve">X</m:t>
                  </m:r>
                </m:e>
                <m:sub>
                  <m:r>
                    <w:rPr>
                      <w:sz w:val="32"/>
                      <w:szCs w:val="32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(4)</w:t>
            </w:r>
          </w:p>
        </w:tc>
      </w:tr>
    </w:tbl>
    <w:p w:rsidR="00000000" w:rsidDel="00000000" w:rsidP="00000000" w:rsidRDefault="00000000" w:rsidRPr="00000000" w14:paraId="0000002E">
      <w:pPr>
        <w:pStyle w:val="Heading2"/>
        <w:numPr>
          <w:ilvl w:val="1"/>
          <w:numId w:val="1"/>
        </w:numPr>
      </w:pPr>
      <w:bookmarkStart w:colFirst="0" w:colLast="0" w:name="_heading=h.dz1y7083j8hn" w:id="1"/>
      <w:bookmarkEnd w:id="1"/>
      <w:r w:rsidDel="00000000" w:rsidR="00000000" w:rsidRPr="00000000">
        <w:rPr>
          <w:rtl w:val="0"/>
        </w:rPr>
        <w:t xml:space="preserve">Apresentando os dados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  <w:t xml:space="preserve">O conjunto de dados que utilizamos trata de um conjunto com 1599 vinhos tintos e 4898 vinhos brancos (N), e estabelece 11 variáveis preditoras (D), tais como pH, açúcar residual e etc. Também define 6 classes, para a qualidade do vinho (L), aferidas de 3 a 9, </w:t>
      </w:r>
      <w:r w:rsidDel="00000000" w:rsidR="00000000" w:rsidRPr="00000000">
        <w:rPr>
          <w:rtl w:val="0"/>
        </w:rPr>
        <w:t xml:space="preserve">com as </w:t>
      </w:r>
      <w:r w:rsidDel="00000000" w:rsidR="00000000" w:rsidRPr="00000000">
        <w:rPr>
          <w:i w:val="1"/>
          <w:rtl w:val="0"/>
        </w:rPr>
        <w:t xml:space="preserve">class-distribution </w:t>
      </w:r>
      <w:r w:rsidDel="00000000" w:rsidR="00000000" w:rsidRPr="00000000">
        <w:rPr>
          <w:rtl w:val="0"/>
        </w:rPr>
        <w:t xml:space="preserve">dos dois tipos de vinho seguindo os gráficos abaixo:</w:t>
      </w:r>
    </w:p>
    <w:p w:rsidR="00000000" w:rsidDel="00000000" w:rsidP="00000000" w:rsidRDefault="00000000" w:rsidRPr="00000000" w14:paraId="00000030">
      <w:pPr>
        <w:tabs>
          <w:tab w:val="left" w:leader="none" w:pos="288"/>
        </w:tabs>
        <w:spacing w:after="120" w:line="228" w:lineRule="auto"/>
        <w:ind w:left="0" w:firstLine="0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51563"/>
                <wp:effectExtent b="0" l="0" r="0" 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51563"/>
                          <a:chOff x="0" y="0"/>
                          <a:chExt cx="3505200" cy="312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1: Histograma de frequência da qualidade de vinhos brancos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51563"/>
                <wp:effectExtent b="0" l="0" r="0" t="0"/>
                <wp:docPr id="13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51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51563"/>
                <wp:effectExtent b="0" l="0" r="0" 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51563"/>
                          <a:chOff x="0" y="0"/>
                          <a:chExt cx="3505200" cy="312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2: Histograma de frequência da qualidade de vinhos tintos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0" r="48288" t="0"/>
                          <a:stretch/>
                        </pic:blipFill>
                        <pic:spPr>
                          <a:xfrm>
                            <a:off x="76200" y="397250"/>
                            <a:ext cx="3412730" cy="27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51563"/>
                <wp:effectExtent b="0" l="0" r="0" t="0"/>
                <wp:docPr id="14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51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Tais gráficos mostram as frequências de qualidade elevadas em 6 e 5, para os conjuntos de vinhos brancos e tintos, respectivamente.</w:t>
      </w:r>
    </w:p>
    <w:p w:rsidR="00000000" w:rsidDel="00000000" w:rsidP="00000000" w:rsidRDefault="00000000" w:rsidRPr="00000000" w14:paraId="00000033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Os conjuntos de dados utilizados é completo, sem nenhum valor de atributo ausente, logo não foi necessário realizar qualquer manipulação dos dados a priori.</w:t>
      </w:r>
    </w:p>
    <w:p w:rsidR="00000000" w:rsidDel="00000000" w:rsidP="00000000" w:rsidRDefault="00000000" w:rsidRPr="00000000" w14:paraId="00000034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tabs>
          <w:tab w:val="left" w:leader="none" w:pos="216"/>
        </w:tabs>
        <w:ind w:firstLine="216"/>
        <w:jc w:val="left"/>
        <w:rPr>
          <w:sz w:val="22"/>
          <w:szCs w:val="22"/>
        </w:rPr>
      </w:pPr>
      <w:bookmarkStart w:colFirst="0" w:colLast="0" w:name="_heading=h.bax1mlueapaa" w:id="2"/>
      <w:bookmarkEnd w:id="2"/>
      <w:r w:rsidDel="00000000" w:rsidR="00000000" w:rsidRPr="00000000">
        <w:rPr>
          <w:sz w:val="22"/>
          <w:szCs w:val="22"/>
          <w:rtl w:val="0"/>
        </w:rPr>
        <w:t xml:space="preserve">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1"/>
        </w:numPr>
      </w:pPr>
      <w:bookmarkStart w:colFirst="0" w:colLast="0" w:name="_heading=h.86aekiej58iz" w:id="3"/>
      <w:bookmarkEnd w:id="3"/>
      <w:r w:rsidDel="00000000" w:rsidR="00000000" w:rsidRPr="00000000">
        <w:rPr>
          <w:rtl w:val="0"/>
        </w:rPr>
        <w:t xml:space="preserve">Análise Incondicional Univariada </w:t>
      </w:r>
    </w:p>
    <w:p w:rsidR="00000000" w:rsidDel="00000000" w:rsidP="00000000" w:rsidRDefault="00000000" w:rsidRPr="00000000" w14:paraId="00000037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No código, apresentamos as análises mono-variadas para os dois tipos de vinho, além de suas respectivas tabelas com valores de média, desvio padrão e assimetria. </w:t>
      </w:r>
    </w:p>
    <w:p w:rsidR="00000000" w:rsidDel="00000000" w:rsidP="00000000" w:rsidRDefault="00000000" w:rsidRPr="00000000" w14:paraId="00000038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Dentre os resultados observados, é possível destacar </w:t>
      </w:r>
      <w:r w:rsidDel="00000000" w:rsidR="00000000" w:rsidRPr="00000000">
        <w:rPr>
          <w:rtl w:val="0"/>
        </w:rPr>
        <w:t xml:space="preserve">alguns</w:t>
      </w:r>
      <w:r w:rsidDel="00000000" w:rsidR="00000000" w:rsidRPr="00000000">
        <w:rPr>
          <w:rtl w:val="0"/>
        </w:rPr>
        <w:t xml:space="preserve"> casos interessantes:</w:t>
      </w:r>
    </w:p>
    <w:p w:rsidR="00000000" w:rsidDel="00000000" w:rsidP="00000000" w:rsidRDefault="00000000" w:rsidRPr="00000000" w14:paraId="00000039">
      <w:pPr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51563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51563"/>
                          <a:chOff x="0" y="0"/>
                          <a:chExt cx="3505200" cy="312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3: Histograma de frequência de açúcar residual para vinhos tintos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0" r="48288" t="0"/>
                          <a:stretch/>
                        </pic:blipFill>
                        <pic:spPr>
                          <a:xfrm>
                            <a:off x="76200" y="397250"/>
                            <a:ext cx="3412730" cy="27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12725" cy="272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51563"/>
                <wp:effectExtent b="0" l="0" r="0" t="0"/>
                <wp:docPr id="11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51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262.99999999999955"/>
        </w:tabs>
        <w:spacing w:after="120" w:line="228" w:lineRule="auto"/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No gráfico 3, nota-se uma concentração de frequência de açúcar residual muito elevada em torno de 2 (média calculada μ</w:t>
      </w:r>
      <w:r w:rsidDel="00000000" w:rsidR="00000000" w:rsidRPr="00000000">
        <w:rPr>
          <w:vertAlign w:val="subscript"/>
          <w:rtl w:val="0"/>
        </w:rPr>
        <w:t xml:space="preserve">x </w:t>
      </w:r>
      <w:r w:rsidDel="00000000" w:rsidR="00000000" w:rsidRPr="00000000">
        <w:rPr>
          <w:rtl w:val="0"/>
        </w:rPr>
        <w:t xml:space="preserve">= 2,53), com alguns outliers de valores mais elevados, mas em pouquíssima frequência quando comparado ao resto dos dados.</w:t>
      </w:r>
    </w:p>
    <w:p w:rsidR="00000000" w:rsidDel="00000000" w:rsidP="00000000" w:rsidRDefault="00000000" w:rsidRPr="00000000" w14:paraId="0000003C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143567" cy="2813687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567" cy="2813687"/>
                          <a:chOff x="0" y="0"/>
                          <a:chExt cx="3505200" cy="31362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4: Histograma de frequência de densidade para vinhos tintos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0" r="48288" t="0"/>
                          <a:stretch/>
                        </pic:blipFill>
                        <pic:spPr>
                          <a:xfrm>
                            <a:off x="76200" y="397250"/>
                            <a:ext cx="3412730" cy="27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12725" cy="272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412725" cy="270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1" name="Shape 21"/>
                          <pic:cNvPicPr preferRelativeResize="0"/>
                        </pic:nvPicPr>
                        <pic:blipFill rotWithShape="1">
                          <a:blip r:embed="rId16">
                            <a:alphaModFix/>
                          </a:blip>
                          <a:srcRect b="0" l="0" r="48937" t="0"/>
                          <a:stretch/>
                        </pic:blipFill>
                        <pic:spPr>
                          <a:xfrm>
                            <a:off x="76200" y="430200"/>
                            <a:ext cx="3352799" cy="270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143567" cy="2813687"/>
                <wp:effectExtent b="0" l="0" r="0" t="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567" cy="28136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262.99999999999955"/>
        </w:tabs>
        <w:spacing w:after="120" w:line="228" w:lineRule="auto"/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No gráfico 4, observa-se uma distribuição muito </w:t>
      </w:r>
      <w:r w:rsidDel="00000000" w:rsidR="00000000" w:rsidRPr="00000000">
        <w:rPr>
          <w:rtl w:val="0"/>
        </w:rPr>
        <w:t xml:space="preserve">simétrica</w:t>
      </w:r>
      <w:r w:rsidDel="00000000" w:rsidR="00000000" w:rsidRPr="00000000">
        <w:rPr>
          <w:rtl w:val="0"/>
        </w:rPr>
        <w:t xml:space="preserve"> dos dados considerados (o valor de skewness é um dos mais baixos da tabela, com 0,07), e o menor desvio padrão (σ</w:t>
      </w:r>
      <w:r w:rsidDel="00000000" w:rsidR="00000000" w:rsidRPr="00000000">
        <w:rPr>
          <w:vertAlign w:val="subscript"/>
          <w:rtl w:val="0"/>
        </w:rPr>
        <w:t xml:space="preserve">d </w:t>
      </w:r>
      <w:r w:rsidDel="00000000" w:rsidR="00000000" w:rsidRPr="00000000">
        <w:rPr>
          <w:rtl w:val="0"/>
        </w:rPr>
        <w:t xml:space="preserve">= 0</w:t>
      </w:r>
      <w:r w:rsidDel="00000000" w:rsidR="00000000" w:rsidRPr="00000000">
        <w:rPr>
          <w:rtl w:val="0"/>
        </w:rPr>
        <w:t xml:space="preserve">,0018 segundo os cálculos).</w:t>
      </w:r>
    </w:p>
    <w:p w:rsidR="00000000" w:rsidDel="00000000" w:rsidP="00000000" w:rsidRDefault="00000000" w:rsidRPr="00000000" w14:paraId="0000003E">
      <w:pPr>
        <w:tabs>
          <w:tab w:val="left" w:leader="none" w:pos="262.99999999999955"/>
        </w:tabs>
        <w:spacing w:after="120" w:line="228" w:lineRule="auto"/>
        <w:ind w:firstLine="283.464566929134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262.99999999999955"/>
        </w:tabs>
        <w:spacing w:after="120" w:line="228" w:lineRule="auto"/>
        <w:ind w:firstLine="283.464566929134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5156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51563"/>
                          <a:chOff x="0" y="0"/>
                          <a:chExt cx="3505200" cy="312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5: Histograma de frequência de Cloretos para vinhos tintos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0" r="48288" t="0"/>
                          <a:stretch/>
                        </pic:blipFill>
                        <pic:spPr>
                          <a:xfrm>
                            <a:off x="76200" y="397250"/>
                            <a:ext cx="3412730" cy="27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12725" cy="272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412725" cy="270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b="0" l="0" r="48485" t="0"/>
                          <a:stretch/>
                        </pic:blipFill>
                        <pic:spPr>
                          <a:xfrm>
                            <a:off x="76200" y="387600"/>
                            <a:ext cx="3352800" cy="267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51563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51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288"/>
        </w:tabs>
        <w:spacing w:after="12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O gráfico 5, com os cloretos em vinhos tintos, apresenta um baixíssimo desvio padrão (σ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0,04 segundo os cálculos), o que, em conjunto com uma frequência elevada em valores abaixo de 0,1, indica uma quantidade pequena de outliers, muito embora estes ainda estejam presentes em valores de cloretos mais elevados.</w:t>
      </w:r>
    </w:p>
    <w:p w:rsidR="00000000" w:rsidDel="00000000" w:rsidP="00000000" w:rsidRDefault="00000000" w:rsidRPr="00000000" w14:paraId="00000042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417" cy="2753008"/>
                <wp:effectExtent b="0" l="0" r="0" t="0"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417" cy="2753008"/>
                          <a:chOff x="0" y="0"/>
                          <a:chExt cx="3505200" cy="312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6: Histograma de frequência de açúcar residual para vinhos brancos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0" r="48288" t="0"/>
                          <a:stretch/>
                        </pic:blipFill>
                        <pic:spPr>
                          <a:xfrm>
                            <a:off x="76200" y="397250"/>
                            <a:ext cx="3412730" cy="27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12725" cy="272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412725" cy="270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b="0" l="0" r="48485" t="0"/>
                          <a:stretch/>
                        </pic:blipFill>
                        <pic:spPr>
                          <a:xfrm>
                            <a:off x="76200" y="387600"/>
                            <a:ext cx="3352800" cy="267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 rotWithShape="1">
                          <a:blip r:embed="rId20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352800" cy="265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417" cy="2753008"/>
                <wp:effectExtent b="0" l="0" r="0" t="0"/>
                <wp:docPr id="16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417" cy="275300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288"/>
        </w:tabs>
        <w:spacing w:after="12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O gráfico 6 representa a frequência de açúcar residual em vinhos brancos. É interessante ressaltar a diferença entre os valores presentes nos vinhos brancos e tintos, visto que a média que o gráfico 6 indica (μ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6,39) é mais elevada em comparação com a que o gráfico 3 (com μ</w:t>
      </w:r>
      <w:r w:rsidDel="00000000" w:rsidR="00000000" w:rsidRPr="00000000">
        <w:rPr>
          <w:vertAlign w:val="subscript"/>
          <w:rtl w:val="0"/>
        </w:rPr>
        <w:t xml:space="preserve">x </w:t>
      </w:r>
      <w:r w:rsidDel="00000000" w:rsidR="00000000" w:rsidRPr="00000000">
        <w:rPr>
          <w:rtl w:val="0"/>
        </w:rPr>
        <w:t xml:space="preserve">= 2,53), que representa a frequência do mesmo preditor para vinhos tintos, indicando uma presença maior de açúcar residual nas amostras de vinho branco que nas amostras de vinho tinto.</w:t>
      </w:r>
    </w:p>
    <w:p w:rsidR="00000000" w:rsidDel="00000000" w:rsidP="00000000" w:rsidRDefault="00000000" w:rsidRPr="00000000" w14:paraId="00000044">
      <w:pPr>
        <w:tabs>
          <w:tab w:val="left" w:leader="none" w:pos="288"/>
        </w:tabs>
        <w:spacing w:after="12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288"/>
        </w:tabs>
        <w:spacing w:after="12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51563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51563"/>
                          <a:chOff x="0" y="0"/>
                          <a:chExt cx="3505200" cy="312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7: Histograma de frequência de cloretos para vinhos brancos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0" r="48288" t="0"/>
                          <a:stretch/>
                        </pic:blipFill>
                        <pic:spPr>
                          <a:xfrm>
                            <a:off x="76200" y="397250"/>
                            <a:ext cx="3412730" cy="27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12725" cy="272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412725" cy="270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b="0" l="0" r="48485" t="0"/>
                          <a:stretch/>
                        </pic:blipFill>
                        <pic:spPr>
                          <a:xfrm>
                            <a:off x="76200" y="387600"/>
                            <a:ext cx="3352800" cy="267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 rotWithShape="1">
                          <a:blip r:embed="rId20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352800" cy="265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0" name="Shape 10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0" l="0" r="48984" t="0"/>
                          <a:stretch/>
                        </pic:blipFill>
                        <pic:spPr>
                          <a:xfrm>
                            <a:off x="76200" y="387600"/>
                            <a:ext cx="3352800" cy="2697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51563"/>
                <wp:effectExtent b="0" l="0" r="0" t="0"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51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285"/>
        </w:tabs>
        <w:spacing w:after="120" w:line="228" w:lineRule="auto"/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O gráfico 7  mostra a frequência de cloretos para vinhos brancos. Nota-se uma semelhança nos padrões dos gráficos 7 e 5, ambos para o mesmo preditor e com baixíssimos desvios padrões (σ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0,02 para o gráfico 7), porém o valor da média acaba caindo pela metade para os vinhos brancos (μ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0,04, enquanto o μ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0,08 para o gráfico 5), indicando uma presença muito menor de cloretos em vinhos brancos que em vinhos tintos.</w:t>
      </w:r>
    </w:p>
    <w:p w:rsidR="00000000" w:rsidDel="00000000" w:rsidP="00000000" w:rsidRDefault="00000000" w:rsidRPr="00000000" w14:paraId="00000048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5156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51563"/>
                          <a:chOff x="0" y="0"/>
                          <a:chExt cx="3505200" cy="312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8: Histograma de frequência de álcool para vinhos brancos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0" r="48288" t="0"/>
                          <a:stretch/>
                        </pic:blipFill>
                        <pic:spPr>
                          <a:xfrm>
                            <a:off x="76200" y="397250"/>
                            <a:ext cx="3412730" cy="27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12725" cy="272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412725" cy="270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b="0" l="0" r="48485" t="0"/>
                          <a:stretch/>
                        </pic:blipFill>
                        <pic:spPr>
                          <a:xfrm>
                            <a:off x="76200" y="387600"/>
                            <a:ext cx="3352800" cy="267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 rotWithShape="1">
                          <a:blip r:embed="rId20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352800" cy="265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0" name="Shape 10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0" l="0" r="48984" t="0"/>
                          <a:stretch/>
                        </pic:blipFill>
                        <pic:spPr>
                          <a:xfrm>
                            <a:off x="76200" y="387600"/>
                            <a:ext cx="3352800" cy="2697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24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352800" cy="265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51563"/>
                <wp:effectExtent b="0" l="0" r="0" 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51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88"/>
        </w:tabs>
        <w:spacing w:after="12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Por fim, temos o gráfico 8, que tem os valores de álcool para vinhos brancos. Note que este gráfico é o que possui a menor variação entre as distribuições de frequência, com valores distribuídos de forma bastante uniforme. Isso indica uma grande variação entre os níveis de álcool das amostras de vinho branco.</w:t>
      </w:r>
    </w:p>
    <w:p w:rsidR="00000000" w:rsidDel="00000000" w:rsidP="00000000" w:rsidRDefault="00000000" w:rsidRPr="00000000" w14:paraId="0000004A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1"/>
        </w:numPr>
      </w:pPr>
      <w:bookmarkStart w:colFirst="0" w:colLast="0" w:name="_heading=h.38ng3c1dtdpn" w:id="4"/>
      <w:bookmarkEnd w:id="4"/>
      <w:r w:rsidDel="00000000" w:rsidR="00000000" w:rsidRPr="00000000">
        <w:rPr>
          <w:rtl w:val="0"/>
        </w:rPr>
        <w:t xml:space="preserve">Análise Class-Conditional Univariada</w:t>
      </w:r>
    </w:p>
    <w:p w:rsidR="00000000" w:rsidDel="00000000" w:rsidP="00000000" w:rsidRDefault="00000000" w:rsidRPr="00000000" w14:paraId="0000004C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Nessa seção, realizamos uma análise class-condicional do conjunto de dados.</w:t>
      </w:r>
    </w:p>
    <w:p w:rsidR="00000000" w:rsidDel="00000000" w:rsidP="00000000" w:rsidRDefault="00000000" w:rsidRPr="00000000" w14:paraId="0000004D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Primeiro consideramos uma comparação de preditores para vinhos tintos. Observe os gráficos abaixo: </w:t>
      </w:r>
    </w:p>
    <w:p w:rsidR="00000000" w:rsidDel="00000000" w:rsidP="00000000" w:rsidRDefault="00000000" w:rsidRPr="00000000" w14:paraId="0000004E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5156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51563"/>
                          <a:chOff x="0" y="0"/>
                          <a:chExt cx="3505200" cy="312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9: Histograma de frequência sulfatos para vinhos tintos (classe 8)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0" r="48288" t="0"/>
                          <a:stretch/>
                        </pic:blipFill>
                        <pic:spPr>
                          <a:xfrm>
                            <a:off x="76200" y="397250"/>
                            <a:ext cx="3412730" cy="27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12725" cy="272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412725" cy="270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b="0" l="0" r="48485" t="0"/>
                          <a:stretch/>
                        </pic:blipFill>
                        <pic:spPr>
                          <a:xfrm>
                            <a:off x="76200" y="387600"/>
                            <a:ext cx="3352800" cy="267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 rotWithShape="1">
                          <a:blip r:embed="rId20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352800" cy="265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0" name="Shape 10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0" l="0" r="48984" t="0"/>
                          <a:stretch/>
                        </pic:blipFill>
                        <pic:spPr>
                          <a:xfrm>
                            <a:off x="76200" y="387600"/>
                            <a:ext cx="3352800" cy="2697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24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352800" cy="265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2" name="Shape 12"/>
                          <pic:cNvPicPr preferRelativeResize="0"/>
                        </pic:nvPicPr>
                        <pic:blipFill rotWithShape="1">
                          <a:blip r:embed="rId26">
                            <a:alphaModFix/>
                          </a:blip>
                          <a:srcRect b="0" l="0" r="48799" t="0"/>
                          <a:stretch/>
                        </pic:blipFill>
                        <pic:spPr>
                          <a:xfrm>
                            <a:off x="76200" y="397250"/>
                            <a:ext cx="3352799" cy="269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3" name="Shape 13"/>
                          <pic:cNvPicPr preferRelativeResize="0"/>
                        </pic:nvPicPr>
                        <pic:blipFill rotWithShape="1">
                          <a:blip r:embed="rId27">
                            <a:alphaModFix/>
                          </a:blip>
                          <a:srcRect b="0" l="0" r="49351" t="0"/>
                          <a:stretch/>
                        </pic:blipFill>
                        <pic:spPr>
                          <a:xfrm>
                            <a:off x="76200" y="397250"/>
                            <a:ext cx="3352799" cy="272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51563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51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59927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59927"/>
                          <a:chOff x="0" y="0"/>
                          <a:chExt cx="3505200" cy="31364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10: Histograma de frequência sulfatos para vinhos tintos (classe 3)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48041" t="0"/>
                          <a:stretch/>
                        </pic:blipFill>
                        <pic:spPr>
                          <a:xfrm>
                            <a:off x="76200" y="397238"/>
                            <a:ext cx="3428999" cy="271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0" r="48288" t="0"/>
                          <a:stretch/>
                        </pic:blipFill>
                        <pic:spPr>
                          <a:xfrm>
                            <a:off x="76200" y="397250"/>
                            <a:ext cx="3412730" cy="27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12725" cy="272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412725" cy="270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b="0" l="0" r="48485" t="0"/>
                          <a:stretch/>
                        </pic:blipFill>
                        <pic:spPr>
                          <a:xfrm>
                            <a:off x="76200" y="387600"/>
                            <a:ext cx="3352800" cy="267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 rotWithShape="1">
                          <a:blip r:embed="rId20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352800" cy="265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0" name="Shape 10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0" l="0" r="48984" t="0"/>
                          <a:stretch/>
                        </pic:blipFill>
                        <pic:spPr>
                          <a:xfrm>
                            <a:off x="76200" y="387600"/>
                            <a:ext cx="3352800" cy="2697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24">
                            <a:alphaModFix/>
                          </a:blip>
                          <a:srcRect b="0" l="0" r="48232" t="0"/>
                          <a:stretch/>
                        </pic:blipFill>
                        <pic:spPr>
                          <a:xfrm>
                            <a:off x="76200" y="387600"/>
                            <a:ext cx="3352800" cy="265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2" name="Shape 12"/>
                          <pic:cNvPicPr preferRelativeResize="0"/>
                        </pic:nvPicPr>
                        <pic:blipFill rotWithShape="1">
                          <a:blip r:embed="rId26">
                            <a:alphaModFix/>
                          </a:blip>
                          <a:srcRect b="0" l="0" r="48799" t="0"/>
                          <a:stretch/>
                        </pic:blipFill>
                        <pic:spPr>
                          <a:xfrm>
                            <a:off x="76200" y="397250"/>
                            <a:ext cx="3302893" cy="2658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4" name="Shape 14"/>
                          <pic:cNvPicPr preferRelativeResize="0"/>
                        </pic:nvPicPr>
                        <pic:blipFill rotWithShape="1">
                          <a:blip r:embed="rId29">
                            <a:alphaModFix/>
                          </a:blip>
                          <a:srcRect b="0" l="0" r="48833" t="0"/>
                          <a:stretch/>
                        </pic:blipFill>
                        <pic:spPr>
                          <a:xfrm>
                            <a:off x="76200" y="387600"/>
                            <a:ext cx="3412724" cy="2748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5" name="Shape 15"/>
                          <pic:cNvPicPr preferRelativeResize="0"/>
                        </pic:nvPicPr>
                        <pic:blipFill rotWithShape="1">
                          <a:blip r:embed="rId30">
                            <a:alphaModFix/>
                          </a:blip>
                          <a:srcRect b="0" l="0" r="48652" t="0"/>
                          <a:stretch/>
                        </pic:blipFill>
                        <pic:spPr>
                          <a:xfrm>
                            <a:off x="76200" y="397250"/>
                            <a:ext cx="3412724" cy="273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59927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599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288"/>
        </w:tabs>
        <w:spacing w:after="12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O gráfico 9 ilustra dados dos vinhos tintos de classe 8 com base no preditor da taxa de sulfatos. Segundo os dados de média (μ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0,76) e desvio padrão (σ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= 0,11), e considerando o gráfico do mesmo preditor para vinhos tintos de classe 3 (gráfico 10), com sua média (μ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0,57)  indicando um valor menor, temos que o valor de sulfatos mais elevado pode estar diretamente relacionado a uma maior qualidade do vinho tinto.</w:t>
      </w:r>
    </w:p>
    <w:p w:rsidR="00000000" w:rsidDel="00000000" w:rsidP="00000000" w:rsidRDefault="00000000" w:rsidRPr="00000000" w14:paraId="00000051">
      <w:pPr>
        <w:tabs>
          <w:tab w:val="left" w:leader="none" w:pos="288"/>
        </w:tabs>
        <w:spacing w:after="12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Em seguida, realizamos um procedimento parecido, dessa vez focando nos preditores de vinhos brancos. Novamente, observe os gráficos abaixo:</w:t>
      </w:r>
    </w:p>
    <w:p w:rsidR="00000000" w:rsidDel="00000000" w:rsidP="00000000" w:rsidRDefault="00000000" w:rsidRPr="00000000" w14:paraId="00000052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76654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76654"/>
                          <a:chOff x="0" y="0"/>
                          <a:chExt cx="3505200" cy="31541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11: Histograma de frequência de álcool para vinhos brancos (classe 9)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9" name="Shape 19"/>
                          <pic:cNvPicPr preferRelativeResize="0"/>
                        </pic:nvPicPr>
                        <pic:blipFill rotWithShape="1">
                          <a:blip r:embed="rId32">
                            <a:alphaModFix/>
                          </a:blip>
                          <a:srcRect b="0" l="0" r="48919" t="0"/>
                          <a:stretch/>
                        </pic:blipFill>
                        <pic:spPr>
                          <a:xfrm>
                            <a:off x="76200" y="387600"/>
                            <a:ext cx="3428999" cy="2766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0" name="Shape 20"/>
                          <pic:cNvPicPr preferRelativeResize="0"/>
                        </pic:nvPicPr>
                        <pic:blipFill rotWithShape="1">
                          <a:blip r:embed="rId33">
                            <a:alphaModFix/>
                          </a:blip>
                          <a:srcRect b="0" l="0" r="48285" t="0"/>
                          <a:stretch/>
                        </pic:blipFill>
                        <pic:spPr>
                          <a:xfrm>
                            <a:off x="76200" y="387600"/>
                            <a:ext cx="3428999" cy="2732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76654"/>
                <wp:effectExtent b="0" l="0" r="0" 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7665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736730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736730"/>
                          <a:chOff x="0" y="0"/>
                          <a:chExt cx="3522125" cy="312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48609" t="0"/>
                          <a:stretch/>
                        </pic:blipFill>
                        <pic:spPr>
                          <a:xfrm>
                            <a:off x="76200" y="387600"/>
                            <a:ext cx="3429000" cy="27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12: Histograma de frequência álcool para vinhos brancos (classe 4)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23" name="Shape 23"/>
                          <pic:cNvPicPr preferRelativeResize="0"/>
                        </pic:nvPicPr>
                        <pic:blipFill rotWithShape="1">
                          <a:blip r:embed="rId35">
                            <a:alphaModFix/>
                          </a:blip>
                          <a:srcRect b="0" l="0" r="48924" t="0"/>
                          <a:stretch/>
                        </pic:blipFill>
                        <pic:spPr>
                          <a:xfrm>
                            <a:off x="76200" y="387600"/>
                            <a:ext cx="3407975" cy="273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4" name="Shape 24"/>
                          <pic:cNvPicPr preferRelativeResize="0"/>
                        </pic:nvPicPr>
                        <pic:blipFill rotWithShape="1">
                          <a:blip r:embed="rId36">
                            <a:alphaModFix/>
                          </a:blip>
                          <a:srcRect b="0" l="0" r="48151" t="0"/>
                          <a:stretch/>
                        </pic:blipFill>
                        <pic:spPr>
                          <a:xfrm>
                            <a:off x="76200" y="387600"/>
                            <a:ext cx="3445903" cy="273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736730"/>
                <wp:effectExtent b="0" l="0" r="0" t="0"/>
                <wp:docPr id="15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7367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283.46456692913375"/>
        <w:jc w:val="both"/>
        <w:rPr/>
      </w:pPr>
      <w:r w:rsidDel="00000000" w:rsidR="00000000" w:rsidRPr="00000000">
        <w:rPr>
          <w:rtl w:val="0"/>
        </w:rPr>
        <w:t xml:space="preserve">Os gráficos escolhidos (Gráficos 11 e 12) representam os histogramas de frequência para álcool em vinhos brancos, respectivamente para vinhos de classe 9 e 4.</w:t>
      </w:r>
    </w:p>
    <w:p w:rsidR="00000000" w:rsidDel="00000000" w:rsidP="00000000" w:rsidRDefault="00000000" w:rsidRPr="00000000" w14:paraId="00000055">
      <w:pPr>
        <w:ind w:left="0" w:firstLine="283.46456692913375"/>
        <w:jc w:val="both"/>
        <w:rPr/>
      </w:pPr>
      <w:r w:rsidDel="00000000" w:rsidR="00000000" w:rsidRPr="00000000">
        <w:rPr>
          <w:rtl w:val="0"/>
        </w:rPr>
        <w:t xml:space="preserve">Considerando os valores de média do gráfico 11 (μ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12.18), e do gráfico 12 (μ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10.15), e seus desvios padrões respectivamente (σ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= 1,013 e σ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=1,00), é possível relacionar de forma diretamente proporcional o aumento de nível de álcool com o aumento da qualidade do vinho branco.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numPr>
          <w:ilvl w:val="1"/>
          <w:numId w:val="1"/>
        </w:numPr>
        <w:ind w:left="288" w:hanging="288"/>
        <w:rPr/>
      </w:pPr>
      <w:r w:rsidDel="00000000" w:rsidR="00000000" w:rsidRPr="00000000">
        <w:rPr>
          <w:rtl w:val="0"/>
        </w:rPr>
        <w:t xml:space="preserve"> Análise Bivariada</w:t>
      </w:r>
    </w:p>
    <w:p w:rsidR="00000000" w:rsidDel="00000000" w:rsidP="00000000" w:rsidRDefault="00000000" w:rsidRPr="00000000" w14:paraId="00000057">
      <w:pPr>
        <w:ind w:left="0" w:firstLine="283.46456692913375"/>
        <w:jc w:val="both"/>
        <w:rPr/>
      </w:pPr>
      <w:r w:rsidDel="00000000" w:rsidR="00000000" w:rsidRPr="00000000">
        <w:rPr>
          <w:rtl w:val="0"/>
        </w:rPr>
        <w:t xml:space="preserve">Na análise bivariada realizamos a plotagem dos gráficos abaixo, considerando a relação entre a variação simultânea de 2 preditores simultaneamente, em função da variação da qualidade dos vinhos testados. A qualidade está representada em formato de gradiente de cores, com pontos mais próximos do amarelo para vinhos de baixa qualidade e mais próximos do azul escuro para vinhos de alta qualidade.</w:t>
      </w:r>
    </w:p>
    <w:p w:rsidR="00000000" w:rsidDel="00000000" w:rsidP="00000000" w:rsidRDefault="00000000" w:rsidRPr="00000000" w14:paraId="00000058">
      <w:pPr>
        <w:ind w:left="0" w:firstLine="283.46456692913375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584295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584295"/>
                          <a:chOff x="0" y="0"/>
                          <a:chExt cx="3505200" cy="2937275"/>
                        </a:xfrm>
                      </wpg:grpSpPr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13: Gráfico de dispersão de acidez fixa por densidade para vinhos tintos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6" name="Shape 16"/>
                          <pic:cNvPicPr preferRelativeResize="0"/>
                        </pic:nvPicPr>
                        <pic:blipFill rotWithShape="1">
                          <a:blip r:embed="rId38">
                            <a:alphaModFix/>
                          </a:blip>
                          <a:srcRect b="24808" l="32940" r="33204" t="50050"/>
                          <a:stretch/>
                        </pic:blipFill>
                        <pic:spPr>
                          <a:xfrm>
                            <a:off x="76200" y="430200"/>
                            <a:ext cx="3407975" cy="2507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584295"/>
                <wp:effectExtent b="0" l="0" r="0" t="0"/>
                <wp:docPr id="12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584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283.46456692913375"/>
        <w:jc w:val="both"/>
        <w:rPr/>
      </w:pPr>
      <w:r w:rsidDel="00000000" w:rsidR="00000000" w:rsidRPr="00000000">
        <w:rPr>
          <w:rtl w:val="0"/>
        </w:rPr>
        <w:t xml:space="preserve">Observando o Gráfico 13, em conjunto com o valor presente na Matriz de Correlação do vinho tinto presente no código (r = 0,67) percebemos uma relação entre os dois preditores. </w:t>
      </w:r>
    </w:p>
    <w:p w:rsidR="00000000" w:rsidDel="00000000" w:rsidP="00000000" w:rsidRDefault="00000000" w:rsidRPr="00000000" w14:paraId="0000005A">
      <w:pPr>
        <w:ind w:left="0" w:firstLine="283.46456692913375"/>
        <w:jc w:val="both"/>
        <w:rPr/>
      </w:pPr>
      <w:r w:rsidDel="00000000" w:rsidR="00000000" w:rsidRPr="00000000">
        <w:rPr>
          <w:rtl w:val="0"/>
        </w:rPr>
        <w:t xml:space="preserve">Também é possível observar um certo padrão na distribuição dos pontos no gráfico de dispersão, com pontos mais claros abaixo da linha e pontos mais escuros acima dela.</w:t>
      </w:r>
    </w:p>
    <w:p w:rsidR="00000000" w:rsidDel="00000000" w:rsidP="00000000" w:rsidRDefault="00000000" w:rsidRPr="00000000" w14:paraId="0000005B">
      <w:pPr>
        <w:ind w:left="0" w:firstLine="283.46456692913375"/>
        <w:jc w:val="both"/>
        <w:rPr/>
      </w:pPr>
      <w:r w:rsidDel="00000000" w:rsidR="00000000" w:rsidRPr="00000000">
        <w:rPr>
          <w:rtl w:val="0"/>
        </w:rPr>
        <w:t xml:space="preserve">Considerando esse padrão, é possível definir uma correlação entre a proporção de valores dos preditores de densidade e acidez fixa e a qualidade do vinho tinto a ser observado.</w:t>
      </w:r>
    </w:p>
    <w:p w:rsidR="00000000" w:rsidDel="00000000" w:rsidP="00000000" w:rsidRDefault="00000000" w:rsidRPr="00000000" w14:paraId="0000005C">
      <w:pPr>
        <w:ind w:firstLine="283.46456692913375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58429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584295"/>
                          <a:chOff x="0" y="0"/>
                          <a:chExt cx="3505200" cy="2937275"/>
                        </a:xfrm>
                      </wpg:grpSpPr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5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14: Gráfico de dispersão de açúcar residual por densidade para vinhos brancos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6" name="Shape 16"/>
                          <pic:cNvPicPr preferRelativeResize="0"/>
                        </pic:nvPicPr>
                        <pic:blipFill rotWithShape="1">
                          <a:blip r:embed="rId38">
                            <a:alphaModFix/>
                          </a:blip>
                          <a:srcRect b="24808" l="32940" r="33204" t="50050"/>
                          <a:stretch/>
                        </pic:blipFill>
                        <pic:spPr>
                          <a:xfrm>
                            <a:off x="76200" y="430200"/>
                            <a:ext cx="3407975" cy="2507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8" name="Shape 18"/>
                          <pic:cNvPicPr preferRelativeResize="0"/>
                        </pic:nvPicPr>
                        <pic:blipFill rotWithShape="1">
                          <a:blip r:embed="rId40">
                            <a:alphaModFix/>
                          </a:blip>
                          <a:srcRect b="24612" l="33281" r="32878" t="50497"/>
                          <a:stretch/>
                        </pic:blipFill>
                        <pic:spPr>
                          <a:xfrm>
                            <a:off x="123700" y="430200"/>
                            <a:ext cx="3360476" cy="2448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584295"/>
                <wp:effectExtent b="0" l="0" r="0" 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584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Por fim, consideramos o gráfico 14, com os preditores de açúcar residual e densidade, dessa vez para vinhos tintos. Ao observar este gráfico, em conjunto com novamente o seu valor correspondente na Matriz de Correlações (r = 0.84) percebemos uma grande correlação entre os dois preditores.</w:t>
      </w:r>
    </w:p>
    <w:p w:rsidR="00000000" w:rsidDel="00000000" w:rsidP="00000000" w:rsidRDefault="00000000" w:rsidRPr="00000000" w14:paraId="0000005E">
      <w:pPr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Além disso, tendo em vista o padrão de dispersão dos pontos no gráfico, é possível inferir uma correlação entre a proporção de valores dos preditores de densidade e açúcar residual e a qualidade do vinho branco a ser observado.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1"/>
        </w:numPr>
      </w:pPr>
      <w:bookmarkStart w:colFirst="0" w:colLast="0" w:name="_heading=h.8fo1nncf047b" w:id="5"/>
      <w:bookmarkEnd w:id="5"/>
      <w:r w:rsidDel="00000000" w:rsidR="00000000" w:rsidRPr="00000000">
        <w:rPr>
          <w:rtl w:val="0"/>
        </w:rPr>
        <w:t xml:space="preserve"> Análise Multivariada</w:t>
      </w:r>
    </w:p>
    <w:p w:rsidR="00000000" w:rsidDel="00000000" w:rsidP="00000000" w:rsidRDefault="00000000" w:rsidRPr="00000000" w14:paraId="00000061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No conjunto de dados utilizado, temos uma gama diversa de preditores, portanto para uma melhor análise faz-se necessário realizar uma análise multivariada.</w:t>
      </w:r>
    </w:p>
    <w:p w:rsidR="00000000" w:rsidDel="00000000" w:rsidP="00000000" w:rsidRDefault="00000000" w:rsidRPr="00000000" w14:paraId="00000062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Para tal, usaremos do da técnica de PCA, explicada anteriormente, com a restrição de dimensão n = 2 chegando a dois autovalores. Aplicando o screen plot para os dois tipos de vinhos temos:</w:t>
      </w:r>
    </w:p>
    <w:p w:rsidR="00000000" w:rsidDel="00000000" w:rsidP="00000000" w:rsidRDefault="00000000" w:rsidRPr="00000000" w14:paraId="00000063">
      <w:pPr>
        <w:tabs>
          <w:tab w:val="left" w:leader="none" w:pos="288"/>
        </w:tabs>
        <w:spacing w:after="120" w:line="228" w:lineRule="auto"/>
        <w:ind w:left="0" w:firstLine="0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659566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659566"/>
                          <a:chOff x="0" y="0"/>
                          <a:chExt cx="3505200" cy="3015825"/>
                        </a:xfrm>
                      </wpg:grpSpPr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34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15: Screen plot para vinhos tintos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6" name="Shape 16"/>
                          <pic:cNvPicPr preferRelativeResize="0"/>
                        </pic:nvPicPr>
                        <pic:blipFill rotWithShape="1">
                          <a:blip r:embed="rId38">
                            <a:alphaModFix/>
                          </a:blip>
                          <a:srcRect b="24808" l="32940" r="33204" t="50050"/>
                          <a:stretch/>
                        </pic:blipFill>
                        <pic:spPr>
                          <a:xfrm>
                            <a:off x="76200" y="430200"/>
                            <a:ext cx="3407975" cy="2507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7" name="Shape 17"/>
                          <pic:cNvPicPr preferRelativeResize="0"/>
                        </pic:nvPicPr>
                        <pic:blipFill>
                          <a:blip r:embed="rId4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294250"/>
                            <a:ext cx="3352800" cy="272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659566"/>
                <wp:effectExtent b="0" l="0" r="0" 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65956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86100" cy="2659566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659566"/>
                          <a:chOff x="0" y="0"/>
                          <a:chExt cx="3505200" cy="3015850"/>
                        </a:xfrm>
                      </wpg:grpSpPr>
                      <wps:wsp>
                        <wps:cNvSpPr txBox="1"/>
                        <wps:cNvPr id="3" name="Shape 3"/>
                        <wps:spPr>
                          <a:xfrm>
                            <a:off x="-76200" y="-76200"/>
                            <a:ext cx="3581400" cy="34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20" w:before="0" w:line="227.99999713897705"/>
                                <w:ind w:left="0" w:right="0" w:firstLine="287.99999237060547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Gráfico 16: Screen plot para vinhos brancos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6" name="Shape 16"/>
                          <pic:cNvPicPr preferRelativeResize="0"/>
                        </pic:nvPicPr>
                        <pic:blipFill rotWithShape="1">
                          <a:blip r:embed="rId38">
                            <a:alphaModFix/>
                          </a:blip>
                          <a:srcRect b="24808" l="32940" r="33204" t="50050"/>
                          <a:stretch/>
                        </pic:blipFill>
                        <pic:spPr>
                          <a:xfrm>
                            <a:off x="76200" y="430200"/>
                            <a:ext cx="3407975" cy="2507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7" name="Shape 17"/>
                          <pic:cNvPicPr preferRelativeResize="0"/>
                        </pic:nvPicPr>
                        <pic:blipFill>
                          <a:blip r:embed="rId4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294250"/>
                            <a:ext cx="3352800" cy="272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2" name="Shape 22"/>
                          <pic:cNvPicPr preferRelativeResize="0"/>
                        </pic:nvPicPr>
                        <pic:blipFill>
                          <a:blip r:embed="rId4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294250"/>
                            <a:ext cx="3352812" cy="272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6100" cy="2659566"/>
                <wp:effectExtent b="0" l="0" r="0" t="0"/>
                <wp:docPr id="1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65956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88"/>
        </w:tabs>
        <w:spacing w:after="120" w:line="228" w:lineRule="auto"/>
        <w:ind w:firstLine="288"/>
        <w:jc w:val="both"/>
        <w:rPr/>
      </w:pPr>
      <w:r w:rsidDel="00000000" w:rsidR="00000000" w:rsidRPr="00000000">
        <w:rPr>
          <w:rtl w:val="0"/>
        </w:rPr>
        <w:t xml:space="preserve">Como é possível ver, os dois componentes, tanto para o dataset do vinhos brancos quanto dos vinhos tintos, não são suficientes para uma boa representação dos dados.</w:t>
      </w:r>
    </w:p>
    <w:p w:rsidR="00000000" w:rsidDel="00000000" w:rsidP="00000000" w:rsidRDefault="00000000" w:rsidRPr="00000000" w14:paraId="00000068">
      <w:pPr>
        <w:pStyle w:val="Heading5"/>
        <w:tabs>
          <w:tab w:val="left" w:leader="none" w:pos="360"/>
        </w:tabs>
        <w:spacing w:after="0" w:before="0" w:lineRule="auto"/>
        <w:ind w:left="0" w:firstLine="0"/>
        <w:jc w:val="left"/>
        <w:rPr/>
      </w:pPr>
      <w:bookmarkStart w:colFirst="0" w:colLast="0" w:name="_heading=h.hx2xma5ax3n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88"/>
        </w:tabs>
        <w:spacing w:after="120" w:line="228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1"/>
        </w:numPr>
        <w:tabs>
          <w:tab w:val="left" w:leader="none" w:pos="216"/>
        </w:tabs>
        <w:ind w:firstLine="216"/>
        <w:jc w:val="left"/>
        <w:rPr>
          <w:sz w:val="22"/>
          <w:szCs w:val="22"/>
        </w:rPr>
      </w:pPr>
      <w:bookmarkStart w:colFirst="0" w:colLast="0" w:name="_heading=h.ncxjls3kz75l" w:id="7"/>
      <w:bookmarkEnd w:id="7"/>
      <w:r w:rsidDel="00000000" w:rsidR="00000000" w:rsidRPr="00000000">
        <w:rPr>
          <w:sz w:val="22"/>
          <w:szCs w:val="22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50" w:line="180" w:lineRule="auto"/>
        <w:ind w:left="360" w:firstLine="0"/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50" w:line="180" w:lineRule="auto"/>
        <w:ind w:left="360"/>
        <w:jc w:val="left"/>
      </w:pPr>
      <w:r w:rsidDel="00000000" w:rsidR="00000000" w:rsidRPr="00000000">
        <w:rPr>
          <w:color w:val="222222"/>
          <w:highlight w:val="white"/>
          <w:rtl w:val="0"/>
        </w:rPr>
        <w:t xml:space="preserve">P. Cortez, A. Cerdeira, F. Almeida, T. Matos and J. Reis. 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Modeling wine preferences by data mining from physicochemical properties</w:t>
      </w:r>
      <w:r w:rsidDel="00000000" w:rsidR="00000000" w:rsidRPr="00000000">
        <w:rPr>
          <w:color w:val="222222"/>
          <w:highlight w:val="white"/>
          <w:rtl w:val="0"/>
        </w:rPr>
        <w:t xml:space="preserve">. In Decision Support Systems, Elsevier, 47(4):547-553. ISSN: 0167-9236. Disponível em: https://archive.ics.uci.edu/dataset/186/wine+quality</w:t>
      </w:r>
    </w:p>
    <w:p w:rsidR="00000000" w:rsidDel="00000000" w:rsidP="00000000" w:rsidRDefault="00000000" w:rsidRPr="00000000" w14:paraId="0000006D">
      <w:pPr>
        <w:spacing w:after="50" w:line="180" w:lineRule="auto"/>
        <w:ind w:left="360" w:firstLine="0"/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50" w:line="180" w:lineRule="auto"/>
        <w:ind w:left="360"/>
        <w:jc w:val="left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JAMES, Gareth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et al</w:t>
      </w:r>
      <w:r w:rsidDel="00000000" w:rsidR="00000000" w:rsidRPr="00000000">
        <w:rPr>
          <w:color w:val="222222"/>
          <w:highlight w:val="white"/>
          <w:rtl w:val="0"/>
        </w:rPr>
        <w:t xml:space="preserve">.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An Introduction to Statistical Learning with Applications in Python</w:t>
      </w:r>
      <w:r w:rsidDel="00000000" w:rsidR="00000000" w:rsidRPr="00000000">
        <w:rPr>
          <w:color w:val="222222"/>
          <w:highlight w:val="white"/>
          <w:rtl w:val="0"/>
        </w:rPr>
        <w:t xml:space="preserve">. S.I: Springer, 2023. Disponível em: https://hastie.su.domains/ISLP/ISLP_website.pdf. Acesso em: 10 set. 2023.</w:t>
      </w:r>
    </w:p>
    <w:p w:rsidR="00000000" w:rsidDel="00000000" w:rsidP="00000000" w:rsidRDefault="00000000" w:rsidRPr="00000000" w14:paraId="0000006F">
      <w:pPr>
        <w:spacing w:after="50" w:line="180" w:lineRule="auto"/>
        <w:ind w:left="360" w:firstLine="0"/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50" w:line="180" w:lineRule="auto"/>
        <w:ind w:left="360"/>
        <w:jc w:val="left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VARELLA, Carlos Alberto Alves.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Análise de Componentes Principais</w:t>
      </w:r>
      <w:r w:rsidDel="00000000" w:rsidR="00000000" w:rsidRPr="00000000">
        <w:rPr>
          <w:color w:val="222222"/>
          <w:highlight w:val="white"/>
          <w:rtl w:val="0"/>
        </w:rPr>
        <w:t xml:space="preserve">. Disponível em: http://www.ufrrj.br/institutos/it/deng/varella/Downloads/multivariada%20aplicada%20as%20ciencias%20agrarias/Aulas/analise%20de%20componentes%20principais.pdf. Acesso em: 10 set. 2023</w:t>
      </w:r>
    </w:p>
    <w:p w:rsidR="00000000" w:rsidDel="00000000" w:rsidP="00000000" w:rsidRDefault="00000000" w:rsidRPr="00000000" w14:paraId="00000071">
      <w:pPr>
        <w:spacing w:after="50" w:line="180" w:lineRule="auto"/>
        <w:ind w:left="360" w:firstLine="0"/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50" w:line="180" w:lineRule="auto"/>
        <w:ind w:left="360" w:firstLine="0"/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50" w:line="180" w:lineRule="auto"/>
        <w:ind w:left="360" w:firstLine="0"/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50" w:line="180" w:lineRule="auto"/>
        <w:ind w:left="0" w:firstLine="0"/>
        <w:jc w:val="left"/>
        <w:rPr>
          <w:color w:val="222222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024.8425196850417" w:top="1080" w:left="907" w:right="907" w:header="720" w:footer="720"/>
      <w:cols w:equalWidth="0" w:num="2">
        <w:col w:space="360" w:w="4865.74"/>
        <w:col w:space="0" w:w="4865.7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center"/>
      <w:pPr>
        <w:ind w:left="0" w:firstLine="216"/>
      </w:pPr>
      <w:rPr>
        <w:rFonts w:ascii="Times New Roman" w:cs="Times New Roman" w:eastAsia="Times New Roman" w:hAnsi="Times New Roman"/>
        <w:smallCaps w:val="0"/>
        <w:strike w:val="0"/>
        <w:color w:val="000000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ind w:left="0" w:firstLine="180"/>
      </w:pPr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ind w:left="0" w:firstLine="360"/>
      </w:pPr>
      <w:rPr>
        <w:rFonts w:ascii="Times New Roman" w:cs="Times New Roman" w:eastAsia="Times New Roman" w:hAnsi="Times New Roman"/>
        <w:b w:val="0"/>
        <w:i w:val="1"/>
        <w:sz w:val="20"/>
        <w:szCs w:val="20"/>
      </w:rPr>
    </w:lvl>
    <w:lvl w:ilvl="4">
      <w:start w:val="1"/>
      <w:numFmt w:val="decimal"/>
      <w:lvlText w:val=""/>
      <w:lvlJc w:val="left"/>
      <w:pPr>
        <w:ind w:left="2880" w:hanging="2880"/>
      </w:pPr>
      <w:rPr/>
    </w:lvl>
    <w:lvl w:ilvl="5">
      <w:start w:val="1"/>
      <w:numFmt w:val="lowerLetter"/>
      <w:lvlText w:val="(%6)"/>
      <w:lvlJc w:val="left"/>
      <w:pPr>
        <w:ind w:left="3600" w:hanging="3600"/>
      </w:pPr>
      <w:rPr/>
    </w:lvl>
    <w:lvl w:ilvl="6">
      <w:start w:val="1"/>
      <w:numFmt w:val="lowerRoman"/>
      <w:lvlText w:val="(%7)"/>
      <w:lvlJc w:val="left"/>
      <w:pPr>
        <w:ind w:left="4320" w:hanging="4320"/>
      </w:pPr>
      <w:rPr/>
    </w:lvl>
    <w:lvl w:ilvl="7">
      <w:start w:val="1"/>
      <w:numFmt w:val="lowerLetter"/>
      <w:lvlText w:val="(%8)"/>
      <w:lvlJc w:val="left"/>
      <w:pPr>
        <w:ind w:left="5040" w:hanging="5040"/>
      </w:pPr>
      <w:rPr/>
    </w:lvl>
    <w:lvl w:ilvl="8">
      <w:start w:val="1"/>
      <w:numFmt w:val="lowerRoman"/>
      <w:lvlText w:val="(%9)"/>
      <w:lvlJc w:val="left"/>
      <w:pPr>
        <w:ind w:left="5760" w:hanging="5760"/>
      </w:pPr>
      <w:rPr/>
    </w:lvl>
  </w:abstractNum>
  <w:abstractNum w:abstractNumId="2">
    <w:lvl w:ilvl="0">
      <w:start w:val="1"/>
      <w:numFmt w:val="decimal"/>
      <w:lvlText w:val="[%1]"/>
      <w:lvlJc w:val="left"/>
      <w:pPr>
        <w:ind w:left="360" w:hanging="36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216"/>
      </w:tabs>
      <w:spacing w:after="80" w:before="160" w:lineRule="auto"/>
      <w:ind w:left="0" w:firstLine="0"/>
    </w:pPr>
    <w:rPr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120" w:lineRule="auto"/>
      <w:ind w:left="288" w:hanging="288"/>
      <w:jc w:val="left"/>
    </w:pPr>
    <w:rPr>
      <w:i w:val="1"/>
    </w:rPr>
  </w:style>
  <w:style w:type="paragraph" w:styleId="Heading3">
    <w:name w:val="heading 3"/>
    <w:basedOn w:val="Normal"/>
    <w:next w:val="Normal"/>
    <w:pPr>
      <w:spacing w:line="240" w:lineRule="auto"/>
      <w:ind w:left="0" w:firstLine="288"/>
      <w:jc w:val="both"/>
    </w:pPr>
    <w:rPr>
      <w:i w:val="1"/>
    </w:rPr>
  </w:style>
  <w:style w:type="paragraph" w:styleId="Heading4">
    <w:name w:val="heading 4"/>
    <w:basedOn w:val="Normal"/>
    <w:next w:val="Normal"/>
    <w:pPr>
      <w:tabs>
        <w:tab w:val="left" w:leader="none" w:pos="720"/>
      </w:tabs>
      <w:spacing w:after="40" w:before="40" w:lineRule="auto"/>
      <w:ind w:left="0" w:firstLine="504"/>
      <w:jc w:val="both"/>
    </w:pPr>
    <w:rPr>
      <w:i w:val="1"/>
    </w:rPr>
  </w:style>
  <w:style w:type="paragraph" w:styleId="Heading5">
    <w:name w:val="heading 5"/>
    <w:basedOn w:val="Normal"/>
    <w:next w:val="Normal"/>
    <w:pPr>
      <w:tabs>
        <w:tab w:val="left" w:leader="none" w:pos="360"/>
      </w:tabs>
      <w:spacing w:after="80" w:before="160" w:lineRule="auto"/>
    </w:pPr>
    <w:rPr>
      <w:smallCaps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5.png"/><Relationship Id="rId20" Type="http://schemas.openxmlformats.org/officeDocument/2006/relationships/image" Target="media/image90.png"/><Relationship Id="rId42" Type="http://schemas.openxmlformats.org/officeDocument/2006/relationships/image" Target="media/image37.png"/><Relationship Id="rId41" Type="http://schemas.openxmlformats.org/officeDocument/2006/relationships/image" Target="media/image8.png"/><Relationship Id="rId22" Type="http://schemas.openxmlformats.org/officeDocument/2006/relationships/image" Target="media/image63.png"/><Relationship Id="rId44" Type="http://schemas.openxmlformats.org/officeDocument/2006/relationships/image" Target="media/image93.png"/><Relationship Id="rId21" Type="http://schemas.openxmlformats.org/officeDocument/2006/relationships/image" Target="media/image81.png"/><Relationship Id="rId43" Type="http://schemas.openxmlformats.org/officeDocument/2006/relationships/image" Target="media/image6.png"/><Relationship Id="rId24" Type="http://schemas.openxmlformats.org/officeDocument/2006/relationships/image" Target="media/image40.png"/><Relationship Id="rId23" Type="http://schemas.openxmlformats.org/officeDocument/2006/relationships/image" Target="media/image17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7.png"/><Relationship Id="rId26" Type="http://schemas.openxmlformats.org/officeDocument/2006/relationships/image" Target="media/image16.png"/><Relationship Id="rId25" Type="http://schemas.openxmlformats.org/officeDocument/2006/relationships/image" Target="media/image11.png"/><Relationship Id="rId28" Type="http://schemas.openxmlformats.org/officeDocument/2006/relationships/image" Target="media/image2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2.png"/><Relationship Id="rId7" Type="http://schemas.openxmlformats.org/officeDocument/2006/relationships/footer" Target="footer2.xml"/><Relationship Id="rId8" Type="http://schemas.openxmlformats.org/officeDocument/2006/relationships/footer" Target="footer1.xml"/><Relationship Id="rId31" Type="http://schemas.openxmlformats.org/officeDocument/2006/relationships/image" Target="media/image3.png"/><Relationship Id="rId30" Type="http://schemas.openxmlformats.org/officeDocument/2006/relationships/image" Target="media/image44.png"/><Relationship Id="rId11" Type="http://schemas.openxmlformats.org/officeDocument/2006/relationships/image" Target="media/image74.png"/><Relationship Id="rId33" Type="http://schemas.openxmlformats.org/officeDocument/2006/relationships/image" Target="media/image79.png"/><Relationship Id="rId10" Type="http://schemas.openxmlformats.org/officeDocument/2006/relationships/image" Target="media/image80.png"/><Relationship Id="rId32" Type="http://schemas.openxmlformats.org/officeDocument/2006/relationships/image" Target="media/image67.png"/><Relationship Id="rId13" Type="http://schemas.openxmlformats.org/officeDocument/2006/relationships/image" Target="media/image76.png"/><Relationship Id="rId35" Type="http://schemas.openxmlformats.org/officeDocument/2006/relationships/image" Target="media/image98.png"/><Relationship Id="rId12" Type="http://schemas.openxmlformats.org/officeDocument/2006/relationships/image" Target="media/image82.png"/><Relationship Id="rId34" Type="http://schemas.openxmlformats.org/officeDocument/2006/relationships/image" Target="media/image13.png"/><Relationship Id="rId15" Type="http://schemas.openxmlformats.org/officeDocument/2006/relationships/image" Target="media/image59.png"/><Relationship Id="rId37" Type="http://schemas.openxmlformats.org/officeDocument/2006/relationships/image" Target="media/image78.png"/><Relationship Id="rId14" Type="http://schemas.openxmlformats.org/officeDocument/2006/relationships/image" Target="media/image69.png"/><Relationship Id="rId36" Type="http://schemas.openxmlformats.org/officeDocument/2006/relationships/image" Target="media/image97.png"/><Relationship Id="rId17" Type="http://schemas.openxmlformats.org/officeDocument/2006/relationships/image" Target="media/image15.png"/><Relationship Id="rId39" Type="http://schemas.openxmlformats.org/officeDocument/2006/relationships/image" Target="media/image70.png"/><Relationship Id="rId16" Type="http://schemas.openxmlformats.org/officeDocument/2006/relationships/image" Target="media/image94.png"/><Relationship Id="rId38" Type="http://schemas.openxmlformats.org/officeDocument/2006/relationships/image" Target="media/image83.png"/><Relationship Id="rId19" Type="http://schemas.openxmlformats.org/officeDocument/2006/relationships/image" Target="media/image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WKH3mWrfrVfuCZl1CAvNdYnshA==">CgMxLjAyDmguaWljODdtZHMwOGVoMg5oLmR6MXk3MDgzajhobjIOaC5iYXgxbWx1ZWFwYWEyDmguODZhZWtpZWo1OGl6Mg5oLjM4bmczYzFkdGRwbjIOaC44Zm8xbm5jZjA0N2IyDmguaHgyeG1hNWF4M25yMg5oLm5jeGpsczNrejc1bDgAciExNkZKWXc4cDM2QW82cm5PRE5wNG1pR280a0tyNV8tWGI=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