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5CF2A" w14:textId="2214442A" w:rsidR="00333758" w:rsidRPr="00260F6F" w:rsidRDefault="00333758" w:rsidP="00260F6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60F6F">
        <w:rPr>
          <w:rFonts w:ascii="Times New Roman" w:hAnsi="Times New Roman" w:cs="Times New Roman"/>
          <w:b/>
          <w:bCs/>
          <w:sz w:val="28"/>
          <w:szCs w:val="28"/>
        </w:rPr>
        <w:t>Métricas en minería de datos</w:t>
      </w:r>
    </w:p>
    <w:p w14:paraId="1AC2CEF0" w14:textId="57713682" w:rsidR="005213ED" w:rsidRPr="002960CF" w:rsidRDefault="00F20369" w:rsidP="00260F6F">
      <w:pPr>
        <w:spacing w:line="360" w:lineRule="auto"/>
        <w:rPr>
          <w:rFonts w:ascii="Times New Roman" w:hAnsi="Times New Roman" w:cs="Times New Roman"/>
          <w:b/>
          <w:bCs/>
        </w:rPr>
      </w:pPr>
      <w:r w:rsidRPr="002960CF">
        <w:rPr>
          <w:rFonts w:ascii="Times New Roman" w:hAnsi="Times New Roman" w:cs="Times New Roman"/>
          <w:b/>
          <w:bCs/>
        </w:rPr>
        <w:t>C</w:t>
      </w:r>
      <w:r w:rsidR="00333758" w:rsidRPr="002960CF">
        <w:rPr>
          <w:rFonts w:ascii="Times New Roman" w:hAnsi="Times New Roman" w:cs="Times New Roman"/>
          <w:b/>
          <w:bCs/>
        </w:rPr>
        <w:t>aso</w:t>
      </w:r>
    </w:p>
    <w:p w14:paraId="39EB8815" w14:textId="2DD41008" w:rsidR="00333758" w:rsidRPr="002960CF" w:rsidRDefault="005213ED" w:rsidP="00260F6F">
      <w:pPr>
        <w:spacing w:line="360" w:lineRule="auto"/>
        <w:ind w:firstLine="709"/>
        <w:rPr>
          <w:rFonts w:ascii="Times New Roman" w:hAnsi="Times New Roman" w:cs="Times New Roman"/>
        </w:rPr>
      </w:pPr>
      <w:r w:rsidRPr="002960CF">
        <w:rPr>
          <w:rFonts w:ascii="Times New Roman" w:hAnsi="Times New Roman" w:cs="Times New Roman"/>
        </w:rPr>
        <w:t>Entidad bancaria ha sufrido de fraudes transaccionales en los últimos 6 meses, siendo un 11,9% de fraudes del total de las transacciones realizadas.</w:t>
      </w:r>
    </w:p>
    <w:p w14:paraId="3B77BFAC" w14:textId="00EB66FB" w:rsidR="002960CF" w:rsidRPr="002960CF" w:rsidRDefault="002960CF" w:rsidP="00260F6F">
      <w:pPr>
        <w:spacing w:line="360" w:lineRule="auto"/>
        <w:rPr>
          <w:rFonts w:ascii="Times New Roman" w:hAnsi="Times New Roman" w:cs="Times New Roman"/>
          <w:b/>
          <w:bCs/>
        </w:rPr>
      </w:pPr>
      <w:r w:rsidRPr="002960CF">
        <w:rPr>
          <w:rFonts w:ascii="Times New Roman" w:hAnsi="Times New Roman" w:cs="Times New Roman"/>
          <w:b/>
          <w:bCs/>
        </w:rPr>
        <w:t>Informe de minería de datos</w:t>
      </w:r>
    </w:p>
    <w:p w14:paraId="6F0BAC0B" w14:textId="58822AFD" w:rsidR="002960CF" w:rsidRPr="002960CF" w:rsidRDefault="002960CF" w:rsidP="00260F6F">
      <w:pPr>
        <w:spacing w:line="360" w:lineRule="auto"/>
        <w:ind w:firstLine="709"/>
        <w:rPr>
          <w:rFonts w:ascii="Times New Roman" w:hAnsi="Times New Roman" w:cs="Times New Roman"/>
        </w:rPr>
      </w:pPr>
      <w:r w:rsidRPr="002960CF">
        <w:rPr>
          <w:rFonts w:ascii="Times New Roman" w:hAnsi="Times New Roman" w:cs="Times New Roman"/>
        </w:rPr>
        <w:t>En nuestro análisis reciente sobre la detección de fraude en la entidad bancaria, discutimos el importante problema del 11. 9% de transacciones fraudulentas registradas en los últimos medio año. El principal obstáculo técnico es un conjunto de datos extremadamente desbalanceado, con un 88. 1% de las operaciones siendo auténticas. Esta desigualdad hace que la métrica de precisión sea engañosa. Por este motivo, optamos por el F1-Score como el principal indicador de rendimiento, dado que está específicamente creado para analizar modelos bajo estas circunstancias y nos ofrece una forma de medir el éxito de manera más exacta y alineada con las metas del negocio.</w:t>
      </w:r>
    </w:p>
    <w:p w14:paraId="760E6A63" w14:textId="5FD40901" w:rsidR="00F20369" w:rsidRPr="002960CF" w:rsidRDefault="002960CF" w:rsidP="00260F6F">
      <w:pPr>
        <w:spacing w:line="360" w:lineRule="auto"/>
        <w:ind w:firstLine="709"/>
        <w:rPr>
          <w:rFonts w:ascii="Times New Roman" w:hAnsi="Times New Roman" w:cs="Times New Roman"/>
        </w:rPr>
      </w:pPr>
      <w:r w:rsidRPr="002960CF">
        <w:rPr>
          <w:rFonts w:ascii="Times New Roman" w:hAnsi="Times New Roman" w:cs="Times New Roman"/>
        </w:rPr>
        <w:t xml:space="preserve">La selección del F1-Score es una decisión estratégica, ya que nos impulsa a optimizar el delicado equilibrio entre dos prioridades: la Precisión, que se centra en reducir al mínimo los "falsos positivos" para evitar bloquear erróneamente las transacciones de clientes legítimos, y el </w:t>
      </w:r>
      <w:proofErr w:type="spellStart"/>
      <w:r w:rsidRPr="002960CF">
        <w:rPr>
          <w:rFonts w:ascii="Times New Roman" w:hAnsi="Times New Roman" w:cs="Times New Roman"/>
        </w:rPr>
        <w:t>Recall</w:t>
      </w:r>
      <w:proofErr w:type="spellEnd"/>
      <w:r w:rsidRPr="002960CF">
        <w:rPr>
          <w:rFonts w:ascii="Times New Roman" w:hAnsi="Times New Roman" w:cs="Times New Roman"/>
        </w:rPr>
        <w:t>, que pretende capturar la mayor cantidad posible de fraudes reales para asegurar la protección del banco. Al ser una media armónica de ambos, el F1-Score nos orienta hacia un modelo que no solo es fuerte en seguridad, sino que también brinda una experiencia al cliente que es fluida y confiable.</w:t>
      </w:r>
    </w:p>
    <w:p w14:paraId="71D5BC5A" w14:textId="77777777" w:rsidR="00333758" w:rsidRDefault="00333758"/>
    <w:p w14:paraId="3614BF27" w14:textId="77777777" w:rsidR="00E61926" w:rsidRDefault="00E61926"/>
    <w:sectPr w:rsidR="00E619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26"/>
    <w:rsid w:val="00260F6F"/>
    <w:rsid w:val="002960CF"/>
    <w:rsid w:val="00333758"/>
    <w:rsid w:val="005213ED"/>
    <w:rsid w:val="00BD57CE"/>
    <w:rsid w:val="00E61926"/>
    <w:rsid w:val="00F2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5A47F4"/>
  <w15:chartTrackingRefBased/>
  <w15:docId w15:val="{4D41843F-4201-45DC-A7B2-85EC43290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0CF"/>
  </w:style>
  <w:style w:type="paragraph" w:styleId="Ttulo1">
    <w:name w:val="heading 1"/>
    <w:basedOn w:val="Normal"/>
    <w:next w:val="Normal"/>
    <w:link w:val="Ttulo1Car"/>
    <w:uiPriority w:val="9"/>
    <w:qFormat/>
    <w:rsid w:val="00E61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1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19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1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19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1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1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1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1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19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19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19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19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192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19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19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19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19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1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1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1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1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1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19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19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192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1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192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19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Centeno Castellón</dc:creator>
  <cp:keywords/>
  <dc:description/>
  <cp:lastModifiedBy>Azazyel</cp:lastModifiedBy>
  <cp:revision>3</cp:revision>
  <dcterms:created xsi:type="dcterms:W3CDTF">2025-09-29T21:38:00Z</dcterms:created>
  <dcterms:modified xsi:type="dcterms:W3CDTF">2025-09-30T01:46:00Z</dcterms:modified>
</cp:coreProperties>
</file>