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color w:val="0B3D91"/>
          <w:sz w:val="28"/>
        </w:rPr>
        <w:t>CONTRATO DE LICENCIA DE USO, IMPLEMENTACIÓN</w:t>
      </w:r>
    </w:p>
    <w:p>
      <w:pPr>
        <w:spacing w:after="120" w:before="0" w:line="240" w:lineRule="auto"/>
        <w:jc w:val="center"/>
      </w:pPr>
      <w:r>
        <w:rPr>
          <w:rFonts w:ascii="Times New Roman" w:hAnsi="Times New Roman" w:eastAsia="Times New Roman"/>
          <w:b/>
          <w:i w:val="0"/>
          <w:color w:val="0B3D91"/>
          <w:sz w:val="28"/>
        </w:rPr>
        <w:t>Y PRESTACIÓN DE SERVICIOS DE SOFTWARE</w:t>
      </w:r>
    </w:p>
    <w:p>
      <w:pPr>
        <w:spacing w:after="280" w:before="0" w:line="240" w:lineRule="auto"/>
        <w:jc w:val="center"/>
      </w:pPr>
      <w:r>
        <w:rPr>
          <w:rFonts w:ascii="Times New Roman" w:hAnsi="Times New Roman" w:eastAsia="Times New Roman"/>
          <w:b/>
          <w:i/>
          <w:color w:val="1A1A1A"/>
          <w:sz w:val="24"/>
        </w:rPr>
        <w:t>“Plataforma E-commerce + ERP (base Zenn)”</w:t>
      </w:r>
    </w:p>
    <w:p>
      <w:pPr>
        <w:spacing w:after="240" w:before="0" w:line="240" w:lineRule="auto"/>
        <w:jc w:val="both"/>
      </w:pPr>
      <w:r>
        <w:rPr>
          <w:rFonts w:ascii="Times New Roman" w:hAnsi="Times New Roman" w:eastAsia="Times New Roman"/>
          <w:b w:val="0"/>
          <w:i w:val="0"/>
          <w:color w:val="1A1A1A"/>
          <w:sz w:val="22"/>
        </w:rPr>
        <w:t>En la ciudad de Asunción, República del Paraguay, a los veintidós (22) días del mes de julio del año dos mil veintiséis (2026), se celebra el presente Contrato de Licencia de Uso, Implementación y Prestación de Servicios de Software (en adelante, el “Contrato”), entre las partes que a continuación se individualizan:</w:t>
      </w:r>
    </w:p>
    <w:p>
      <w:pPr>
        <w:spacing w:before="280" w:after="160"/>
        <w:jc w:val="left"/>
        <w:pBdr>
          <w:bottom w:val="single" w:sz="6" w:space="1" w:color="B0C4DE"/>
        </w:pBdr>
      </w:pPr>
      <w:r>
        <w:rPr>
          <w:rFonts w:ascii="Times New Roman" w:hAnsi="Times New Roman" w:eastAsia="Times New Roman"/>
          <w:b/>
          <w:i w:val="0"/>
          <w:color w:val="0B3D91"/>
          <w:sz w:val="26"/>
        </w:rPr>
        <w:t>CLÁUSULA PRIMERA – PARTES</w:t>
      </w:r>
    </w:p>
    <w:p>
      <w:pPr>
        <w:spacing w:after="120" w:before="0" w:line="240" w:lineRule="auto"/>
        <w:jc w:val="both"/>
      </w:pPr>
      <w:r>
        <w:rPr>
          <w:rFonts w:ascii="Times New Roman" w:hAnsi="Times New Roman" w:eastAsia="Times New Roman"/>
          <w:b/>
          <w:i w:val="0"/>
          <w:color w:val="1A1A1A"/>
          <w:sz w:val="22"/>
        </w:rPr>
        <w:t xml:space="preserve">1.1. EL PROVEEDOR: </w:t>
      </w:r>
      <w:r>
        <w:rPr>
          <w:rFonts w:ascii="Times New Roman" w:hAnsi="Times New Roman" w:eastAsia="Times New Roman"/>
          <w:b w:val="0"/>
          <w:i w:val="0"/>
          <w:color w:val="1A1A1A"/>
          <w:sz w:val="22"/>
        </w:rPr>
        <w:t>ZENN E.A.S. UNIPERSONAL, con RUC N.º 80162448-7, con domicilio en Teodoro S. Mongelós casi Radio Operadores del Chaco N.º 3934, Asunción, Paraguay, representada en este acto por su representante legal, el Sr. JOSÍAS NICOLÁS MACHADO ROLÓN, con Cédula de Identidad Civil N.º 5799267, en adelante “ZENN” o el “PROVEEDOR”.</w:t>
      </w:r>
    </w:p>
    <w:p>
      <w:pPr>
        <w:spacing w:after="120" w:before="0" w:line="240" w:lineRule="auto"/>
        <w:jc w:val="both"/>
      </w:pPr>
      <w:r>
        <w:rPr>
          <w:rFonts w:ascii="Times New Roman" w:hAnsi="Times New Roman" w:eastAsia="Times New Roman"/>
          <w:b/>
          <w:i w:val="0"/>
          <w:color w:val="1A1A1A"/>
          <w:sz w:val="22"/>
        </w:rPr>
        <w:t xml:space="preserve">1.2. EL CLIENTE: </w:t>
      </w:r>
      <w:r>
        <w:rPr>
          <w:rFonts w:ascii="Times New Roman" w:hAnsi="Times New Roman" w:eastAsia="Times New Roman"/>
          <w:b w:val="0"/>
          <w:i w:val="0"/>
          <w:color w:val="1A1A1A"/>
          <w:sz w:val="22"/>
        </w:rPr>
        <w:t>[RAZÓN SOCIAL], con RUC N.º [COMPLETAR], con domicilio en [COMPLETAR DOMICILIO], representada en este acto por [NOMBRE DEL REPRESENTANTE LEGAL], con Cédula de Identidad Civil N.º [COMPLETAR], en adelante el “CLIENTE”.</w:t>
      </w:r>
    </w:p>
    <w:p>
      <w:pPr>
        <w:spacing w:after="200" w:before="0" w:line="240" w:lineRule="auto"/>
        <w:jc w:val="both"/>
      </w:pPr>
      <w:r>
        <w:rPr>
          <w:rFonts w:ascii="Times New Roman" w:hAnsi="Times New Roman" w:eastAsia="Times New Roman"/>
          <w:b w:val="0"/>
          <w:i w:val="0"/>
          <w:color w:val="1A1A1A"/>
          <w:sz w:val="22"/>
        </w:rPr>
        <w:t>ZENN y el CLIENTE podrán ser denominados individualmente como “Parte” y conjuntamente como “las Partes”.</w:t>
      </w:r>
    </w:p>
    <w:p>
      <w:pPr>
        <w:spacing w:before="280" w:after="160"/>
        <w:jc w:val="left"/>
        <w:pBdr>
          <w:bottom w:val="single" w:sz="6" w:space="1" w:color="B0C4DE"/>
        </w:pBdr>
      </w:pPr>
      <w:r>
        <w:rPr>
          <w:rFonts w:ascii="Times New Roman" w:hAnsi="Times New Roman" w:eastAsia="Times New Roman"/>
          <w:b/>
          <w:i w:val="0"/>
          <w:color w:val="0B3D91"/>
          <w:sz w:val="26"/>
        </w:rPr>
        <w:t>CLÁUSULA SEGUNDA – OBJETO</w:t>
      </w:r>
    </w:p>
    <w:p>
      <w:pPr>
        <w:spacing w:after="160" w:before="0" w:line="240" w:lineRule="auto"/>
        <w:jc w:val="both"/>
      </w:pPr>
      <w:r>
        <w:rPr>
          <w:rFonts w:ascii="Times New Roman" w:hAnsi="Times New Roman" w:eastAsia="Times New Roman"/>
          <w:b w:val="0"/>
          <w:i w:val="0"/>
          <w:color w:val="1A1A1A"/>
          <w:sz w:val="22"/>
        </w:rPr>
        <w:t>2.1. El objeto del presente Contrato es la otorgación por parte de ZENN al CLIENTE de una licencia de uso del software denominado “Plataforma E-commerce + ERP (base Zenn)” (en adelante, el “Software”), la implementación personalizada del mismo para la empresa del CLIENTE, la entrega del código fuente correspondiente, la capacitación incluida, una bolsa de horas de desarrollo adicional, y la regulación de los servicios posteriores de mantenimiento, soporte y mejoras, conforme a los términos aquí establecidos.</w:t>
      </w:r>
    </w:p>
    <w:p>
      <w:pPr>
        <w:spacing w:after="160" w:before="0" w:line="240" w:lineRule="auto"/>
        <w:jc w:val="both"/>
      </w:pPr>
      <w:r>
        <w:rPr>
          <w:rFonts w:ascii="Times New Roman" w:hAnsi="Times New Roman" w:eastAsia="Times New Roman"/>
          <w:b w:val="0"/>
          <w:i w:val="0"/>
          <w:color w:val="1A1A1A"/>
          <w:sz w:val="22"/>
        </w:rPr>
        <w:t>2.2. El Software constituye una plataforma de comercio electrónico integrada con sistema de gestión comercial (ERP) y herramientas de automatización, cuya funcionalidad completa se detalla en el Anexo A (Inventario de Funcionalidades), el cual forma parte integrante del presente Contrato.</w:t>
      </w:r>
    </w:p>
    <w:p>
      <w:pPr>
        <w:spacing w:before="280" w:after="160"/>
        <w:jc w:val="left"/>
        <w:pBdr>
          <w:bottom w:val="single" w:sz="6" w:space="1" w:color="B0C4DE"/>
        </w:pBdr>
      </w:pPr>
      <w:r>
        <w:rPr>
          <w:rFonts w:ascii="Times New Roman" w:hAnsi="Times New Roman" w:eastAsia="Times New Roman"/>
          <w:b/>
          <w:i w:val="0"/>
          <w:color w:val="0B3D91"/>
          <w:sz w:val="26"/>
        </w:rPr>
        <w:t>CLÁUSULA TERCERA – LICENCIA DE USO Y PROPIEDAD INTELECTUAL</w:t>
      </w:r>
    </w:p>
    <w:p>
      <w:pPr>
        <w:spacing w:after="160" w:before="0" w:line="240" w:lineRule="auto"/>
        <w:jc w:val="both"/>
      </w:pPr>
      <w:r>
        <w:rPr>
          <w:rFonts w:ascii="Times New Roman" w:hAnsi="Times New Roman" w:eastAsia="Times New Roman"/>
          <w:b w:val="0"/>
          <w:i w:val="0"/>
          <w:color w:val="1A1A1A"/>
          <w:sz w:val="22"/>
        </w:rPr>
        <w:t>3.1. ZENN declara ser el autor y titular de los derechos patrimoniales sobre el Software y su base tecnológica, creados bajo la dirección y autoría del CEO y representante legal de ZENN, Sr. Josías Nicolás Machado Rolón, sin perjuicio de componentes de terceros de código abierto o servicios externos (Bancard, MongoDB, Firebase, etc.).</w:t>
      </w:r>
    </w:p>
    <w:p>
      <w:pPr>
        <w:spacing w:after="160" w:before="0" w:line="240" w:lineRule="auto"/>
        <w:jc w:val="both"/>
      </w:pPr>
      <w:r>
        <w:rPr>
          <w:rFonts w:ascii="Times New Roman" w:hAnsi="Times New Roman" w:eastAsia="Times New Roman"/>
          <w:b w:val="0"/>
          <w:i w:val="0"/>
          <w:color w:val="1A1A1A"/>
          <w:sz w:val="22"/>
        </w:rPr>
        <w:t>3.2. Por el presente Contrato, ZENN otorga al CLIENTE una licencia de uso perpetua, onerosa, no exclusiva e intransferible (salvo lo previsto en el punto 3.5), limitada al uso propio de la empresa del CLIENTE, para operar su negocio a través del Software.</w:t>
      </w:r>
    </w:p>
    <w:p>
      <w:pPr>
        <w:spacing w:after="160" w:before="0" w:line="240" w:lineRule="auto"/>
        <w:jc w:val="both"/>
      </w:pPr>
      <w:r>
        <w:rPr>
          <w:rFonts w:ascii="Times New Roman" w:hAnsi="Times New Roman" w:eastAsia="Times New Roman"/>
          <w:b w:val="0"/>
          <w:i w:val="0"/>
          <w:color w:val="1A1A1A"/>
          <w:sz w:val="22"/>
        </w:rPr>
        <w:t>3.3. El CLIENTE tendrá derecho a: (i) utilizar el Software en su operación comercial; (ii) acceder y conservar el código fuente en un repositorio GitHub a su nombre; (iii) modificar el código por sí o mediante terceros, bajo su exclusiva responsabilidad.</w:t>
      </w:r>
    </w:p>
    <w:p>
      <w:pPr>
        <w:spacing w:after="160" w:before="0" w:line="240" w:lineRule="auto"/>
        <w:jc w:val="both"/>
      </w:pPr>
      <w:r>
        <w:rPr>
          <w:rFonts w:ascii="Times New Roman" w:hAnsi="Times New Roman" w:eastAsia="Times New Roman"/>
          <w:b w:val="0"/>
          <w:i w:val="0"/>
          <w:color w:val="1A1A1A"/>
          <w:sz w:val="22"/>
        </w:rPr>
        <w:t>3.4. Queda expresamente prohibido al CLIENTE: (i) vender, ceder, sublicenciar, alquilar o comercializar el Software o su código fuente como producto o servicio a terceros; (ii) explotar el Software como solución llave en mano para otras empresas; (iii) utilizar la licencia fuera del ámbito del uso propio de su empresa. El incumplimiento de esta cláusula constituirá causal grave de resolución, sin perjuicio de las acciones legales por daños y perjuicios y violación de propiedad intelectual.</w:t>
      </w:r>
    </w:p>
    <w:p>
      <w:pPr>
        <w:spacing w:after="160" w:before="0" w:line="240" w:lineRule="auto"/>
        <w:jc w:val="both"/>
      </w:pPr>
      <w:r>
        <w:rPr>
          <w:rFonts w:ascii="Times New Roman" w:hAnsi="Times New Roman" w:eastAsia="Times New Roman"/>
          <w:b w:val="0"/>
          <w:i w:val="0"/>
          <w:color w:val="1A1A1A"/>
          <w:sz w:val="22"/>
        </w:rPr>
        <w:t>3.5. En caso de venta, fusión o cesión del fondo de comercio o de la empresa del CLIENTE, la licencia podrá transferirse al adquirente únicamente para continuar la operación del mismo negocio, debiendo notificarse a ZENN por escrito. Ello no genera obligación de pago adicional a ZENN por la sola transferencia, sin perjuicio de los servicios de soporte que el adquirente desee contratar.</w:t>
      </w:r>
    </w:p>
    <w:p>
      <w:pPr>
        <w:spacing w:after="160" w:before="0" w:line="240" w:lineRule="auto"/>
        <w:jc w:val="both"/>
      </w:pPr>
      <w:r>
        <w:rPr>
          <w:rFonts w:ascii="Times New Roman" w:hAnsi="Times New Roman" w:eastAsia="Times New Roman"/>
          <w:b w:val="0"/>
          <w:i w:val="0"/>
          <w:color w:val="1A1A1A"/>
          <w:sz w:val="22"/>
        </w:rPr>
        <w:t>3.6. ZENN conserva el derecho de desarrollar, licenciar y comercializar sistemas iguales, similares o derivados de la misma base tecnológica a otros clientes, por tratarse de una licencia no exclusiva de uso propio.</w:t>
      </w:r>
    </w:p>
    <w:p>
      <w:pPr>
        <w:spacing w:after="160" w:before="0" w:line="240" w:lineRule="auto"/>
        <w:jc w:val="both"/>
      </w:pPr>
      <w:r>
        <w:rPr>
          <w:rFonts w:ascii="Times New Roman" w:hAnsi="Times New Roman" w:eastAsia="Times New Roman"/>
          <w:b w:val="0"/>
          <w:i w:val="0"/>
          <w:color w:val="1A1A1A"/>
          <w:sz w:val="22"/>
        </w:rPr>
        <w:t>3.7. La presente operación no implica cesión total de derechos de autor ni exclusividad a favor del CLIENTE, sino licencia de uso con entrega de código fuente en los términos de esta cláusula.</w:t>
      </w:r>
    </w:p>
    <w:p>
      <w:pPr>
        <w:spacing w:before="280" w:after="160"/>
        <w:jc w:val="left"/>
        <w:pBdr>
          <w:bottom w:val="single" w:sz="6" w:space="1" w:color="B0C4DE"/>
        </w:pBdr>
      </w:pPr>
      <w:r>
        <w:rPr>
          <w:rFonts w:ascii="Times New Roman" w:hAnsi="Times New Roman" w:eastAsia="Times New Roman"/>
          <w:b/>
          <w:i w:val="0"/>
          <w:color w:val="0B3D91"/>
          <w:sz w:val="26"/>
        </w:rPr>
        <w:t>CLÁUSULA CUARTA – PRECIO Y FORMA DE PAGO</w:t>
      </w:r>
    </w:p>
    <w:p>
      <w:pPr>
        <w:spacing w:after="160" w:before="0" w:line="240" w:lineRule="auto"/>
        <w:jc w:val="both"/>
      </w:pPr>
      <w:r>
        <w:rPr>
          <w:rFonts w:ascii="Times New Roman" w:hAnsi="Times New Roman" w:eastAsia="Times New Roman"/>
          <w:b w:val="0"/>
          <w:i w:val="0"/>
          <w:color w:val="1A1A1A"/>
          <w:sz w:val="22"/>
        </w:rPr>
        <w:t>4.1. El precio total de la licencia, implementación inicial (Fase 1 y Fase 2), diseño, configuración de servidores/entornos, entrega de código fuente, diez (10) horas de capacitación y treinta (30) horas de desarrollo adicional incluidas es de USD 5.000 (cinco mil dólares estadounidenses), Impuesto al Valor Agregado (IVA) incluido.</w:t>
      </w:r>
    </w:p>
    <w:p>
      <w:pPr>
        <w:spacing w:after="160" w:before="0" w:line="240" w:lineRule="auto"/>
        <w:jc w:val="both"/>
      </w:pPr>
      <w:r>
        <w:rPr>
          <w:rFonts w:ascii="Times New Roman" w:hAnsi="Times New Roman" w:eastAsia="Times New Roman"/>
          <w:b w:val="0"/>
          <w:i w:val="0"/>
          <w:color w:val="1A1A1A"/>
          <w:sz w:val="22"/>
        </w:rPr>
        <w:t>4.2. El precio se abonará exclusivamente en dólares estadounidenses (USD), conforme al siguiente cronograma: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B3D91"/>
          </w:tcPr>
          <w:p>
            <w:pPr>
              <w:jc w:val="center"/>
            </w:pPr>
            <w:r>
              <w:rPr>
                <w:rFonts w:ascii="Times New Roman" w:hAnsi="Times New Roman" w:eastAsia="Times New Roman"/>
                <w:b/>
                <w:i w:val="0"/>
                <w:color w:val="FFFFFF"/>
                <w:sz w:val="20"/>
              </w:rPr>
              <w:t>Hito</w:t>
            </w:r>
          </w:p>
        </w:tc>
        <w:tc>
          <w:tcPr>
            <w:tcW w:type="dxa" w:w="2351"/>
            <w:shd w:val="clear" w:color="auto" w:fill="0B3D91"/>
          </w:tcPr>
          <w:p>
            <w:pPr>
              <w:jc w:val="center"/>
            </w:pPr>
            <w:r>
              <w:rPr>
                <w:rFonts w:ascii="Times New Roman" w:hAnsi="Times New Roman" w:eastAsia="Times New Roman"/>
                <w:b/>
                <w:i w:val="0"/>
                <w:color w:val="FFFFFF"/>
                <w:sz w:val="20"/>
              </w:rPr>
              <w:t>Porcentaje</w:t>
            </w:r>
          </w:p>
        </w:tc>
        <w:tc>
          <w:tcPr>
            <w:tcW w:type="dxa" w:w="2351"/>
            <w:shd w:val="clear" w:color="auto" w:fill="0B3D91"/>
          </w:tcPr>
          <w:p>
            <w:pPr>
              <w:jc w:val="center"/>
            </w:pPr>
            <w:r>
              <w:rPr>
                <w:rFonts w:ascii="Times New Roman" w:hAnsi="Times New Roman" w:eastAsia="Times New Roman"/>
                <w:b/>
                <w:i w:val="0"/>
                <w:color w:val="FFFFFF"/>
                <w:sz w:val="20"/>
              </w:rPr>
              <w:t>Monto (USD)</w:t>
            </w:r>
          </w:p>
        </w:tc>
        <w:tc>
          <w:tcPr>
            <w:tcW w:type="dxa" w:w="2351"/>
            <w:shd w:val="clear" w:color="auto" w:fill="0B3D91"/>
          </w:tcPr>
          <w:p>
            <w:pPr>
              <w:jc w:val="center"/>
            </w:pPr>
            <w:r>
              <w:rPr>
                <w:rFonts w:ascii="Times New Roman" w:hAnsi="Times New Roman" w:eastAsia="Times New Roman"/>
                <w:b/>
                <w:i w:val="0"/>
                <w:color w:val="FFFFFF"/>
                <w:sz w:val="20"/>
              </w:rPr>
              <w:t>Momento de pago</w:t>
            </w:r>
          </w:p>
        </w:tc>
      </w:tr>
      <w:tr>
        <w:tc>
          <w:tcPr>
            <w:tcW w:type="dxa" w:w="2351"/>
          </w:tcPr>
          <w:p>
            <w:r>
              <w:rPr>
                <w:rFonts w:ascii="Times New Roman" w:hAnsi="Times New Roman" w:eastAsia="Times New Roman"/>
                <w:b w:val="0"/>
                <w:i w:val="0"/>
                <w:color w:val="1A1A1A"/>
                <w:sz w:val="20"/>
              </w:rPr>
              <w:t>Anticipo / inicio</w:t>
            </w:r>
          </w:p>
        </w:tc>
        <w:tc>
          <w:tcPr>
            <w:tcW w:type="dxa" w:w="2351"/>
          </w:tcPr>
          <w:p>
            <w:r>
              <w:rPr>
                <w:rFonts w:ascii="Times New Roman" w:hAnsi="Times New Roman" w:eastAsia="Times New Roman"/>
                <w:b w:val="0"/>
                <w:i w:val="0"/>
                <w:color w:val="1A1A1A"/>
                <w:sz w:val="20"/>
              </w:rPr>
              <w:t>30%</w:t>
            </w:r>
          </w:p>
        </w:tc>
        <w:tc>
          <w:tcPr>
            <w:tcW w:type="dxa" w:w="2351"/>
          </w:tcPr>
          <w:p>
            <w:r>
              <w:rPr>
                <w:rFonts w:ascii="Times New Roman" w:hAnsi="Times New Roman" w:eastAsia="Times New Roman"/>
                <w:b w:val="0"/>
                <w:i w:val="0"/>
                <w:color w:val="1A1A1A"/>
                <w:sz w:val="20"/>
              </w:rPr>
              <w:t>1.500</w:t>
            </w:r>
          </w:p>
        </w:tc>
        <w:tc>
          <w:tcPr>
            <w:tcW w:type="dxa" w:w="2351"/>
          </w:tcPr>
          <w:p>
            <w:r>
              <w:rPr>
                <w:rFonts w:ascii="Times New Roman" w:hAnsi="Times New Roman" w:eastAsia="Times New Roman"/>
                <w:b w:val="0"/>
                <w:i w:val="0"/>
                <w:color w:val="1A1A1A"/>
                <w:sz w:val="20"/>
              </w:rPr>
              <w:t>Al firmar el Contrato, para iniciar la implementación</w:t>
            </w:r>
          </w:p>
        </w:tc>
      </w:tr>
      <w:tr>
        <w:tc>
          <w:tcPr>
            <w:tcW w:type="dxa" w:w="2351"/>
            <w:shd w:val="clear" w:color="auto" w:fill="F2F5FA"/>
          </w:tcPr>
          <w:p>
            <w:r>
              <w:rPr>
                <w:rFonts w:ascii="Times New Roman" w:hAnsi="Times New Roman" w:eastAsia="Times New Roman"/>
                <w:b w:val="0"/>
                <w:i w:val="0"/>
                <w:color w:val="1A1A1A"/>
                <w:sz w:val="20"/>
              </w:rPr>
              <w:t>Cierre Fase 1</w:t>
            </w:r>
          </w:p>
        </w:tc>
        <w:tc>
          <w:tcPr>
            <w:tcW w:type="dxa" w:w="2351"/>
            <w:shd w:val="clear" w:color="auto" w:fill="F2F5FA"/>
          </w:tcPr>
          <w:p>
            <w:r>
              <w:rPr>
                <w:rFonts w:ascii="Times New Roman" w:hAnsi="Times New Roman" w:eastAsia="Times New Roman"/>
                <w:b w:val="0"/>
                <w:i w:val="0"/>
                <w:color w:val="1A1A1A"/>
                <w:sz w:val="20"/>
              </w:rPr>
              <w:t>30%</w:t>
            </w:r>
          </w:p>
        </w:tc>
        <w:tc>
          <w:tcPr>
            <w:tcW w:type="dxa" w:w="2351"/>
            <w:shd w:val="clear" w:color="auto" w:fill="F2F5FA"/>
          </w:tcPr>
          <w:p>
            <w:r>
              <w:rPr>
                <w:rFonts w:ascii="Times New Roman" w:hAnsi="Times New Roman" w:eastAsia="Times New Roman"/>
                <w:b w:val="0"/>
                <w:i w:val="0"/>
                <w:color w:val="1A1A1A"/>
                <w:sz w:val="20"/>
              </w:rPr>
              <w:t>1.500</w:t>
            </w:r>
          </w:p>
        </w:tc>
        <w:tc>
          <w:tcPr>
            <w:tcW w:type="dxa" w:w="2351"/>
            <w:shd w:val="clear" w:color="auto" w:fill="F2F5FA"/>
          </w:tcPr>
          <w:p>
            <w:r>
              <w:rPr>
                <w:rFonts w:ascii="Times New Roman" w:hAnsi="Times New Roman" w:eastAsia="Times New Roman"/>
                <w:b w:val="0"/>
                <w:i w:val="0"/>
                <w:color w:val="1A1A1A"/>
                <w:sz w:val="20"/>
              </w:rPr>
              <w:t>Contra Acta de Aceptación de Fase 1</w:t>
            </w:r>
          </w:p>
        </w:tc>
      </w:tr>
      <w:tr>
        <w:tc>
          <w:tcPr>
            <w:tcW w:type="dxa" w:w="2351"/>
          </w:tcPr>
          <w:p>
            <w:r>
              <w:rPr>
                <w:rFonts w:ascii="Times New Roman" w:hAnsi="Times New Roman" w:eastAsia="Times New Roman"/>
                <w:b w:val="0"/>
                <w:i w:val="0"/>
                <w:color w:val="1A1A1A"/>
                <w:sz w:val="20"/>
              </w:rPr>
              <w:t>Cierre Fase 2</w:t>
            </w:r>
          </w:p>
        </w:tc>
        <w:tc>
          <w:tcPr>
            <w:tcW w:type="dxa" w:w="2351"/>
          </w:tcPr>
          <w:p>
            <w:r>
              <w:rPr>
                <w:rFonts w:ascii="Times New Roman" w:hAnsi="Times New Roman" w:eastAsia="Times New Roman"/>
                <w:b w:val="0"/>
                <w:i w:val="0"/>
                <w:color w:val="1A1A1A"/>
                <w:sz w:val="20"/>
              </w:rPr>
              <w:t>40%</w:t>
            </w:r>
          </w:p>
        </w:tc>
        <w:tc>
          <w:tcPr>
            <w:tcW w:type="dxa" w:w="2351"/>
          </w:tcPr>
          <w:p>
            <w:r>
              <w:rPr>
                <w:rFonts w:ascii="Times New Roman" w:hAnsi="Times New Roman" w:eastAsia="Times New Roman"/>
                <w:b w:val="0"/>
                <w:i w:val="0"/>
                <w:color w:val="1A1A1A"/>
                <w:sz w:val="20"/>
              </w:rPr>
              <w:t>2.000</w:t>
            </w:r>
          </w:p>
        </w:tc>
        <w:tc>
          <w:tcPr>
            <w:tcW w:type="dxa" w:w="2351"/>
          </w:tcPr>
          <w:p>
            <w:r>
              <w:rPr>
                <w:rFonts w:ascii="Times New Roman" w:hAnsi="Times New Roman" w:eastAsia="Times New Roman"/>
                <w:b w:val="0"/>
                <w:i w:val="0"/>
                <w:color w:val="1A1A1A"/>
                <w:sz w:val="20"/>
              </w:rPr>
              <w:t>Contra Acta de Aceptación de Fase 2 (entrega final)</w:t>
            </w:r>
          </w:p>
        </w:tc>
      </w:tr>
      <w:tr>
        <w:tc>
          <w:tcPr>
            <w:tcW w:type="dxa" w:w="2351"/>
            <w:shd w:val="clear" w:color="auto" w:fill="F2F5FA"/>
          </w:tcPr>
          <w:p>
            <w:r>
              <w:rPr>
                <w:rFonts w:ascii="Times New Roman" w:hAnsi="Times New Roman" w:eastAsia="Times New Roman"/>
                <w:b w:val="0"/>
                <w:i w:val="0"/>
                <w:color w:val="1A1A1A"/>
                <w:sz w:val="20"/>
              </w:rPr>
              <w:t>TOTAL</w:t>
            </w:r>
          </w:p>
        </w:tc>
        <w:tc>
          <w:tcPr>
            <w:tcW w:type="dxa" w:w="2351"/>
            <w:shd w:val="clear" w:color="auto" w:fill="F2F5FA"/>
          </w:tcPr>
          <w:p>
            <w:r>
              <w:rPr>
                <w:rFonts w:ascii="Times New Roman" w:hAnsi="Times New Roman" w:eastAsia="Times New Roman"/>
                <w:b w:val="0"/>
                <w:i w:val="0"/>
                <w:color w:val="1A1A1A"/>
                <w:sz w:val="20"/>
              </w:rPr>
              <w:t>100%</w:t>
            </w:r>
          </w:p>
        </w:tc>
        <w:tc>
          <w:tcPr>
            <w:tcW w:type="dxa" w:w="2351"/>
            <w:shd w:val="clear" w:color="auto" w:fill="F2F5FA"/>
          </w:tcPr>
          <w:p>
            <w:r>
              <w:rPr>
                <w:rFonts w:ascii="Times New Roman" w:hAnsi="Times New Roman" w:eastAsia="Times New Roman"/>
                <w:b w:val="0"/>
                <w:i w:val="0"/>
                <w:color w:val="1A1A1A"/>
                <w:sz w:val="20"/>
              </w:rPr>
              <w:t>5.000</w:t>
            </w:r>
          </w:p>
        </w:tc>
        <w:tc>
          <w:tcPr>
            <w:tcW w:type="dxa" w:w="2351"/>
            <w:shd w:val="clear" w:color="auto" w:fill="F2F5FA"/>
          </w:tcPr>
          <w:p>
            <w:r>
              <w:rPr>
                <w:rFonts w:ascii="Times New Roman" w:hAnsi="Times New Roman" w:eastAsia="Times New Roman"/>
                <w:b w:val="0"/>
                <w:i w:val="0"/>
                <w:color w:val="1A1A1A"/>
                <w:sz w:val="20"/>
              </w:rPr>
              <w:t>IVA incluido</w:t>
            </w:r>
          </w:p>
        </w:tc>
      </w:tr>
    </w:tbl>
    <w:p>
      <w:pPr>
        <w:spacing w:after="120"/>
      </w:pPr>
    </w:p>
    <w:p>
      <w:pPr>
        <w:spacing w:after="160" w:before="0" w:line="240" w:lineRule="auto"/>
        <w:jc w:val="both"/>
      </w:pPr>
      <w:r>
        <w:rPr>
          <w:rFonts w:ascii="Times New Roman" w:hAnsi="Times New Roman" w:eastAsia="Times New Roman"/>
          <w:b w:val="0"/>
          <w:i w:val="0"/>
          <w:color w:val="1A1A1A"/>
          <w:sz w:val="22"/>
        </w:rPr>
        <w:t>4.3. Cada pago deberá realizarse dentro de los cinco (5) días hábiles siguientes a la emisión de la factura correspondiente y/o a la firma del Acta de Aceptación del hito, según corresponda. Los datos bancarios de ZENN serán informados al CLIENTE por escrito.</w:t>
      </w:r>
    </w:p>
    <w:p>
      <w:pPr>
        <w:spacing w:after="160" w:before="0" w:line="240" w:lineRule="auto"/>
        <w:jc w:val="both"/>
      </w:pPr>
      <w:r>
        <w:rPr>
          <w:rFonts w:ascii="Times New Roman" w:hAnsi="Times New Roman" w:eastAsia="Times New Roman"/>
          <w:b w:val="0"/>
          <w:i w:val="0"/>
          <w:color w:val="1A1A1A"/>
          <w:sz w:val="22"/>
        </w:rPr>
        <w:t>4.4. El precio indicado no incluye costos de infraestructura ni servicios de terceros (dominio, correo SMTP, VPS, Bancard, excedentes de MongoDB Atlas o Firebase, publicidad, etc.), los cuales serán a exclusivo cargo del CLIENTE.</w:t>
      </w:r>
    </w:p>
    <w:p>
      <w:pPr>
        <w:spacing w:before="280" w:after="160"/>
        <w:jc w:val="left"/>
        <w:pBdr>
          <w:bottom w:val="single" w:sz="6" w:space="1" w:color="B0C4DE"/>
        </w:pBdr>
      </w:pPr>
      <w:r>
        <w:rPr>
          <w:rFonts w:ascii="Times New Roman" w:hAnsi="Times New Roman" w:eastAsia="Times New Roman"/>
          <w:b/>
          <w:i w:val="0"/>
          <w:color w:val="0B3D91"/>
          <w:sz w:val="26"/>
        </w:rPr>
        <w:t>CLÁUSULA QUINTA – FASES DE IMPLEMENTACIÓN</w:t>
      </w:r>
    </w:p>
    <w:p>
      <w:pPr>
        <w:spacing w:after="160" w:before="0" w:line="240" w:lineRule="auto"/>
        <w:jc w:val="both"/>
      </w:pPr>
      <w:r>
        <w:rPr>
          <w:rFonts w:ascii="Times New Roman" w:hAnsi="Times New Roman" w:eastAsia="Times New Roman"/>
          <w:b w:val="0"/>
          <w:i w:val="0"/>
          <w:color w:val="1A1A1A"/>
          <w:sz w:val="22"/>
        </w:rPr>
        <w:t>5.1. La implementación se ejecutará en dos (2) fases. El detalle funcional completo del Software se encuentra en el Anexo A. Todo requerimiento que no forme parte del Anexo A se considerará fuera de alcance y se gestionará mediante la bolsa de treinta (30) horas o mediante cotización / tarifa horaria, conforme a este Contrato.</w:t>
      </w:r>
    </w:p>
    <w:p>
      <w:pPr>
        <w:spacing w:after="80" w:before="0" w:line="240" w:lineRule="auto"/>
        <w:jc w:val="both"/>
      </w:pPr>
      <w:r>
        <w:rPr>
          <w:rFonts w:ascii="Times New Roman" w:hAnsi="Times New Roman" w:eastAsia="Times New Roman"/>
          <w:b/>
          <w:i w:val="0"/>
          <w:color w:val="1A1A1A"/>
          <w:sz w:val="22"/>
        </w:rPr>
        <w:t>5.2. FASE 1 – Primer borrador / visualización (plazo: un (1) mes):</w:t>
      </w:r>
    </w:p>
    <w:p>
      <w:pPr>
        <w:spacing w:after="80" w:before="0" w:line="240" w:lineRule="auto"/>
        <w:jc w:val="both"/>
      </w:pPr>
      <w:r>
        <w:rPr>
          <w:rFonts w:ascii="Times New Roman" w:hAnsi="Times New Roman" w:eastAsia="Times New Roman"/>
          <w:b w:val="0"/>
          <w:i w:val="0"/>
          <w:color w:val="1A1A1A"/>
          <w:sz w:val="22"/>
        </w:rPr>
        <w:t>Tiene por objeto que el CLIENTE pueda visualizar el sistema con su identidad de marca y el catálogo de productos a vender. Incluye, enunciativamente:</w:t>
      </w:r>
    </w:p>
    <w:p>
      <w:pPr>
        <w:pStyle w:val="ListBullet"/>
        <w:spacing w:after="60"/>
        <w:jc w:val="both"/>
      </w:pPr>
      <w:r>
        <w:rPr>
          <w:rFonts w:ascii="Times New Roman" w:hAnsi="Times New Roman" w:eastAsia="Times New Roman"/>
          <w:b w:val="0"/>
          <w:i w:val="0"/>
          <w:color w:val="1A1A1A"/>
          <w:sz w:val="22"/>
        </w:rPr>
        <w:t>Creación y configuración de base de datos y entornos necesarios.</w:t>
      </w:r>
    </w:p>
    <w:p>
      <w:pPr>
        <w:pStyle w:val="ListBullet"/>
        <w:spacing w:after="60"/>
        <w:jc w:val="both"/>
      </w:pPr>
      <w:r>
        <w:rPr>
          <w:rFonts w:ascii="Times New Roman" w:hAnsi="Times New Roman" w:eastAsia="Times New Roman"/>
          <w:b w:val="0"/>
          <w:i w:val="0"/>
          <w:color w:val="1A1A1A"/>
          <w:sz w:val="22"/>
        </w:rPr>
        <w:t>Montaje y configuración de servidores / hosting de la web y componentes asociados por parte de ZENN.</w:t>
      </w:r>
    </w:p>
    <w:p>
      <w:pPr>
        <w:pStyle w:val="ListBullet"/>
        <w:spacing w:after="60"/>
        <w:jc w:val="both"/>
      </w:pPr>
      <w:r>
        <w:rPr>
          <w:rFonts w:ascii="Times New Roman" w:hAnsi="Times New Roman" w:eastAsia="Times New Roman"/>
          <w:b w:val="0"/>
          <w:i w:val="0"/>
          <w:color w:val="1A1A1A"/>
          <w:sz w:val="22"/>
        </w:rPr>
        <w:t>Diseño e implementación visual con logo, paleta de colores y tipografías provistos por el CLIENTE.</w:t>
      </w:r>
    </w:p>
    <w:p>
      <w:pPr>
        <w:pStyle w:val="ListBullet"/>
        <w:spacing w:after="60"/>
        <w:jc w:val="both"/>
      </w:pPr>
      <w:r>
        <w:rPr>
          <w:rFonts w:ascii="Times New Roman" w:hAnsi="Times New Roman" w:eastAsia="Times New Roman"/>
          <w:b w:val="0"/>
          <w:i w:val="0"/>
          <w:color w:val="1A1A1A"/>
          <w:sz w:val="22"/>
        </w:rPr>
        <w:t>Publicación de un sitio navegable que permita ver productos, categorías, estructura comercial y tipología del sistema (primer borrador).</w:t>
      </w:r>
    </w:p>
    <w:p>
      <w:pPr>
        <w:pStyle w:val="ListBullet"/>
        <w:spacing w:after="60"/>
        <w:jc w:val="both"/>
      </w:pPr>
      <w:r>
        <w:rPr>
          <w:rFonts w:ascii="Times New Roman" w:hAnsi="Times New Roman" w:eastAsia="Times New Roman"/>
          <w:b w:val="0"/>
          <w:i w:val="0"/>
          <w:color w:val="1A1A1A"/>
          <w:sz w:val="22"/>
        </w:rPr>
        <w:t>Uso eventual de horas de la bolsa de treinta (30) horas, si resultare necesario para mostrar al CLIENTE alguna diferenciación puntual.</w:t>
      </w:r>
    </w:p>
    <w:p>
      <w:pPr>
        <w:spacing w:after="160" w:before="0" w:line="240" w:lineRule="auto"/>
        <w:jc w:val="both"/>
      </w:pPr>
      <w:r>
        <w:rPr>
          <w:rFonts w:ascii="Times New Roman" w:hAnsi="Times New Roman" w:eastAsia="Times New Roman"/>
          <w:b w:val="0"/>
          <w:i w:val="0"/>
          <w:color w:val="1A1A1A"/>
          <w:sz w:val="22"/>
        </w:rPr>
        <w:t>En Fase 1 no se exige necesariamente la habilitación productiva de cobros Bancard, la cual corresponde a la Fase 2.</w:t>
      </w:r>
    </w:p>
    <w:p>
      <w:pPr>
        <w:spacing w:after="80" w:before="0" w:line="240" w:lineRule="auto"/>
        <w:jc w:val="both"/>
      </w:pPr>
      <w:r>
        <w:rPr>
          <w:rFonts w:ascii="Times New Roman" w:hAnsi="Times New Roman" w:eastAsia="Times New Roman"/>
          <w:b/>
          <w:i w:val="0"/>
          <w:color w:val="1A1A1A"/>
          <w:sz w:val="22"/>
        </w:rPr>
        <w:t>5.3. FASE 2 – Entrega final / puesta en marcha completa:</w:t>
      </w:r>
    </w:p>
    <w:p>
      <w:pPr>
        <w:spacing w:after="80" w:before="0" w:line="240" w:lineRule="auto"/>
        <w:jc w:val="both"/>
      </w:pPr>
      <w:r>
        <w:rPr>
          <w:rFonts w:ascii="Times New Roman" w:hAnsi="Times New Roman" w:eastAsia="Times New Roman"/>
          <w:b w:val="0"/>
          <w:i w:val="0"/>
          <w:color w:val="1A1A1A"/>
          <w:sz w:val="22"/>
        </w:rPr>
        <w:t>Tiene por objeto dejar el Software operativo conforme al inventario del Anexo A, incluyendo de manera enunciativa y no limitativa:</w:t>
      </w:r>
    </w:p>
    <w:p>
      <w:pPr>
        <w:pStyle w:val="ListBullet"/>
        <w:spacing w:after="60"/>
        <w:jc w:val="both"/>
      </w:pPr>
      <w:r>
        <w:rPr>
          <w:rFonts w:ascii="Times New Roman" w:hAnsi="Times New Roman" w:eastAsia="Times New Roman"/>
          <w:b w:val="0"/>
          <w:i w:val="0"/>
          <w:color w:val="1A1A1A"/>
          <w:sz w:val="22"/>
        </w:rPr>
        <w:t>Integración y configuración de Bancard y flujos de cobro online.</w:t>
      </w:r>
    </w:p>
    <w:p>
      <w:pPr>
        <w:pStyle w:val="ListBullet"/>
        <w:spacing w:after="60"/>
        <w:jc w:val="both"/>
      </w:pPr>
      <w:r>
        <w:rPr>
          <w:rFonts w:ascii="Times New Roman" w:hAnsi="Times New Roman" w:eastAsia="Times New Roman"/>
          <w:b w:val="0"/>
          <w:i w:val="0"/>
          <w:color w:val="1A1A1A"/>
          <w:sz w:val="22"/>
        </w:rPr>
        <w:t>Back office / ERP, automatizaciones, herramientas comerciales y demás funcionalidades del Anexo A.</w:t>
      </w:r>
    </w:p>
    <w:p>
      <w:pPr>
        <w:pStyle w:val="ListBullet"/>
        <w:spacing w:after="60"/>
        <w:jc w:val="both"/>
      </w:pPr>
      <w:r>
        <w:rPr>
          <w:rFonts w:ascii="Times New Roman" w:hAnsi="Times New Roman" w:eastAsia="Times New Roman"/>
          <w:b w:val="0"/>
          <w:i w:val="0"/>
          <w:color w:val="1A1A1A"/>
          <w:sz w:val="22"/>
        </w:rPr>
        <w:t>Ajustes específicos del CLIENTE mediante la bolsa de hasta treinta (30) horas de desarrollo adicional.</w:t>
      </w:r>
    </w:p>
    <w:p>
      <w:pPr>
        <w:pStyle w:val="ListBullet"/>
        <w:spacing w:after="60"/>
        <w:jc w:val="both"/>
      </w:pPr>
      <w:r>
        <w:rPr>
          <w:rFonts w:ascii="Times New Roman" w:hAnsi="Times New Roman" w:eastAsia="Times New Roman"/>
          <w:b w:val="0"/>
          <w:i w:val="0"/>
          <w:color w:val="1A1A1A"/>
          <w:sz w:val="22"/>
        </w:rPr>
        <w:t>Entrega del código fuente en repositorio GitHub y transferencia de accesos.</w:t>
      </w:r>
    </w:p>
    <w:p>
      <w:pPr>
        <w:pStyle w:val="ListBullet"/>
        <w:spacing w:after="60"/>
        <w:jc w:val="both"/>
      </w:pPr>
      <w:r>
        <w:rPr>
          <w:rFonts w:ascii="Times New Roman" w:hAnsi="Times New Roman" w:eastAsia="Times New Roman"/>
          <w:b w:val="0"/>
          <w:i w:val="0"/>
          <w:color w:val="1A1A1A"/>
          <w:sz w:val="22"/>
        </w:rPr>
        <w:t>Capacitación incluida de hasta diez (10) horas.</w:t>
      </w:r>
    </w:p>
    <w:p>
      <w:pPr>
        <w:spacing w:after="160" w:before="0" w:line="240" w:lineRule="auto"/>
        <w:jc w:val="both"/>
      </w:pPr>
      <w:r>
        <w:rPr>
          <w:rFonts w:ascii="Times New Roman" w:hAnsi="Times New Roman" w:eastAsia="Times New Roman"/>
          <w:b w:val="0"/>
          <w:i w:val="0"/>
          <w:color w:val="1A1A1A"/>
          <w:sz w:val="22"/>
        </w:rPr>
        <w:t>El plazo de la Fase 2 dependerá de las necesidades de implementación y mejoras que el CLIENTE requiera y autorice por escrito. La Fase 2 constituye la entrega final del proyecto objeto de los USD 5.000.</w:t>
      </w:r>
    </w:p>
    <w:p>
      <w:pPr>
        <w:spacing w:after="160" w:before="0" w:line="240" w:lineRule="auto"/>
        <w:jc w:val="both"/>
      </w:pPr>
      <w:r>
        <w:rPr>
          <w:rFonts w:ascii="Times New Roman" w:hAnsi="Times New Roman" w:eastAsia="Times New Roman"/>
          <w:b w:val="0"/>
          <w:i w:val="0"/>
          <w:color w:val="1A1A1A"/>
          <w:sz w:val="22"/>
        </w:rPr>
        <w:t>5.4. ZENN montará y configurará el proyecto durante la vigencia de la implementación. Al cierre, transferirá al CLIENTE los accesos, credenciales y documentación razonable de operación. La titularidad/contratación de dominio, correo, VPS, Bancard, MongoDB y Firebase será del CLIENTE.</w:t>
      </w:r>
    </w:p>
    <w:p>
      <w:pPr>
        <w:spacing w:before="280" w:after="160"/>
        <w:jc w:val="left"/>
        <w:pBdr>
          <w:bottom w:val="single" w:sz="6" w:space="1" w:color="B0C4DE"/>
        </w:pBdr>
      </w:pPr>
      <w:r>
        <w:rPr>
          <w:rFonts w:ascii="Times New Roman" w:hAnsi="Times New Roman" w:eastAsia="Times New Roman"/>
          <w:b/>
          <w:i w:val="0"/>
          <w:color w:val="0B3D91"/>
          <w:sz w:val="26"/>
        </w:rPr>
        <w:t>CLÁUSULA SEXTA – ACTAS DE ACEPTACIÓN</w:t>
      </w:r>
    </w:p>
    <w:p>
      <w:pPr>
        <w:spacing w:after="160" w:before="0" w:line="240" w:lineRule="auto"/>
        <w:jc w:val="both"/>
      </w:pPr>
      <w:r>
        <w:rPr>
          <w:rFonts w:ascii="Times New Roman" w:hAnsi="Times New Roman" w:eastAsia="Times New Roman"/>
          <w:b w:val="0"/>
          <w:i w:val="0"/>
          <w:color w:val="1A1A1A"/>
          <w:sz w:val="22"/>
        </w:rPr>
        <w:t>6.1. Al concluir cada Fase, ZENN notificará al CLIENTE la disponibilidad para revisión. El CLIENTE contará con quince (15) días corridos para suscribir el Acta de Aceptación o formular observaciones por escrito vinculadas al alcance contractual.</w:t>
      </w:r>
    </w:p>
    <w:p>
      <w:pPr>
        <w:spacing w:after="160" w:before="0" w:line="240" w:lineRule="auto"/>
        <w:jc w:val="both"/>
      </w:pPr>
      <w:r>
        <w:rPr>
          <w:rFonts w:ascii="Times New Roman" w:hAnsi="Times New Roman" w:eastAsia="Times New Roman"/>
          <w:b w:val="0"/>
          <w:i w:val="0"/>
          <w:color w:val="1A1A1A"/>
          <w:sz w:val="22"/>
        </w:rPr>
        <w:t>6.2. Si el CLIENTE no responde dentro de ese plazo, la Fase se considerará tácitamente aceptada, pudiendo ZENN emitir la factura del hito correspondiente.</w:t>
      </w:r>
    </w:p>
    <w:p>
      <w:pPr>
        <w:spacing w:after="160" w:before="0" w:line="240" w:lineRule="auto"/>
        <w:jc w:val="both"/>
      </w:pPr>
      <w:r>
        <w:rPr>
          <w:rFonts w:ascii="Times New Roman" w:hAnsi="Times New Roman" w:eastAsia="Times New Roman"/>
          <w:b w:val="0"/>
          <w:i w:val="0"/>
          <w:color w:val="1A1A1A"/>
          <w:sz w:val="22"/>
        </w:rPr>
        <w:t>6.3. Las observaciones válidas serán únicamente aquellas que se refieran a funcionalidades incluidas en el Anexo A o en requerimientos escritos aprobados, que no funcionen conforme a lo acordado (bugs/errores). Los pedidos de nuevas funciones no constituyen observación de aceptación, sino mejora o cambio de alcance.</w:t>
      </w:r>
    </w:p>
    <w:p>
      <w:pPr>
        <w:spacing w:before="280" w:after="160"/>
        <w:jc w:val="left"/>
        <w:pBdr>
          <w:bottom w:val="single" w:sz="6" w:space="1" w:color="B0C4DE"/>
        </w:pBdr>
      </w:pPr>
      <w:r>
        <w:rPr>
          <w:rFonts w:ascii="Times New Roman" w:hAnsi="Times New Roman" w:eastAsia="Times New Roman"/>
          <w:b/>
          <w:i w:val="0"/>
          <w:color w:val="0B3D91"/>
          <w:sz w:val="26"/>
        </w:rPr>
        <w:t>CLÁUSULA SÉPTIMA – BOLSA DE TREINTA (30) HORAS DE DESARROLLO ADICIONAL</w:t>
      </w:r>
    </w:p>
    <w:p>
      <w:pPr>
        <w:spacing w:after="160" w:before="0" w:line="240" w:lineRule="auto"/>
        <w:jc w:val="both"/>
      </w:pPr>
      <w:r>
        <w:rPr>
          <w:rFonts w:ascii="Times New Roman" w:hAnsi="Times New Roman" w:eastAsia="Times New Roman"/>
          <w:b w:val="0"/>
          <w:i w:val="0"/>
          <w:color w:val="1A1A1A"/>
          <w:sz w:val="22"/>
        </w:rPr>
        <w:t>7.1. Dentro del precio de USD 5.000 se incluyen treinta (30) horas de desarrollo adicional destinadas a features, diferenciaciones o implementaciones que el sistema actualmente no contemple en el Anexo A, o cambios diferenciales requeridos por el CLIENTE.</w:t>
      </w:r>
    </w:p>
    <w:p>
      <w:pPr>
        <w:spacing w:after="160" w:before="0" w:line="240" w:lineRule="auto"/>
        <w:jc w:val="both"/>
      </w:pPr>
      <w:r>
        <w:rPr>
          <w:rFonts w:ascii="Times New Roman" w:hAnsi="Times New Roman" w:eastAsia="Times New Roman"/>
          <w:b w:val="0"/>
          <w:i w:val="0"/>
          <w:color w:val="1A1A1A"/>
          <w:sz w:val="22"/>
        </w:rPr>
        <w:t>7.2. Dichas horas podrán utilizarse en Fase 1 y/o Fase 2, según necesidad de lo que deba mostrarse o entregarse al CLIENTE. Las horas no consumidas al cierre de Fase 2 podrán utilizarse durante los cuarenta (40) días posteriores a la aceptación de Fase 2.</w:t>
      </w:r>
    </w:p>
    <w:p>
      <w:pPr>
        <w:spacing w:after="160" w:before="0" w:line="240" w:lineRule="auto"/>
        <w:jc w:val="both"/>
      </w:pPr>
      <w:r>
        <w:rPr>
          <w:rFonts w:ascii="Times New Roman" w:hAnsi="Times New Roman" w:eastAsia="Times New Roman"/>
          <w:b w:val="0"/>
          <w:i w:val="0"/>
          <w:color w:val="1A1A1A"/>
          <w:sz w:val="22"/>
        </w:rPr>
        <w:t>7.3. El consumo de horas se gestionará mediante planillas de avance y confirmación previa del autorizador que el CLIENTE designe por escrito. Sin autorización previa, ZENN no estará obligado a ejecutar trabajos con cargo a la bolsa de horas.</w:t>
      </w:r>
    </w:p>
    <w:p>
      <w:pPr>
        <w:spacing w:after="160" w:before="0" w:line="240" w:lineRule="auto"/>
        <w:jc w:val="both"/>
      </w:pPr>
      <w:r>
        <w:rPr>
          <w:rFonts w:ascii="Times New Roman" w:hAnsi="Times New Roman" w:eastAsia="Times New Roman"/>
          <w:b w:val="0"/>
          <w:i w:val="0"/>
          <w:color w:val="1A1A1A"/>
          <w:sz w:val="22"/>
        </w:rPr>
        <w:t>7.4. Agotada la bolsa de treinta (30) horas, o vencido el plazo de uso de las no consumidas, todo desarrollo adicional se cotizará y facturará a la tarifa horaria de la Cláusula Novena.</w:t>
      </w:r>
    </w:p>
    <w:p>
      <w:pPr>
        <w:spacing w:after="160" w:before="0" w:line="240" w:lineRule="auto"/>
        <w:jc w:val="both"/>
      </w:pPr>
      <w:r>
        <w:rPr>
          <w:rFonts w:ascii="Times New Roman" w:hAnsi="Times New Roman" w:eastAsia="Times New Roman"/>
          <w:b w:val="0"/>
          <w:i w:val="0"/>
          <w:color w:val="1A1A1A"/>
          <w:sz w:val="22"/>
        </w:rPr>
        <w:t>7.5. Las treinta (30) horas no cubren corrección de bugs propios de lo ya contemplado en el Anexo A durante el período de garantía de la Cláusula Octava, los cuales se corrigen sin cargo en ese período.</w:t>
      </w:r>
    </w:p>
    <w:p>
      <w:pPr>
        <w:spacing w:before="280" w:after="160"/>
        <w:jc w:val="left"/>
        <w:pBdr>
          <w:bottom w:val="single" w:sz="6" w:space="1" w:color="B0C4DE"/>
        </w:pBdr>
      </w:pPr>
      <w:r>
        <w:rPr>
          <w:rFonts w:ascii="Times New Roman" w:hAnsi="Times New Roman" w:eastAsia="Times New Roman"/>
          <w:b/>
          <w:i w:val="0"/>
          <w:color w:val="0B3D91"/>
          <w:sz w:val="26"/>
        </w:rPr>
        <w:t>CLÁUSULA OCTAVA – GARANTÍA POST-ENTREGA (40 DÍAS)</w:t>
      </w:r>
    </w:p>
    <w:p>
      <w:pPr>
        <w:spacing w:after="160" w:before="0" w:line="240" w:lineRule="auto"/>
        <w:jc w:val="both"/>
      </w:pPr>
      <w:r>
        <w:rPr>
          <w:rFonts w:ascii="Times New Roman" w:hAnsi="Times New Roman" w:eastAsia="Times New Roman"/>
          <w:b w:val="0"/>
          <w:i w:val="0"/>
          <w:color w:val="1A1A1A"/>
          <w:sz w:val="22"/>
        </w:rPr>
        <w:t>8.1. A partir de la firma del Acta de Aceptación de Fase 2 (o su aceptación tácita), el CLIENTE gozará de cuarenta (40) días corridos de garantía para la corrección de bugs o errores de la plataforma relativos a funcionalidades incluidas en el Anexo A o en cambios autorizados ya implementados.</w:t>
      </w:r>
    </w:p>
    <w:p>
      <w:pPr>
        <w:spacing w:after="160" w:before="0" w:line="240" w:lineRule="auto"/>
        <w:jc w:val="both"/>
      </w:pPr>
      <w:r>
        <w:rPr>
          <w:rFonts w:ascii="Times New Roman" w:hAnsi="Times New Roman" w:eastAsia="Times New Roman"/>
          <w:b w:val="0"/>
          <w:i w:val="0"/>
          <w:color w:val="1A1A1A"/>
          <w:sz w:val="22"/>
        </w:rPr>
        <w:t>8.2. Esta garantía no consume la bolsa de treinta (30) horas ni genera cargo por tarifa horaria, siempre que se trate de fallas (lo acordado no funciona), y no de nuevas funcionalidades o cambios de alcance.</w:t>
      </w:r>
    </w:p>
    <w:p>
      <w:pPr>
        <w:spacing w:after="160" w:before="0" w:line="240" w:lineRule="auto"/>
        <w:jc w:val="both"/>
      </w:pPr>
      <w:r>
        <w:rPr>
          <w:rFonts w:ascii="Times New Roman" w:hAnsi="Times New Roman" w:eastAsia="Times New Roman"/>
          <w:b w:val="0"/>
          <w:i w:val="0"/>
          <w:color w:val="1A1A1A"/>
          <w:sz w:val="22"/>
        </w:rPr>
        <w:t>8.3. Quedan excluidos de la garantía: fallas de infraestructura de terceros, mala operación del CLIENTE, modificaciones hechas por terceros sin intervención de ZENN, cambios de APIs externas (Bancard, etc.), y fuerza mayor.</w:t>
      </w:r>
    </w:p>
    <w:p>
      <w:pPr>
        <w:spacing w:before="280" w:after="160"/>
        <w:jc w:val="left"/>
        <w:pBdr>
          <w:bottom w:val="single" w:sz="6" w:space="1" w:color="B0C4DE"/>
        </w:pBdr>
      </w:pPr>
      <w:r>
        <w:rPr>
          <w:rFonts w:ascii="Times New Roman" w:hAnsi="Times New Roman" w:eastAsia="Times New Roman"/>
          <w:b/>
          <w:i w:val="0"/>
          <w:color w:val="0B3D91"/>
          <w:sz w:val="26"/>
        </w:rPr>
        <w:t>CLÁUSULA NOVENA – MANTENIMIENTO, SOPORTE Y MEJORAS (POST-PROYECTO)</w:t>
      </w:r>
    </w:p>
    <w:p>
      <w:pPr>
        <w:spacing w:after="160" w:before="0" w:line="240" w:lineRule="auto"/>
        <w:jc w:val="both"/>
      </w:pPr>
      <w:r>
        <w:rPr>
          <w:rFonts w:ascii="Times New Roman" w:hAnsi="Times New Roman" w:eastAsia="Times New Roman"/>
          <w:b w:val="0"/>
          <w:i w:val="0"/>
          <w:color w:val="1A1A1A"/>
          <w:sz w:val="22"/>
        </w:rPr>
        <w:t>9.1. Finalizada la implementación y/o agotadas las prestaciones incluidas en los USD 5.000, los servicios de mantenimiento, soporte, mejoras, nuevas implementaciones y cualquier trabajo no contemplado en el código/alcance del Anexo A se prestarán por demanda, a la tarifa de USD 15 (quince dólares estadounidenses) por hora.</w:t>
      </w:r>
    </w:p>
    <w:p>
      <w:pPr>
        <w:spacing w:after="160" w:before="0" w:line="240" w:lineRule="auto"/>
        <w:jc w:val="both"/>
      </w:pPr>
      <w:r>
        <w:rPr>
          <w:rFonts w:ascii="Times New Roman" w:hAnsi="Times New Roman" w:eastAsia="Times New Roman"/>
          <w:b w:val="0"/>
          <w:i w:val="0"/>
          <w:color w:val="1A1A1A"/>
          <w:sz w:val="22"/>
        </w:rPr>
        <w:t>9.2. La unidad mínima de facturación por intervención será de una (1) hora. Los trabajos se autorizarán previamente por el autorizador designado por el CLIENTE, se registrarán en planillas y se facturarán mensualmente conforme a las horas efectivamente adeudadas en el período.</w:t>
      </w:r>
    </w:p>
    <w:p>
      <w:pPr>
        <w:spacing w:after="160" w:before="0" w:line="240" w:lineRule="auto"/>
        <w:jc w:val="both"/>
      </w:pPr>
      <w:r>
        <w:rPr>
          <w:rFonts w:ascii="Times New Roman" w:hAnsi="Times New Roman" w:eastAsia="Times New Roman"/>
          <w:b w:val="0"/>
          <w:i w:val="0"/>
          <w:color w:val="1A1A1A"/>
          <w:sz w:val="22"/>
        </w:rPr>
        <w:t>9.3. No se incluyen en esta tarifa horaria (por estar cubiertos en el precio de USD 5.000): el diseño e implementación inicial de Fase 1 y Fase 2, la licencia de uso, la entrega de código fuente, la configuración inicial de servidores/entornos, las diez (10) horas de capacitación incluidas y las treinta (30) horas de desarrollo adicional.</w:t>
      </w:r>
    </w:p>
    <w:p>
      <w:pPr>
        <w:spacing w:after="160" w:before="0" w:line="240" w:lineRule="auto"/>
        <w:jc w:val="both"/>
      </w:pPr>
      <w:r>
        <w:rPr>
          <w:rFonts w:ascii="Times New Roman" w:hAnsi="Times New Roman" w:eastAsia="Times New Roman"/>
          <w:b w:val="0"/>
          <w:i w:val="0"/>
          <w:color w:val="1A1A1A"/>
          <w:sz w:val="22"/>
        </w:rPr>
        <w:t>9.4. Si el CLIENTE requiere capacitación adicional a las diez (10) horas incluidas, dicha capacitación se cobrará a USD 15 por hora.</w:t>
      </w:r>
    </w:p>
    <w:p>
      <w:pPr>
        <w:spacing w:after="160" w:before="0" w:line="240" w:lineRule="auto"/>
        <w:jc w:val="both"/>
      </w:pPr>
      <w:r>
        <w:rPr>
          <w:rFonts w:ascii="Times New Roman" w:hAnsi="Times New Roman" w:eastAsia="Times New Roman"/>
          <w:b w:val="0"/>
          <w:i w:val="0"/>
          <w:color w:val="1A1A1A"/>
          <w:sz w:val="22"/>
        </w:rPr>
        <w:t>9.5. El CLIENTE podrá, si lo desea, contratar a otro desarrollador para modificar el código. Ello no genera responsabilidad de ZENN por trabajos de terceros. Mientras exista vínculo de soporte con ZENN, se recomienda canalizar los cambios a través de ZENN para preservar la integridad del sistema.</w:t>
      </w:r>
    </w:p>
    <w:p>
      <w:pPr>
        <w:spacing w:before="280" w:after="160"/>
        <w:jc w:val="left"/>
        <w:pBdr>
          <w:bottom w:val="single" w:sz="6" w:space="1" w:color="B0C4DE"/>
        </w:pBdr>
      </w:pPr>
      <w:r>
        <w:rPr>
          <w:rFonts w:ascii="Times New Roman" w:hAnsi="Times New Roman" w:eastAsia="Times New Roman"/>
          <w:b/>
          <w:i w:val="0"/>
          <w:color w:val="0B3D91"/>
          <w:sz w:val="26"/>
        </w:rPr>
        <w:t>CLÁUSULA DÉCIMA – CAPACITACIÓN</w:t>
      </w:r>
    </w:p>
    <w:p>
      <w:pPr>
        <w:spacing w:after="160" w:before="0" w:line="240" w:lineRule="auto"/>
        <w:jc w:val="both"/>
      </w:pPr>
      <w:r>
        <w:rPr>
          <w:rFonts w:ascii="Times New Roman" w:hAnsi="Times New Roman" w:eastAsia="Times New Roman"/>
          <w:b w:val="0"/>
          <w:i w:val="0"/>
          <w:color w:val="1A1A1A"/>
          <w:sz w:val="22"/>
        </w:rPr>
        <w:t>10.1. ZENN incluirá hasta diez (10) horas de capacitación al equipo del CLIENTE, dentro del precio de USD 5.000, a coordinarse a partir de la Fase 2 o según acuerdo de las Partes.</w:t>
      </w:r>
    </w:p>
    <w:p>
      <w:pPr>
        <w:spacing w:after="160" w:before="0" w:line="240" w:lineRule="auto"/>
        <w:jc w:val="both"/>
      </w:pPr>
      <w:r>
        <w:rPr>
          <w:rFonts w:ascii="Times New Roman" w:hAnsi="Times New Roman" w:eastAsia="Times New Roman"/>
          <w:b w:val="0"/>
          <w:i w:val="0"/>
          <w:color w:val="1A1A1A"/>
          <w:sz w:val="22"/>
        </w:rPr>
        <w:t>10.2. Las horas de capacitación adicionales, incluyendo las que se requieran en un eventual traspaso por terminación del vínculo de soporte, serán onerosas a USD 15 por hora.</w:t>
      </w:r>
    </w:p>
    <w:p>
      <w:pPr>
        <w:spacing w:before="280" w:after="160"/>
        <w:jc w:val="left"/>
        <w:pBdr>
          <w:bottom w:val="single" w:sz="6" w:space="1" w:color="B0C4DE"/>
        </w:pBdr>
      </w:pPr>
      <w:r>
        <w:rPr>
          <w:rFonts w:ascii="Times New Roman" w:hAnsi="Times New Roman" w:eastAsia="Times New Roman"/>
          <w:b/>
          <w:i w:val="0"/>
          <w:color w:val="0B3D91"/>
          <w:sz w:val="26"/>
        </w:rPr>
        <w:t>CLÁUSULA DÉCIMA PRIMERA – INFRAESTRUCTURA Y LIMITACIÓN DE GARANTÍAS OPERATIVAS</w:t>
      </w:r>
    </w:p>
    <w:p>
      <w:pPr>
        <w:spacing w:after="160" w:before="0" w:line="240" w:lineRule="auto"/>
        <w:jc w:val="both"/>
      </w:pPr>
      <w:r>
        <w:rPr>
          <w:rFonts w:ascii="Times New Roman" w:hAnsi="Times New Roman" w:eastAsia="Times New Roman"/>
          <w:b w:val="0"/>
          <w:i w:val="0"/>
          <w:color w:val="1A1A1A"/>
          <w:sz w:val="22"/>
        </w:rPr>
        <w:t>11.1. Estarán a cargo del CLIENTE: dominio, correo corporativo/SMTP para envío de emails, servidor VPS u otros servicios necesarios para procesos pesados (PDF, workers, etc.), contrato y credenciales Bancard, y cuentas de MongoDB Atlas, Firebase u otros proveedores cloud, incluyendo eventuales costos por superar planes freemium.</w:t>
      </w:r>
    </w:p>
    <w:p>
      <w:pPr>
        <w:spacing w:after="160" w:before="0" w:line="240" w:lineRule="auto"/>
        <w:jc w:val="both"/>
      </w:pPr>
      <w:r>
        <w:rPr>
          <w:rFonts w:ascii="Times New Roman" w:hAnsi="Times New Roman" w:eastAsia="Times New Roman"/>
          <w:b w:val="0"/>
          <w:i w:val="0"/>
          <w:color w:val="1A1A1A"/>
          <w:sz w:val="22"/>
        </w:rPr>
        <w:t>11.2. ZENN no garantiza un volumen mínimo de ventas, resultados comerciales, posicionamiento SEO ni retorno de inversión. El Software es una herramienta; el resultado de negocio depende del CLIENTE (precios, stock, marketing, atención, logística, etc.).</w:t>
      </w:r>
    </w:p>
    <w:p>
      <w:pPr>
        <w:spacing w:after="160" w:before="0" w:line="240" w:lineRule="auto"/>
        <w:jc w:val="both"/>
      </w:pPr>
      <w:r>
        <w:rPr>
          <w:rFonts w:ascii="Times New Roman" w:hAnsi="Times New Roman" w:eastAsia="Times New Roman"/>
          <w:b w:val="0"/>
          <w:i w:val="0"/>
          <w:color w:val="1A1A1A"/>
          <w:sz w:val="22"/>
        </w:rPr>
        <w:t>11.3. ZENN no garantiza el uptime (disponibilidad continua) de servicios de terceros (Vercel, VPS, MongoDB, Firebase, Bancard, DNS, ISP, etc.). Las caídas, lentitud o incidentes de esos proveedores son ajenos a la responsabilidad de ZENN, sin perjuicio de la asistencia de soporte que el CLIENTE contrate por demanda para ayudar a diagnosticar o restablecer configuraciones a su cargo.</w:t>
      </w:r>
    </w:p>
    <w:p>
      <w:pPr>
        <w:spacing w:before="280" w:after="160"/>
        <w:jc w:val="left"/>
        <w:pBdr>
          <w:bottom w:val="single" w:sz="6" w:space="1" w:color="B0C4DE"/>
        </w:pBdr>
      </w:pPr>
      <w:r>
        <w:rPr>
          <w:rFonts w:ascii="Times New Roman" w:hAnsi="Times New Roman" w:eastAsia="Times New Roman"/>
          <w:b/>
          <w:i w:val="0"/>
          <w:color w:val="0B3D91"/>
          <w:sz w:val="26"/>
        </w:rPr>
        <w:t>CLÁUSULA DÉCIMA SEGUNDA – OBLIGACIONES DEL CLIENTE</w:t>
      </w:r>
    </w:p>
    <w:p>
      <w:pPr>
        <w:pStyle w:val="ListBullet"/>
        <w:spacing w:after="60"/>
        <w:jc w:val="both"/>
      </w:pPr>
      <w:r>
        <w:rPr>
          <w:rFonts w:ascii="Times New Roman" w:hAnsi="Times New Roman" w:eastAsia="Times New Roman"/>
          <w:b w:val="0"/>
          <w:i w:val="0"/>
          <w:color w:val="1A1A1A"/>
          <w:sz w:val="22"/>
        </w:rPr>
        <w:t>Proveer en tiempo y forma: logo, paleta de colores, tipografías, textos, datos de productos y demás insumos de marca.</w:t>
      </w:r>
    </w:p>
    <w:p>
      <w:pPr>
        <w:pStyle w:val="ListBullet"/>
        <w:spacing w:after="60"/>
        <w:jc w:val="both"/>
      </w:pPr>
      <w:r>
        <w:rPr>
          <w:rFonts w:ascii="Times New Roman" w:hAnsi="Times New Roman" w:eastAsia="Times New Roman"/>
          <w:b w:val="0"/>
          <w:i w:val="0"/>
          <w:color w:val="1A1A1A"/>
          <w:sz w:val="22"/>
        </w:rPr>
        <w:t>Proveer dominio, correo SMTP, alta/autorización de Bancard y accesos cloud necesarios.</w:t>
      </w:r>
    </w:p>
    <w:p>
      <w:pPr>
        <w:pStyle w:val="ListBullet"/>
        <w:spacing w:after="60"/>
        <w:jc w:val="both"/>
      </w:pPr>
      <w:r>
        <w:rPr>
          <w:rFonts w:ascii="Times New Roman" w:hAnsi="Times New Roman" w:eastAsia="Times New Roman"/>
          <w:b w:val="0"/>
          <w:i w:val="0"/>
          <w:color w:val="1A1A1A"/>
          <w:sz w:val="22"/>
        </w:rPr>
        <w:t>Designar un autorizador de requerimientos y de consumo de horas.</w:t>
      </w:r>
    </w:p>
    <w:p>
      <w:pPr>
        <w:pStyle w:val="ListBullet"/>
        <w:spacing w:after="60"/>
        <w:jc w:val="both"/>
      </w:pPr>
      <w:r>
        <w:rPr>
          <w:rFonts w:ascii="Times New Roman" w:hAnsi="Times New Roman" w:eastAsia="Times New Roman"/>
          <w:b w:val="0"/>
          <w:i w:val="0"/>
          <w:color w:val="1A1A1A"/>
          <w:sz w:val="22"/>
        </w:rPr>
        <w:t>Realizar los pagos en los plazos convenidos.</w:t>
      </w:r>
    </w:p>
    <w:p>
      <w:pPr>
        <w:pStyle w:val="ListBullet"/>
        <w:spacing w:after="60"/>
        <w:jc w:val="both"/>
      </w:pPr>
      <w:r>
        <w:rPr>
          <w:rFonts w:ascii="Times New Roman" w:hAnsi="Times New Roman" w:eastAsia="Times New Roman"/>
          <w:b w:val="0"/>
          <w:i w:val="0"/>
          <w:color w:val="1A1A1A"/>
          <w:sz w:val="22"/>
        </w:rPr>
        <w:t>Respetar la licencia de uso propio y las restricciones de no comercialización a terceros.</w:t>
      </w:r>
    </w:p>
    <w:p>
      <w:pPr>
        <w:spacing w:before="280" w:after="160"/>
        <w:jc w:val="left"/>
        <w:pBdr>
          <w:bottom w:val="single" w:sz="6" w:space="1" w:color="B0C4DE"/>
        </w:pBdr>
      </w:pPr>
      <w:r>
        <w:rPr>
          <w:rFonts w:ascii="Times New Roman" w:hAnsi="Times New Roman" w:eastAsia="Times New Roman"/>
          <w:b/>
          <w:i w:val="0"/>
          <w:color w:val="0B3D91"/>
          <w:sz w:val="26"/>
        </w:rPr>
        <w:t>CLÁUSULA DÉCIMA TERCERA – OBLIGACIONES DE ZENN</w:t>
      </w:r>
    </w:p>
    <w:p>
      <w:pPr>
        <w:pStyle w:val="ListBullet"/>
        <w:spacing w:after="60"/>
        <w:jc w:val="both"/>
      </w:pPr>
      <w:r>
        <w:rPr>
          <w:rFonts w:ascii="Times New Roman" w:hAnsi="Times New Roman" w:eastAsia="Times New Roman"/>
          <w:b w:val="0"/>
          <w:i w:val="0"/>
          <w:color w:val="1A1A1A"/>
          <w:sz w:val="22"/>
        </w:rPr>
        <w:t>Ejecutar la implementación conforme a las Fases y al Anexo A.</w:t>
      </w:r>
    </w:p>
    <w:p>
      <w:pPr>
        <w:pStyle w:val="ListBullet"/>
        <w:spacing w:after="60"/>
        <w:jc w:val="both"/>
      </w:pPr>
      <w:r>
        <w:rPr>
          <w:rFonts w:ascii="Times New Roman" w:hAnsi="Times New Roman" w:eastAsia="Times New Roman"/>
          <w:b w:val="0"/>
          <w:i w:val="0"/>
          <w:color w:val="1A1A1A"/>
          <w:sz w:val="22"/>
        </w:rPr>
        <w:t>Entregar el código fuente en repositorio GitHub y transferir accesos al cierre.</w:t>
      </w:r>
    </w:p>
    <w:p>
      <w:pPr>
        <w:pStyle w:val="ListBullet"/>
        <w:spacing w:after="60"/>
        <w:jc w:val="both"/>
      </w:pPr>
      <w:r>
        <w:rPr>
          <w:rFonts w:ascii="Times New Roman" w:hAnsi="Times New Roman" w:eastAsia="Times New Roman"/>
          <w:b w:val="0"/>
          <w:i w:val="0"/>
          <w:color w:val="1A1A1A"/>
          <w:sz w:val="22"/>
        </w:rPr>
        <w:t>Corregir bugs en garantía conforme a la Cláusula Octava.</w:t>
      </w:r>
    </w:p>
    <w:p>
      <w:pPr>
        <w:pStyle w:val="ListBullet"/>
        <w:spacing w:after="60"/>
        <w:jc w:val="both"/>
      </w:pPr>
      <w:r>
        <w:rPr>
          <w:rFonts w:ascii="Times New Roman" w:hAnsi="Times New Roman" w:eastAsia="Times New Roman"/>
          <w:b w:val="0"/>
          <w:i w:val="0"/>
          <w:color w:val="1A1A1A"/>
          <w:sz w:val="22"/>
        </w:rPr>
        <w:t>Prestar soporte y mejoras post-proyecto conforme a la tarifa y condiciones de la Cláusula Novena, cuando sean requeridos y autorizados.</w:t>
      </w:r>
    </w:p>
    <w:p>
      <w:pPr>
        <w:pStyle w:val="ListBullet"/>
        <w:spacing w:after="60"/>
        <w:jc w:val="both"/>
      </w:pPr>
      <w:r>
        <w:rPr>
          <w:rFonts w:ascii="Times New Roman" w:hAnsi="Times New Roman" w:eastAsia="Times New Roman"/>
          <w:b w:val="0"/>
          <w:i w:val="0"/>
          <w:color w:val="1A1A1A"/>
          <w:sz w:val="22"/>
        </w:rPr>
        <w:t>Guardar confidencialidad sobre credenciales y datos del CLIENTE a los que acceda con motivo del Contrato.</w:t>
      </w:r>
    </w:p>
    <w:p>
      <w:pPr>
        <w:spacing w:before="280" w:after="160"/>
        <w:jc w:val="left"/>
        <w:pBdr>
          <w:bottom w:val="single" w:sz="6" w:space="1" w:color="B0C4DE"/>
        </w:pBdr>
      </w:pPr>
      <w:r>
        <w:rPr>
          <w:rFonts w:ascii="Times New Roman" w:hAnsi="Times New Roman" w:eastAsia="Times New Roman"/>
          <w:b/>
          <w:i w:val="0"/>
          <w:color w:val="0B3D91"/>
          <w:sz w:val="26"/>
        </w:rPr>
        <w:t>CLÁUSULA DÉCIMA CUARTA – TERMINACIÓN DEL VÍNCULO DE SOPORTE / MANTENIMIENTO</w:t>
      </w:r>
    </w:p>
    <w:p>
      <w:pPr>
        <w:spacing w:after="160" w:before="0" w:line="240" w:lineRule="auto"/>
        <w:jc w:val="both"/>
      </w:pPr>
      <w:r>
        <w:rPr>
          <w:rFonts w:ascii="Times New Roman" w:hAnsi="Times New Roman" w:eastAsia="Times New Roman"/>
          <w:b w:val="0"/>
          <w:i w:val="0"/>
          <w:color w:val="1A1A1A"/>
          <w:sz w:val="22"/>
        </w:rPr>
        <w:t>14.1. Cualquiera de las Partes podrá dar por terminada la relación de mantenimiento, soporte o servicios horarios posteriores, mediante preaviso escrito de treinta (30) días corridos.</w:t>
      </w:r>
    </w:p>
    <w:p>
      <w:pPr>
        <w:spacing w:after="160" w:before="0" w:line="240" w:lineRule="auto"/>
        <w:jc w:val="both"/>
      </w:pPr>
      <w:r>
        <w:rPr>
          <w:rFonts w:ascii="Times New Roman" w:hAnsi="Times New Roman" w:eastAsia="Times New Roman"/>
          <w:b w:val="0"/>
          <w:i w:val="0"/>
          <w:color w:val="1A1A1A"/>
          <w:sz w:val="22"/>
        </w:rPr>
        <w:t>14.2. Durante el preaviso, el CLIENTE podrá solicitar capacitación de traspaso / handoff para que un tercero o su personal asuma el manejo del código fuente. Dicha capacitación no está incluida sin cargo y se cobrará a USD 15 por hora, previa autorización.</w:t>
      </w:r>
    </w:p>
    <w:p>
      <w:pPr>
        <w:spacing w:after="160" w:before="0" w:line="240" w:lineRule="auto"/>
        <w:jc w:val="both"/>
      </w:pPr>
      <w:r>
        <w:rPr>
          <w:rFonts w:ascii="Times New Roman" w:hAnsi="Times New Roman" w:eastAsia="Times New Roman"/>
          <w:b w:val="0"/>
          <w:i w:val="0"/>
          <w:color w:val="1A1A1A"/>
          <w:sz w:val="22"/>
        </w:rPr>
        <w:t>14.3. Terminada la relación, el CLIENTE conservará el Software y el código fuente bajo la licencia de uso de este Contrato, pudiendo continuar con otro desarrollador. ZENN no estará obligado a prestar más servicios, salvo nuevo acuerdo.</w:t>
      </w:r>
    </w:p>
    <w:p>
      <w:pPr>
        <w:spacing w:before="280" w:after="160"/>
        <w:jc w:val="left"/>
        <w:pBdr>
          <w:bottom w:val="single" w:sz="6" w:space="1" w:color="B0C4DE"/>
        </w:pBdr>
      </w:pPr>
      <w:r>
        <w:rPr>
          <w:rFonts w:ascii="Times New Roman" w:hAnsi="Times New Roman" w:eastAsia="Times New Roman"/>
          <w:b/>
          <w:i w:val="0"/>
          <w:color w:val="0B3D91"/>
          <w:sz w:val="26"/>
        </w:rPr>
        <w:t>CLÁUSULA DÉCIMA QUINTA – CANCELACIÓN ANTICIPADA DEL PROYECTO DE IMPLEMENTACIÓN</w:t>
      </w:r>
    </w:p>
    <w:p>
      <w:pPr>
        <w:spacing w:after="160" w:before="0" w:line="240" w:lineRule="auto"/>
        <w:jc w:val="both"/>
      </w:pPr>
      <w:r>
        <w:rPr>
          <w:rFonts w:ascii="Times New Roman" w:hAnsi="Times New Roman" w:eastAsia="Times New Roman"/>
          <w:b w:val="0"/>
          <w:i w:val="0"/>
          <w:color w:val="1A1A1A"/>
          <w:sz w:val="22"/>
        </w:rPr>
        <w:t>15.1. Si el CLIENTE cancela el proyecto antes de finalizar la Fase 2, ZENN retendrá las sumas ya abonadas en concepto de trabajo realizado, y entregará al CLIENTE el avance del Software y código fuente desarrollado hasta la fecha de cancelación, en el estado en que se encuentre.</w:t>
      </w:r>
    </w:p>
    <w:p>
      <w:pPr>
        <w:spacing w:after="160" w:before="0" w:line="240" w:lineRule="auto"/>
        <w:jc w:val="both"/>
      </w:pPr>
      <w:r>
        <w:rPr>
          <w:rFonts w:ascii="Times New Roman" w:hAnsi="Times New Roman" w:eastAsia="Times New Roman"/>
          <w:b w:val="0"/>
          <w:i w:val="0"/>
          <w:color w:val="1A1A1A"/>
          <w:sz w:val="22"/>
        </w:rPr>
        <w:t>15.2. Las sumas no facturadas por hitos no alcanzados no serán exigibles, sin perjuicio de facturar trabajos extraordinarios autorizados fuera del precio cerrado, si los hubiere.</w:t>
      </w:r>
    </w:p>
    <w:p>
      <w:pPr>
        <w:spacing w:before="280" w:after="160"/>
        <w:jc w:val="left"/>
        <w:pBdr>
          <w:bottom w:val="single" w:sz="6" w:space="1" w:color="B0C4DE"/>
        </w:pBdr>
      </w:pPr>
      <w:r>
        <w:rPr>
          <w:rFonts w:ascii="Times New Roman" w:hAnsi="Times New Roman" w:eastAsia="Times New Roman"/>
          <w:b/>
          <w:i w:val="0"/>
          <w:color w:val="0B3D91"/>
          <w:sz w:val="26"/>
        </w:rPr>
        <w:t>CLÁUSULA DÉCIMA SEXTA – CONFIDENCIALIDAD Y DATOS</w:t>
      </w:r>
    </w:p>
    <w:p>
      <w:pPr>
        <w:spacing w:after="160" w:before="0" w:line="240" w:lineRule="auto"/>
        <w:jc w:val="both"/>
      </w:pPr>
      <w:r>
        <w:rPr>
          <w:rFonts w:ascii="Times New Roman" w:hAnsi="Times New Roman" w:eastAsia="Times New Roman"/>
          <w:b w:val="0"/>
          <w:i w:val="0"/>
          <w:color w:val="1A1A1A"/>
          <w:sz w:val="22"/>
        </w:rPr>
        <w:t>16.1. Las Partes se obligan a mantener confidencialidad sobre información técnica, comercial, credenciales y datos personales a los que accedan con motivo de este Contrato.</w:t>
      </w:r>
    </w:p>
    <w:p>
      <w:pPr>
        <w:spacing w:after="160" w:before="0" w:line="240" w:lineRule="auto"/>
        <w:jc w:val="both"/>
      </w:pPr>
      <w:r>
        <w:rPr>
          <w:rFonts w:ascii="Times New Roman" w:hAnsi="Times New Roman" w:eastAsia="Times New Roman"/>
          <w:b w:val="0"/>
          <w:i w:val="0"/>
          <w:color w:val="1A1A1A"/>
          <w:sz w:val="22"/>
        </w:rPr>
        <w:t>16.2. El CLIENTE es responsable del cumplimiento de la normativa aplicable en materia de datos personales respecto de sus usuarios finales, así como de su relación contractual con Bancard y demás proveedores.</w:t>
      </w:r>
    </w:p>
    <w:p>
      <w:pPr>
        <w:spacing w:before="280" w:after="160"/>
        <w:jc w:val="left"/>
        <w:pBdr>
          <w:bottom w:val="single" w:sz="6" w:space="1" w:color="B0C4DE"/>
        </w:pBdr>
      </w:pPr>
      <w:r>
        <w:rPr>
          <w:rFonts w:ascii="Times New Roman" w:hAnsi="Times New Roman" w:eastAsia="Times New Roman"/>
          <w:b/>
          <w:i w:val="0"/>
          <w:color w:val="0B3D91"/>
          <w:sz w:val="26"/>
        </w:rPr>
        <w:t>CLÁUSULA DÉCIMA SÉPTIMA – LIMITACIÓN DE RESPONSABILIDAD</w:t>
      </w:r>
    </w:p>
    <w:p>
      <w:pPr>
        <w:spacing w:after="160" w:before="0" w:line="240" w:lineRule="auto"/>
        <w:jc w:val="both"/>
      </w:pPr>
      <w:r>
        <w:rPr>
          <w:rFonts w:ascii="Times New Roman" w:hAnsi="Times New Roman" w:eastAsia="Times New Roman"/>
          <w:b w:val="0"/>
          <w:i w:val="0"/>
          <w:color w:val="1A1A1A"/>
          <w:sz w:val="22"/>
        </w:rPr>
        <w:t>17.1. La responsabilidad agregada de ZENN derivada del presente Contrato no excederá, en ningún caso, el monto total efectivamente pagado por el CLIENTE a ZENN bajo este Contrato.</w:t>
      </w:r>
    </w:p>
    <w:p>
      <w:pPr>
        <w:spacing w:after="160" w:before="0" w:line="240" w:lineRule="auto"/>
        <w:jc w:val="both"/>
      </w:pPr>
      <w:r>
        <w:rPr>
          <w:rFonts w:ascii="Times New Roman" w:hAnsi="Times New Roman" w:eastAsia="Times New Roman"/>
          <w:b w:val="0"/>
          <w:i w:val="0"/>
          <w:color w:val="1A1A1A"/>
          <w:sz w:val="22"/>
        </w:rPr>
        <w:t>17.2. ZENN no será responsable por lucro cesante, pérdida de chance, pérdida de datos imputable a terceros, daños indirectos o expectativas de ventas no alcanzadas.</w:t>
      </w:r>
    </w:p>
    <w:p>
      <w:pPr>
        <w:spacing w:before="280" w:after="160"/>
        <w:jc w:val="left"/>
        <w:pBdr>
          <w:bottom w:val="single" w:sz="6" w:space="1" w:color="B0C4DE"/>
        </w:pBdr>
      </w:pPr>
      <w:r>
        <w:rPr>
          <w:rFonts w:ascii="Times New Roman" w:hAnsi="Times New Roman" w:eastAsia="Times New Roman"/>
          <w:b/>
          <w:i w:val="0"/>
          <w:color w:val="0B3D91"/>
          <w:sz w:val="26"/>
        </w:rPr>
        <w:t>CLÁUSULA DÉCIMA OCTAVA – REQUERIMIENTOS NUEVOS (HOJA DE CAMBIOS)</w:t>
      </w:r>
    </w:p>
    <w:p>
      <w:pPr>
        <w:spacing w:after="160" w:before="0" w:line="240" w:lineRule="auto"/>
        <w:jc w:val="both"/>
      </w:pPr>
      <w:r>
        <w:rPr>
          <w:rFonts w:ascii="Times New Roman" w:hAnsi="Times New Roman" w:eastAsia="Times New Roman"/>
          <w:b w:val="0"/>
          <w:i w:val="0"/>
          <w:color w:val="1A1A1A"/>
          <w:sz w:val="22"/>
        </w:rPr>
        <w:t>18.1. Cualquier funcionalidad o cambio no incluido en el Anexo A deberá cargarse en una hoja/planilla de requerimientos (o documento equivalente), estimarse en horas e implementarse: (i) con cargo a la bolsa de treinta (30) horas, mientras exista saldo y vigencia; o (ii) a USD 15 por hora; o (iii) mediante presupuesto cerrado específico aceptado por el CLIENTE.</w:t>
      </w:r>
    </w:p>
    <w:p>
      <w:pPr>
        <w:spacing w:before="280" w:after="160"/>
        <w:jc w:val="left"/>
        <w:pBdr>
          <w:bottom w:val="single" w:sz="6" w:space="1" w:color="B0C4DE"/>
        </w:pBdr>
      </w:pPr>
      <w:r>
        <w:rPr>
          <w:rFonts w:ascii="Times New Roman" w:hAnsi="Times New Roman" w:eastAsia="Times New Roman"/>
          <w:b/>
          <w:i w:val="0"/>
          <w:color w:val="0B3D91"/>
          <w:sz w:val="26"/>
        </w:rPr>
        <w:t>CLÁUSULA DÉCIMA NOVENA – LEGISLACIÓN Y JURISDICCIÓN</w:t>
      </w:r>
    </w:p>
    <w:p>
      <w:pPr>
        <w:spacing w:after="160" w:before="0" w:line="240" w:lineRule="auto"/>
        <w:jc w:val="both"/>
      </w:pPr>
      <w:r>
        <w:rPr>
          <w:rFonts w:ascii="Times New Roman" w:hAnsi="Times New Roman" w:eastAsia="Times New Roman"/>
          <w:b w:val="0"/>
          <w:i w:val="0"/>
          <w:color w:val="1A1A1A"/>
          <w:sz w:val="22"/>
        </w:rPr>
        <w:t>19.1. Este Contrato se rige por las leyes de la República del Paraguay. Para cualquier controversia, las Partes se someten a los tribunales ordinarios de la ciudad de Asunción, con renuncia a cualquier otro fuero que pudiera corresponderles.</w:t>
      </w:r>
    </w:p>
    <w:p>
      <w:pPr>
        <w:spacing w:before="280" w:after="160"/>
        <w:jc w:val="left"/>
        <w:pBdr>
          <w:bottom w:val="single" w:sz="6" w:space="1" w:color="B0C4DE"/>
        </w:pBdr>
      </w:pPr>
      <w:r>
        <w:rPr>
          <w:rFonts w:ascii="Times New Roman" w:hAnsi="Times New Roman" w:eastAsia="Times New Roman"/>
          <w:b/>
          <w:i w:val="0"/>
          <w:color w:val="0B3D91"/>
          <w:sz w:val="26"/>
        </w:rPr>
        <w:t>CLÁUSULA VIGÉSIMA – DISPOSICIONES FINALES</w:t>
      </w:r>
    </w:p>
    <w:p>
      <w:pPr>
        <w:spacing w:after="160" w:before="0" w:line="240" w:lineRule="auto"/>
        <w:jc w:val="both"/>
      </w:pPr>
      <w:r>
        <w:rPr>
          <w:rFonts w:ascii="Times New Roman" w:hAnsi="Times New Roman" w:eastAsia="Times New Roman"/>
          <w:b w:val="0"/>
          <w:i w:val="0"/>
          <w:color w:val="1A1A1A"/>
          <w:sz w:val="22"/>
        </w:rPr>
        <w:t>20.1. Los Anexos forman parte inseparable del Contrato. En caso de conflicto entre un Anexo y el cuerpo principal, prevalecerá el cuerpo principal, salvo que el Anexo indique expresamente lo contrario para un punto técnico de alcance.</w:t>
      </w:r>
    </w:p>
    <w:p>
      <w:pPr>
        <w:spacing w:after="160" w:before="0" w:line="240" w:lineRule="auto"/>
        <w:jc w:val="both"/>
      </w:pPr>
      <w:r>
        <w:rPr>
          <w:rFonts w:ascii="Times New Roman" w:hAnsi="Times New Roman" w:eastAsia="Times New Roman"/>
          <w:b w:val="0"/>
          <w:i w:val="0"/>
          <w:color w:val="1A1A1A"/>
          <w:sz w:val="22"/>
        </w:rPr>
        <w:t>20.2. Cualquier modificación al Contrato deberá realizarse por escrito y con aceptación de ambas Partes.</w:t>
      </w:r>
    </w:p>
    <w:p>
      <w:pPr>
        <w:spacing w:after="160" w:before="0" w:line="240" w:lineRule="auto"/>
        <w:jc w:val="both"/>
      </w:pPr>
      <w:r>
        <w:rPr>
          <w:rFonts w:ascii="Times New Roman" w:hAnsi="Times New Roman" w:eastAsia="Times New Roman"/>
          <w:b w:val="0"/>
          <w:i w:val="0"/>
          <w:color w:val="1A1A1A"/>
          <w:sz w:val="22"/>
        </w:rPr>
        <w:t>20.3. La nulidad de una cláusula no afectará la validez del resto del Contrato.</w:t>
      </w:r>
    </w:p>
    <w:p>
      <w:pPr>
        <w:spacing w:after="400" w:before="0" w:line="240" w:lineRule="auto"/>
        <w:jc w:val="both"/>
      </w:pPr>
      <w:r>
        <w:rPr>
          <w:rFonts w:ascii="Times New Roman" w:hAnsi="Times New Roman" w:eastAsia="Times New Roman"/>
          <w:b w:val="0"/>
          <w:i w:val="0"/>
          <w:color w:val="1A1A1A"/>
          <w:sz w:val="22"/>
        </w:rPr>
        <w:t>20.4. Las Partes firman el presente Contrato en dos (2) ejemplares de un mismo tenor y a un solo efecto, en la fecha indicada en el exordio.</w:t>
      </w:r>
    </w:p>
    <w:p>
      <w:pPr>
        <w:spacing w:after="600" w:before="0" w:line="240" w:lineRule="auto"/>
        <w:jc w:val="both"/>
      </w:pPr>
      <w:r>
        <w:rPr>
          <w:rFonts w:ascii="Times New Roman" w:hAnsi="Times New Roman" w:eastAsia="Times New Roman"/>
          <w:b w:val="0"/>
          <w:i w:val="0"/>
          <w:color w:val="1A1A1A"/>
          <w:sz w:val="22"/>
        </w:rPr>
        <w:t>En prueba de conformidad, firman:</w:t>
      </w:r>
    </w:p>
    <w:tbl>
      <w:tblPr>
        <w:tblW w:type="auto" w:w="0"/>
        <w:tblLayout w:type="autofit"/>
        <w:tblLook w:firstColumn="1" w:firstRow="1" w:lastColumn="0" w:lastRow="0" w:noHBand="0" w:noVBand="1" w:val="04A0"/>
      </w:tblPr>
      <w:tblGrid>
        <w:gridCol w:w="4703"/>
        <w:gridCol w:w="4703"/>
      </w:tblGrid>
      <w:tr>
        <w:tc>
          <w:tcPr>
            <w:tcW w:type="dxa" w:w="4703"/>
          </w:tcPr>
          <w:p>
            <w:pPr>
              <w:jc w:val="center"/>
            </w:pPr>
            <w:r>
              <w:rPr>
                <w:rFonts w:ascii="Times New Roman" w:hAnsi="Times New Roman" w:eastAsia="Times New Roman"/>
                <w:b w:val="0"/>
                <w:i w:val="0"/>
                <w:color w:val="1A1A1A"/>
                <w:sz w:val="22"/>
              </w:rPr>
              <w:t>_______________________________</w:t>
            </w:r>
          </w:p>
        </w:tc>
        <w:tc>
          <w:tcPr>
            <w:tcW w:type="dxa" w:w="4703"/>
          </w:tcPr>
          <w:p>
            <w:pPr>
              <w:jc w:val="center"/>
            </w:pPr>
            <w:r>
              <w:rPr>
                <w:rFonts w:ascii="Times New Roman" w:hAnsi="Times New Roman" w:eastAsia="Times New Roman"/>
                <w:b w:val="0"/>
                <w:i w:val="0"/>
                <w:color w:val="1A1A1A"/>
                <w:sz w:val="22"/>
              </w:rPr>
              <w:t>_______________________________</w:t>
            </w:r>
          </w:p>
        </w:tc>
      </w:tr>
      <w:tr>
        <w:tc>
          <w:tcPr>
            <w:tcW w:type="dxa" w:w="4703"/>
          </w:tcPr>
          <w:p>
            <w:pPr>
              <w:jc w:val="center"/>
            </w:pPr>
            <w:r>
              <w:rPr>
                <w:rFonts w:ascii="Times New Roman" w:hAnsi="Times New Roman" w:eastAsia="Times New Roman"/>
                <w:b/>
                <w:i w:val="0"/>
                <w:color w:val="1A1A1A"/>
                <w:sz w:val="20"/>
              </w:rPr>
              <w:t>ZENN E.A.S. UNIPERSONAL</w:t>
            </w:r>
          </w:p>
        </w:tc>
        <w:tc>
          <w:tcPr>
            <w:tcW w:type="dxa" w:w="4703"/>
          </w:tcPr>
          <w:p>
            <w:pPr>
              <w:jc w:val="center"/>
            </w:pPr>
            <w:r>
              <w:rPr>
                <w:rFonts w:ascii="Times New Roman" w:hAnsi="Times New Roman" w:eastAsia="Times New Roman"/>
                <w:b/>
                <w:i w:val="0"/>
                <w:color w:val="1A1A1A"/>
                <w:sz w:val="20"/>
              </w:rPr>
              <w:t>[RAZÓN SOCIAL DEL CLIENTE]</w:t>
            </w:r>
          </w:p>
        </w:tc>
      </w:tr>
      <w:tr>
        <w:tc>
          <w:tcPr>
            <w:tcW w:type="dxa" w:w="4703"/>
          </w:tcPr>
          <w:p>
            <w:pPr>
              <w:jc w:val="center"/>
            </w:pPr>
            <w:r>
              <w:rPr>
                <w:rFonts w:ascii="Times New Roman" w:hAnsi="Times New Roman" w:eastAsia="Times New Roman"/>
                <w:b w:val="0"/>
                <w:i w:val="0"/>
                <w:color w:val="1A1A1A"/>
                <w:sz w:val="20"/>
              </w:rPr>
              <w:t>Josías Nicolás Machado Rolón</w:t>
            </w:r>
          </w:p>
        </w:tc>
        <w:tc>
          <w:tcPr>
            <w:tcW w:type="dxa" w:w="4703"/>
          </w:tcPr>
          <w:p>
            <w:pPr>
              <w:jc w:val="center"/>
            </w:pPr>
            <w:r>
              <w:rPr>
                <w:rFonts w:ascii="Times New Roman" w:hAnsi="Times New Roman" w:eastAsia="Times New Roman"/>
                <w:b w:val="0"/>
                <w:i w:val="0"/>
                <w:color w:val="1A1A1A"/>
                <w:sz w:val="20"/>
              </w:rPr>
              <w:t>[Nombre del Representante]</w:t>
            </w:r>
          </w:p>
        </w:tc>
      </w:tr>
      <w:tr>
        <w:tc>
          <w:tcPr>
            <w:tcW w:type="dxa" w:w="4703"/>
          </w:tcPr>
          <w:p>
            <w:pPr>
              <w:jc w:val="center"/>
            </w:pPr>
            <w:r>
              <w:rPr>
                <w:rFonts w:ascii="Times New Roman" w:hAnsi="Times New Roman" w:eastAsia="Times New Roman"/>
                <w:b w:val="0"/>
                <w:i w:val="0"/>
                <w:color w:val="1A1A1A"/>
                <w:sz w:val="18"/>
              </w:rPr>
              <w:t>RUC 80162448-7 — CI 5799267</w:t>
              <w:br/>
              <w:t>PROVEEDOR</w:t>
            </w:r>
          </w:p>
        </w:tc>
        <w:tc>
          <w:tcPr>
            <w:tcW w:type="dxa" w:w="4703"/>
          </w:tcPr>
          <w:p>
            <w:pPr>
              <w:jc w:val="center"/>
            </w:pPr>
            <w:r>
              <w:rPr>
                <w:rFonts w:ascii="Times New Roman" w:hAnsi="Times New Roman" w:eastAsia="Times New Roman"/>
                <w:b w:val="0"/>
                <w:i w:val="0"/>
                <w:color w:val="1A1A1A"/>
                <w:sz w:val="18"/>
              </w:rPr>
              <w:t>RUC [ ] — CI [ ]</w:t>
              <w:br/>
              <w:t>CLIENTE</w:t>
            </w:r>
          </w:p>
        </w:tc>
      </w:tr>
    </w:tbl>
    <w:p>
      <w:r>
        <w:br w:type="page"/>
      </w:r>
    </w:p>
    <w:p>
      <w:pPr>
        <w:spacing w:after="40" w:before="0" w:line="240" w:lineRule="auto"/>
        <w:jc w:val="center"/>
      </w:pPr>
      <w:r>
        <w:rPr>
          <w:rFonts w:ascii="Times New Roman" w:hAnsi="Times New Roman" w:eastAsia="Times New Roman"/>
          <w:b/>
          <w:i w:val="0"/>
          <w:color w:val="0B3D91"/>
          <w:sz w:val="28"/>
        </w:rPr>
        <w:t>ANEXO A</w:t>
      </w:r>
    </w:p>
    <w:p>
      <w:pPr>
        <w:spacing w:after="80" w:before="0" w:line="240" w:lineRule="auto"/>
        <w:jc w:val="center"/>
      </w:pPr>
      <w:r>
        <w:rPr>
          <w:rFonts w:ascii="Times New Roman" w:hAnsi="Times New Roman" w:eastAsia="Times New Roman"/>
          <w:b/>
          <w:i w:val="0"/>
          <w:color w:val="1A1A1A"/>
          <w:sz w:val="24"/>
        </w:rPr>
        <w:t>INVENTARIO DE FUNCIONALIDADES DEL SOFTWARE</w:t>
      </w:r>
    </w:p>
    <w:p>
      <w:pPr>
        <w:spacing w:after="200" w:before="0" w:line="240" w:lineRule="auto"/>
        <w:jc w:val="center"/>
      </w:pPr>
      <w:r>
        <w:rPr>
          <w:rFonts w:ascii="Times New Roman" w:hAnsi="Times New Roman" w:eastAsia="Times New Roman"/>
          <w:b w:val="0"/>
          <w:i/>
          <w:color w:val="1A1A1A"/>
          <w:sz w:val="22"/>
        </w:rPr>
        <w:t>“Plataforma E-commerce + ERP (base Zenn)”</w:t>
      </w:r>
    </w:p>
    <w:p>
      <w:pPr>
        <w:spacing w:after="200" w:before="0" w:line="240" w:lineRule="auto"/>
        <w:jc w:val="both"/>
      </w:pPr>
      <w:r>
        <w:rPr>
          <w:rFonts w:ascii="Times New Roman" w:hAnsi="Times New Roman" w:eastAsia="Times New Roman"/>
          <w:b w:val="0"/>
          <w:i w:val="0"/>
          <w:color w:val="1A1A1A"/>
          <w:sz w:val="22"/>
        </w:rPr>
        <w:t>El presente Anexo describe el alcance funcional incluido en el precio de USD 5.000. Todo lo no listado aquí se considera fuera de alcance y se gestiona por bolsa de horas, tarifa horaria o presupuesto específico.</w:t>
      </w:r>
    </w:p>
    <w:p>
      <w:pPr>
        <w:spacing w:before="280" w:after="160"/>
        <w:jc w:val="left"/>
        <w:pBdr>
          <w:bottom w:val="single" w:sz="6" w:space="1" w:color="B0C4DE"/>
        </w:pBdr>
      </w:pPr>
      <w:r>
        <w:rPr>
          <w:rFonts w:ascii="Times New Roman" w:hAnsi="Times New Roman" w:eastAsia="Times New Roman"/>
          <w:b/>
          <w:i w:val="0"/>
          <w:color w:val="0B3D91"/>
          <w:sz w:val="26"/>
        </w:rPr>
        <w:t>A.1. Tienda online (cliente final)</w:t>
      </w:r>
    </w:p>
    <w:p>
      <w:pPr>
        <w:spacing w:after="80" w:before="0" w:line="240" w:lineRule="auto"/>
        <w:jc w:val="both"/>
      </w:pPr>
      <w:r>
        <w:rPr>
          <w:rFonts w:ascii="Times New Roman" w:hAnsi="Times New Roman" w:eastAsia="Times New Roman"/>
          <w:b/>
          <w:i w:val="0"/>
          <w:color w:val="1A1A1A"/>
          <w:sz w:val="22"/>
        </w:rPr>
        <w:t>Página principal y navegación</w:t>
      </w:r>
    </w:p>
    <w:p>
      <w:pPr>
        <w:pStyle w:val="ListBullet"/>
        <w:spacing w:after="60"/>
        <w:jc w:val="both"/>
      </w:pPr>
      <w:r>
        <w:rPr>
          <w:rFonts w:ascii="Times New Roman" w:hAnsi="Times New Roman" w:eastAsia="Times New Roman"/>
          <w:b w:val="0"/>
          <w:i w:val="0"/>
          <w:color w:val="1A1A1A"/>
          <w:sz w:val="22"/>
        </w:rPr>
        <w:t>Home con banners, carruseles de marcas y secciones de productos destacados configurables.</w:t>
      </w:r>
    </w:p>
    <w:p>
      <w:pPr>
        <w:pStyle w:val="ListBullet"/>
        <w:spacing w:after="60"/>
        <w:jc w:val="both"/>
      </w:pPr>
      <w:r>
        <w:rPr>
          <w:rFonts w:ascii="Times New Roman" w:hAnsi="Times New Roman" w:eastAsia="Times New Roman"/>
          <w:b w:val="0"/>
          <w:i w:val="0"/>
          <w:color w:val="1A1A1A"/>
          <w:sz w:val="22"/>
        </w:rPr>
        <w:t>Menú de categorías, subcategorías y sub-subcategorías (desktop y móvil).</w:t>
      </w:r>
    </w:p>
    <w:p>
      <w:pPr>
        <w:pStyle w:val="ListBullet"/>
        <w:spacing w:after="60"/>
        <w:jc w:val="both"/>
      </w:pPr>
      <w:r>
        <w:rPr>
          <w:rFonts w:ascii="Times New Roman" w:hAnsi="Times New Roman" w:eastAsia="Times New Roman"/>
          <w:b w:val="0"/>
          <w:i w:val="0"/>
          <w:color w:val="1A1A1A"/>
          <w:sz w:val="22"/>
        </w:rPr>
        <w:t>Versión optimizada para celular; botón de WhatsApp; página institucional (“Nosotros”).</w:t>
      </w:r>
    </w:p>
    <w:p>
      <w:pPr>
        <w:spacing w:after="80" w:before="0" w:line="240" w:lineRule="auto"/>
        <w:jc w:val="both"/>
      </w:pPr>
      <w:r>
        <w:rPr>
          <w:rFonts w:ascii="Times New Roman" w:hAnsi="Times New Roman" w:eastAsia="Times New Roman"/>
          <w:b/>
          <w:i w:val="0"/>
          <w:color w:val="1A1A1A"/>
          <w:sz w:val="22"/>
        </w:rPr>
        <w:t>Catálogo de productos</w:t>
      </w:r>
    </w:p>
    <w:p>
      <w:pPr>
        <w:pStyle w:val="ListBullet"/>
        <w:spacing w:after="60"/>
        <w:jc w:val="both"/>
      </w:pPr>
      <w:r>
        <w:rPr>
          <w:rFonts w:ascii="Times New Roman" w:hAnsi="Times New Roman" w:eastAsia="Times New Roman"/>
          <w:b w:val="0"/>
          <w:i w:val="0"/>
          <w:color w:val="1A1A1A"/>
          <w:sz w:val="22"/>
        </w:rPr>
        <w:t>Organización por categorías/subcategorías; ficha con galería, zoom, precio, stock, especificaciones y relacionados.</w:t>
      </w:r>
    </w:p>
    <w:p>
      <w:pPr>
        <w:pStyle w:val="ListBullet"/>
        <w:spacing w:after="60"/>
        <w:jc w:val="both"/>
      </w:pPr>
      <w:r>
        <w:rPr>
          <w:rFonts w:ascii="Times New Roman" w:hAnsi="Times New Roman" w:eastAsia="Times New Roman"/>
          <w:b w:val="0"/>
          <w:i w:val="0"/>
          <w:color w:val="1A1A1A"/>
          <w:sz w:val="22"/>
        </w:rPr>
        <w:t>URLs amigables y optimización SEO básica.</w:t>
      </w:r>
    </w:p>
    <w:p>
      <w:pPr>
        <w:spacing w:after="80" w:before="0" w:line="240" w:lineRule="auto"/>
        <w:jc w:val="both"/>
      </w:pPr>
      <w:r>
        <w:rPr>
          <w:rFonts w:ascii="Times New Roman" w:hAnsi="Times New Roman" w:eastAsia="Times New Roman"/>
          <w:b/>
          <w:i w:val="0"/>
          <w:color w:val="1A1A1A"/>
          <w:sz w:val="22"/>
        </w:rPr>
        <w:t>Buscador y filtros</w:t>
      </w:r>
    </w:p>
    <w:p>
      <w:pPr>
        <w:pStyle w:val="ListBullet"/>
        <w:spacing w:after="60"/>
        <w:jc w:val="both"/>
      </w:pPr>
      <w:r>
        <w:rPr>
          <w:rFonts w:ascii="Times New Roman" w:hAnsi="Times New Roman" w:eastAsia="Times New Roman"/>
          <w:b w:val="0"/>
          <w:i w:val="0"/>
          <w:color w:val="1A1A1A"/>
          <w:sz w:val="22"/>
        </w:rPr>
        <w:t>Buscador con vista previa; búsqueda avanzada; filtros por marca, especificaciones y precio.</w:t>
      </w:r>
    </w:p>
    <w:p>
      <w:pPr>
        <w:spacing w:after="80" w:before="0" w:line="240" w:lineRule="auto"/>
        <w:jc w:val="both"/>
      </w:pPr>
      <w:r>
        <w:rPr>
          <w:rFonts w:ascii="Times New Roman" w:hAnsi="Times New Roman" w:eastAsia="Times New Roman"/>
          <w:b/>
          <w:i w:val="0"/>
          <w:color w:val="1A1A1A"/>
          <w:sz w:val="22"/>
        </w:rPr>
        <w:t>Carrito de compras</w:t>
      </w:r>
    </w:p>
    <w:p>
      <w:pPr>
        <w:pStyle w:val="ListBullet"/>
        <w:spacing w:after="60"/>
        <w:jc w:val="both"/>
      </w:pPr>
      <w:r>
        <w:rPr>
          <w:rFonts w:ascii="Times New Roman" w:hAnsi="Times New Roman" w:eastAsia="Times New Roman"/>
          <w:b w:val="0"/>
          <w:i w:val="0"/>
          <w:color w:val="1A1A1A"/>
          <w:sz w:val="22"/>
        </w:rPr>
        <w:t>Carrito usable sin login; contador visible; ajuste de cantidades y totales.</w:t>
      </w:r>
    </w:p>
    <w:p>
      <w:pPr>
        <w:spacing w:after="80" w:before="0" w:line="240" w:lineRule="auto"/>
        <w:jc w:val="both"/>
      </w:pPr>
      <w:r>
        <w:rPr>
          <w:rFonts w:ascii="Times New Roman" w:hAnsi="Times New Roman" w:eastAsia="Times New Roman"/>
          <w:b/>
          <w:i w:val="0"/>
          <w:color w:val="1A1A1A"/>
          <w:sz w:val="22"/>
        </w:rPr>
        <w:t>Cobro / Pago – Bancard (Fase 2)</w:t>
      </w:r>
    </w:p>
    <w:p>
      <w:pPr>
        <w:pStyle w:val="ListBullet"/>
        <w:spacing w:after="60"/>
        <w:jc w:val="both"/>
      </w:pPr>
      <w:r>
        <w:rPr>
          <w:rFonts w:ascii="Times New Roman" w:hAnsi="Times New Roman" w:eastAsia="Times New Roman"/>
          <w:b w:val="0"/>
          <w:i w:val="0"/>
          <w:color w:val="1A1A1A"/>
          <w:sz w:val="22"/>
        </w:rPr>
        <w:t>Cobro online con tarjeta (Bancard); tarjeta nueva; tarjetas guardadas; pago con saldo/billetera.</w:t>
      </w:r>
    </w:p>
    <w:p>
      <w:pPr>
        <w:pStyle w:val="ListBullet"/>
        <w:spacing w:after="60"/>
        <w:jc w:val="both"/>
      </w:pPr>
      <w:r>
        <w:rPr>
          <w:rFonts w:ascii="Times New Roman" w:hAnsi="Times New Roman" w:eastAsia="Times New Roman"/>
          <w:b w:val="0"/>
          <w:i w:val="0"/>
          <w:color w:val="1A1A1A"/>
          <w:sz w:val="22"/>
        </w:rPr>
        <w:t>Facturación, RUC e IVA; pantallas de éxito/cancelación; rollback administrativo.</w:t>
      </w:r>
    </w:p>
    <w:p>
      <w:pPr>
        <w:spacing w:after="80" w:before="0" w:line="240" w:lineRule="auto"/>
        <w:jc w:val="both"/>
      </w:pPr>
      <w:r>
        <w:rPr>
          <w:rFonts w:ascii="Times New Roman" w:hAnsi="Times New Roman" w:eastAsia="Times New Roman"/>
          <w:b/>
          <w:i w:val="0"/>
          <w:color w:val="1A1A1A"/>
          <w:sz w:val="22"/>
        </w:rPr>
        <w:t>Ubicación / entrega</w:t>
      </w:r>
    </w:p>
    <w:p>
      <w:pPr>
        <w:pStyle w:val="ListBullet"/>
        <w:spacing w:after="60"/>
        <w:jc w:val="both"/>
      </w:pPr>
      <w:r>
        <w:rPr>
          <w:rFonts w:ascii="Times New Roman" w:hAnsi="Times New Roman" w:eastAsia="Times New Roman"/>
          <w:b w:val="0"/>
          <w:i w:val="0"/>
          <w:color w:val="1A1A1A"/>
          <w:sz w:val="22"/>
        </w:rPr>
        <w:t>Carga de dirección en perfil y checkout; selector de ubicación / geolocalización.</w:t>
      </w:r>
    </w:p>
    <w:p>
      <w:pPr>
        <w:spacing w:after="80" w:before="0" w:line="240" w:lineRule="auto"/>
        <w:jc w:val="both"/>
      </w:pPr>
      <w:r>
        <w:rPr>
          <w:rFonts w:ascii="Times New Roman" w:hAnsi="Times New Roman" w:eastAsia="Times New Roman"/>
          <w:b/>
          <w:i w:val="0"/>
          <w:color w:val="1A1A1A"/>
          <w:sz w:val="22"/>
        </w:rPr>
        <w:t>Perfil del cliente</w:t>
      </w:r>
    </w:p>
    <w:p>
      <w:pPr>
        <w:pStyle w:val="ListBullet"/>
        <w:spacing w:after="60"/>
        <w:jc w:val="both"/>
      </w:pPr>
      <w:r>
        <w:rPr>
          <w:rFonts w:ascii="Times New Roman" w:hAnsi="Times New Roman" w:eastAsia="Times New Roman"/>
          <w:b w:val="0"/>
          <w:i w:val="0"/>
          <w:color w:val="1A1A1A"/>
          <w:sz w:val="22"/>
        </w:rPr>
        <w:t>Datos personales, foto, dirección, tarjetas, saldo, historial, favoritos, configuración.</w:t>
      </w:r>
    </w:p>
    <w:p>
      <w:pPr>
        <w:pStyle w:val="ListBullet"/>
        <w:spacing w:after="60"/>
        <w:jc w:val="both"/>
      </w:pPr>
      <w:r>
        <w:rPr>
          <w:rFonts w:ascii="Times New Roman" w:hAnsi="Times New Roman" w:eastAsia="Times New Roman"/>
          <w:b w:val="0"/>
          <w:i w:val="0"/>
          <w:color w:val="1A1A1A"/>
          <w:sz w:val="22"/>
        </w:rPr>
        <w:t>Registro, login y recuperación de contraseña por email.</w:t>
      </w:r>
    </w:p>
    <w:p>
      <w:pPr>
        <w:spacing w:after="80" w:before="0" w:line="240" w:lineRule="auto"/>
        <w:jc w:val="both"/>
      </w:pPr>
      <w:r>
        <w:rPr>
          <w:rFonts w:ascii="Times New Roman" w:hAnsi="Times New Roman" w:eastAsia="Times New Roman"/>
          <w:b/>
          <w:i w:val="0"/>
          <w:color w:val="1A1A1A"/>
          <w:sz w:val="22"/>
        </w:rPr>
        <w:t>Post-venta</w:t>
      </w:r>
    </w:p>
    <w:p>
      <w:pPr>
        <w:pStyle w:val="ListBullet"/>
        <w:spacing w:after="60"/>
        <w:jc w:val="both"/>
      </w:pPr>
      <w:r>
        <w:rPr>
          <w:rFonts w:ascii="Times New Roman" w:hAnsi="Times New Roman" w:eastAsia="Times New Roman"/>
          <w:b w:val="0"/>
          <w:i w:val="0"/>
          <w:color w:val="1A1A1A"/>
          <w:sz w:val="22"/>
        </w:rPr>
        <w:t>Detalle de pedido; seguimiento de entrega; emails automáticos; calificación del pedido.</w:t>
      </w:r>
    </w:p>
    <w:p>
      <w:pPr>
        <w:spacing w:before="280" w:after="160"/>
        <w:jc w:val="left"/>
        <w:pBdr>
          <w:bottom w:val="single" w:sz="6" w:space="1" w:color="B0C4DE"/>
        </w:pBdr>
      </w:pPr>
      <w:r>
        <w:rPr>
          <w:rFonts w:ascii="Times New Roman" w:hAnsi="Times New Roman" w:eastAsia="Times New Roman"/>
          <w:b/>
          <w:i w:val="0"/>
          <w:color w:val="0B3D91"/>
          <w:sz w:val="26"/>
        </w:rPr>
        <w:t>A.2. Panel de administración (ERP / back office)</w:t>
      </w:r>
    </w:p>
    <w:p>
      <w:pPr>
        <w:pStyle w:val="ListBullet"/>
        <w:spacing w:after="60"/>
        <w:jc w:val="both"/>
      </w:pPr>
      <w:r>
        <w:rPr>
          <w:rFonts w:ascii="Times New Roman" w:hAnsi="Times New Roman" w:eastAsia="Times New Roman"/>
          <w:b w:val="0"/>
          <w:i w:val="0"/>
          <w:color w:val="1A1A1A"/>
          <w:sz w:val="22"/>
        </w:rPr>
        <w:t>Dashboard financiero, reportes de rentabilidad/márgenes, estado de cuenta, métricas anuales, análisis financiero por producto.</w:t>
      </w:r>
    </w:p>
    <w:p>
      <w:pPr>
        <w:pStyle w:val="ListBullet"/>
        <w:spacing w:after="60"/>
        <w:jc w:val="both"/>
      </w:pPr>
      <w:r>
        <w:rPr>
          <w:rFonts w:ascii="Times New Roman" w:hAnsi="Times New Roman" w:eastAsia="Times New Roman"/>
          <w:b w:val="0"/>
          <w:i w:val="0"/>
          <w:color w:val="1A1A1A"/>
          <w:sz w:val="22"/>
        </w:rPr>
        <w:t>Ventas (POS interno), multi-moneda PYG/USD, IVA, RUC, adjuntos; tipos de venta, sucursales y vendedores.</w:t>
      </w:r>
    </w:p>
    <w:p>
      <w:pPr>
        <w:pStyle w:val="ListBullet"/>
        <w:spacing w:after="60"/>
        <w:jc w:val="both"/>
      </w:pPr>
      <w:r>
        <w:rPr>
          <w:rFonts w:ascii="Times New Roman" w:hAnsi="Times New Roman" w:eastAsia="Times New Roman"/>
          <w:b w:val="0"/>
          <w:i w:val="0"/>
          <w:color w:val="1A1A1A"/>
          <w:sz w:val="22"/>
        </w:rPr>
        <w:t>Compras a proveedores; tipos de compra; gestión de proveedores.</w:t>
      </w:r>
    </w:p>
    <w:p>
      <w:pPr>
        <w:pStyle w:val="ListBullet"/>
        <w:spacing w:after="60"/>
        <w:jc w:val="both"/>
      </w:pPr>
      <w:r>
        <w:rPr>
          <w:rFonts w:ascii="Times New Roman" w:hAnsi="Times New Roman" w:eastAsia="Times New Roman"/>
          <w:b w:val="0"/>
          <w:i w:val="0"/>
          <w:color w:val="1A1A1A"/>
          <w:sz w:val="22"/>
        </w:rPr>
        <w:t>Clientes y presupuestos (CRM) con PDF y envío por email.</w:t>
      </w:r>
    </w:p>
    <w:p>
      <w:pPr>
        <w:pStyle w:val="ListBullet"/>
        <w:spacing w:after="60"/>
        <w:jc w:val="both"/>
      </w:pPr>
      <w:r>
        <w:rPr>
          <w:rFonts w:ascii="Times New Roman" w:hAnsi="Times New Roman" w:eastAsia="Times New Roman"/>
          <w:b w:val="0"/>
          <w:i w:val="0"/>
          <w:color w:val="1A1A1A"/>
          <w:sz w:val="22"/>
        </w:rPr>
        <w:t>Gestión de productos, imágenes con optimización WebP, especificaciones dinámicas, categorías, tipo de cambio USD/PYG y stock.</w:t>
      </w:r>
    </w:p>
    <w:p>
      <w:pPr>
        <w:pStyle w:val="ListBullet"/>
        <w:spacing w:after="60"/>
        <w:jc w:val="both"/>
      </w:pPr>
      <w:r>
        <w:rPr>
          <w:rFonts w:ascii="Times New Roman" w:hAnsi="Times New Roman" w:eastAsia="Times New Roman"/>
          <w:b w:val="0"/>
          <w:i w:val="0"/>
          <w:color w:val="1A1A1A"/>
          <w:sz w:val="22"/>
        </w:rPr>
        <w:t>Transacciones Bancard, delivery, rollback y exportación a Excel.</w:t>
      </w:r>
    </w:p>
    <w:p>
      <w:pPr>
        <w:pStyle w:val="ListBullet"/>
        <w:spacing w:after="60"/>
        <w:jc w:val="both"/>
      </w:pPr>
      <w:r>
        <w:rPr>
          <w:rFonts w:ascii="Times New Roman" w:hAnsi="Times New Roman" w:eastAsia="Times New Roman"/>
          <w:b w:val="0"/>
          <w:i w:val="0"/>
          <w:color w:val="1A1A1A"/>
          <w:sz w:val="22"/>
        </w:rPr>
        <w:t>Usuarios y permisos (ROOT/ADMIN/GENERAL) granulares por módulo.</w:t>
      </w:r>
    </w:p>
    <w:p>
      <w:pPr>
        <w:pStyle w:val="ListBullet"/>
        <w:spacing w:after="60"/>
        <w:jc w:val="both"/>
      </w:pPr>
      <w:r>
        <w:rPr>
          <w:rFonts w:ascii="Times New Roman" w:hAnsi="Times New Roman" w:eastAsia="Times New Roman"/>
          <w:b w:val="0"/>
          <w:i w:val="0"/>
          <w:color w:val="1A1A1A"/>
          <w:sz w:val="22"/>
        </w:rPr>
        <w:t>Configuración centralizada de parámetros operativos.</w:t>
      </w:r>
    </w:p>
    <w:p>
      <w:pPr>
        <w:spacing w:before="280" w:after="160"/>
        <w:jc w:val="left"/>
        <w:pBdr>
          <w:bottom w:val="single" w:sz="6" w:space="1" w:color="B0C4DE"/>
        </w:pBdr>
      </w:pPr>
      <w:r>
        <w:rPr>
          <w:rFonts w:ascii="Times New Roman" w:hAnsi="Times New Roman" w:eastAsia="Times New Roman"/>
          <w:b/>
          <w:i w:val="0"/>
          <w:color w:val="0B3D91"/>
          <w:sz w:val="26"/>
        </w:rPr>
        <w:t>A.3. Automatización y carga de productos</w:t>
      </w:r>
    </w:p>
    <w:p>
      <w:pPr>
        <w:pStyle w:val="ListBullet"/>
        <w:spacing w:after="60"/>
        <w:jc w:val="both"/>
      </w:pPr>
      <w:r>
        <w:rPr>
          <w:rFonts w:ascii="Times New Roman" w:hAnsi="Times New Roman" w:eastAsia="Times New Roman"/>
          <w:b w:val="0"/>
          <w:i w:val="0"/>
          <w:color w:val="1A1A1A"/>
          <w:sz w:val="22"/>
        </w:rPr>
        <w:t>Lectura/sincronización automática desde Visão Vip (categorías, specs, imágenes, precios, stock, margen).</w:t>
      </w:r>
    </w:p>
    <w:p>
      <w:pPr>
        <w:pStyle w:val="ListBullet"/>
        <w:spacing w:after="60"/>
        <w:jc w:val="both"/>
      </w:pPr>
      <w:r>
        <w:rPr>
          <w:rFonts w:ascii="Times New Roman" w:hAnsi="Times New Roman" w:eastAsia="Times New Roman"/>
          <w:b w:val="0"/>
          <w:i w:val="0"/>
          <w:color w:val="1A1A1A"/>
          <w:sz w:val="22"/>
        </w:rPr>
        <w:t>Sincronización de inventario por CSV (altas, bajas, precios, visibilidad).</w:t>
      </w:r>
    </w:p>
    <w:p>
      <w:pPr>
        <w:pStyle w:val="ListBullet"/>
        <w:spacing w:after="60"/>
        <w:jc w:val="both"/>
      </w:pPr>
      <w:r>
        <w:rPr>
          <w:rFonts w:ascii="Times New Roman" w:hAnsi="Times New Roman" w:eastAsia="Times New Roman"/>
          <w:b w:val="0"/>
          <w:i w:val="0"/>
          <w:color w:val="1A1A1A"/>
          <w:sz w:val="22"/>
        </w:rPr>
        <w:t>Exportación masiva a Excel (con imágenes en ZIP) y utilitarios de mantenimiento.</w:t>
      </w:r>
    </w:p>
    <w:p>
      <w:pPr>
        <w:spacing w:before="280" w:after="160"/>
        <w:jc w:val="left"/>
        <w:pBdr>
          <w:bottom w:val="single" w:sz="6" w:space="1" w:color="B0C4DE"/>
        </w:pBdr>
      </w:pPr>
      <w:r>
        <w:rPr>
          <w:rFonts w:ascii="Times New Roman" w:hAnsi="Times New Roman" w:eastAsia="Times New Roman"/>
          <w:b/>
          <w:i w:val="0"/>
          <w:color w:val="0B3D91"/>
          <w:sz w:val="26"/>
        </w:rPr>
        <w:t>A.4. Herramientas comerciales y marketing</w:t>
      </w:r>
    </w:p>
    <w:p>
      <w:pPr>
        <w:pStyle w:val="ListBullet"/>
        <w:spacing w:after="60"/>
        <w:jc w:val="both"/>
      </w:pPr>
      <w:r>
        <w:rPr>
          <w:rFonts w:ascii="Times New Roman" w:hAnsi="Times New Roman" w:eastAsia="Times New Roman"/>
          <w:b w:val="0"/>
          <w:i w:val="0"/>
          <w:color w:val="1A1A1A"/>
          <w:sz w:val="22"/>
        </w:rPr>
        <w:t>Catálogo PDF; PDF de presupuestos y reportes; editor de imágenes de productos.</w:t>
      </w:r>
    </w:p>
    <w:p>
      <w:pPr>
        <w:pStyle w:val="ListBullet"/>
        <w:spacing w:after="60"/>
        <w:jc w:val="both"/>
      </w:pPr>
      <w:r>
        <w:rPr>
          <w:rFonts w:ascii="Times New Roman" w:hAnsi="Times New Roman" w:eastAsia="Times New Roman"/>
          <w:b w:val="0"/>
          <w:i w:val="0"/>
          <w:color w:val="1A1A1A"/>
          <w:sz w:val="22"/>
        </w:rPr>
        <w:t>Feed de productos para Meta/Facebook; Meta Pixel; Google Analytics; emails transaccionales.</w:t>
      </w:r>
    </w:p>
    <w:p>
      <w:pPr>
        <w:spacing w:before="280" w:after="160"/>
        <w:jc w:val="left"/>
        <w:pBdr>
          <w:bottom w:val="single" w:sz="6" w:space="1" w:color="B0C4DE"/>
        </w:pBdr>
      </w:pPr>
      <w:r>
        <w:rPr>
          <w:rFonts w:ascii="Times New Roman" w:hAnsi="Times New Roman" w:eastAsia="Times New Roman"/>
          <w:b/>
          <w:i w:val="0"/>
          <w:color w:val="0B3D91"/>
          <w:sz w:val="26"/>
        </w:rPr>
        <w:t>A.5. Servicios incluidos en el precio cerrado (además del Software)</w:t>
      </w:r>
    </w:p>
    <w:p>
      <w:pPr>
        <w:pStyle w:val="ListBullet"/>
        <w:spacing w:after="60"/>
        <w:jc w:val="both"/>
      </w:pPr>
      <w:r>
        <w:rPr>
          <w:rFonts w:ascii="Times New Roman" w:hAnsi="Times New Roman" w:eastAsia="Times New Roman"/>
          <w:b w:val="0"/>
          <w:i w:val="0"/>
          <w:color w:val="1A1A1A"/>
          <w:sz w:val="22"/>
        </w:rPr>
        <w:t>Implementación Fase 1 y Fase 2; diseño de marca aplicado; montaje/configuración inicial y transferencia de accesos.</w:t>
      </w:r>
    </w:p>
    <w:p>
      <w:pPr>
        <w:pStyle w:val="ListBullet"/>
        <w:spacing w:after="60"/>
        <w:jc w:val="both"/>
      </w:pPr>
      <w:r>
        <w:rPr>
          <w:rFonts w:ascii="Times New Roman" w:hAnsi="Times New Roman" w:eastAsia="Times New Roman"/>
          <w:b w:val="0"/>
          <w:i w:val="0"/>
          <w:color w:val="1A1A1A"/>
          <w:sz w:val="22"/>
        </w:rPr>
        <w:t>Una (1) licencia de uso propio conforme a la Cláusula Tercera; entrega de código fuente en GitHub.</w:t>
      </w:r>
    </w:p>
    <w:p>
      <w:pPr>
        <w:pStyle w:val="ListBullet"/>
        <w:spacing w:after="60"/>
        <w:jc w:val="both"/>
      </w:pPr>
      <w:r>
        <w:rPr>
          <w:rFonts w:ascii="Times New Roman" w:hAnsi="Times New Roman" w:eastAsia="Times New Roman"/>
          <w:b w:val="0"/>
          <w:i w:val="0"/>
          <w:color w:val="1A1A1A"/>
          <w:sz w:val="22"/>
        </w:rPr>
        <w:t>Diez (10) horas de capacitación; treinta (30) horas de desarrollo adicional (features fuera del inventario o diferenciaciones).</w:t>
      </w:r>
    </w:p>
    <w:p>
      <w:pPr>
        <w:pStyle w:val="ListBullet"/>
        <w:spacing w:after="60"/>
        <w:jc w:val="both"/>
      </w:pPr>
      <w:r>
        <w:rPr>
          <w:rFonts w:ascii="Times New Roman" w:hAnsi="Times New Roman" w:eastAsia="Times New Roman"/>
          <w:b w:val="0"/>
          <w:i w:val="0"/>
          <w:color w:val="1A1A1A"/>
          <w:sz w:val="22"/>
        </w:rPr>
        <w:t>Cuarenta (40) días de garantía de bugs post-aceptación de Fase 2.</w:t>
      </w:r>
    </w:p>
    <w:p>
      <w:pPr>
        <w:spacing w:before="280" w:after="160"/>
        <w:jc w:val="left"/>
        <w:pBdr>
          <w:bottom w:val="single" w:sz="6" w:space="1" w:color="B0C4DE"/>
        </w:pBdr>
      </w:pPr>
      <w:r>
        <w:rPr>
          <w:rFonts w:ascii="Times New Roman" w:hAnsi="Times New Roman" w:eastAsia="Times New Roman"/>
          <w:b/>
          <w:i w:val="0"/>
          <w:color w:val="0B3D91"/>
          <w:sz w:val="26"/>
        </w:rPr>
        <w:t>A.6. Fuera de alcance (se cotiza / horas)</w:t>
      </w:r>
    </w:p>
    <w:p>
      <w:pPr>
        <w:pStyle w:val="ListBullet"/>
        <w:spacing w:after="60"/>
        <w:jc w:val="both"/>
      </w:pPr>
      <w:r>
        <w:rPr>
          <w:rFonts w:ascii="Times New Roman" w:hAnsi="Times New Roman" w:eastAsia="Times New Roman"/>
          <w:b w:val="0"/>
          <w:i w:val="0"/>
          <w:color w:val="1A1A1A"/>
          <w:sz w:val="22"/>
        </w:rPr>
        <w:t>Cualquier módulo o función no listada en este Anexo.</w:t>
      </w:r>
    </w:p>
    <w:p>
      <w:pPr>
        <w:pStyle w:val="ListBullet"/>
        <w:spacing w:after="60"/>
        <w:jc w:val="both"/>
      </w:pPr>
      <w:r>
        <w:rPr>
          <w:rFonts w:ascii="Times New Roman" w:hAnsi="Times New Roman" w:eastAsia="Times New Roman"/>
          <w:b w:val="0"/>
          <w:i w:val="0"/>
          <w:color w:val="1A1A1A"/>
          <w:sz w:val="22"/>
        </w:rPr>
        <w:t>App móvil nativa; desarrollos a medida no previstos; integraciones nuevas no contempladas.</w:t>
      </w:r>
    </w:p>
    <w:p>
      <w:pPr>
        <w:pStyle w:val="ListBullet"/>
        <w:spacing w:after="60"/>
        <w:jc w:val="both"/>
      </w:pPr>
      <w:r>
        <w:rPr>
          <w:rFonts w:ascii="Times New Roman" w:hAnsi="Times New Roman" w:eastAsia="Times New Roman"/>
          <w:b w:val="0"/>
          <w:i w:val="0"/>
          <w:color w:val="1A1A1A"/>
          <w:sz w:val="22"/>
        </w:rPr>
        <w:t>Campañas publicitarias, community management, producción de contenido, y costos de infraestructura de terceros.</w:t>
      </w:r>
    </w:p>
    <w:p>
      <w:pPr>
        <w:pStyle w:val="ListBullet"/>
        <w:spacing w:after="60"/>
        <w:jc w:val="both"/>
      </w:pPr>
      <w:r>
        <w:rPr>
          <w:rFonts w:ascii="Times New Roman" w:hAnsi="Times New Roman" w:eastAsia="Times New Roman"/>
          <w:b w:val="0"/>
          <w:i w:val="0"/>
          <w:color w:val="1A1A1A"/>
          <w:sz w:val="22"/>
        </w:rPr>
        <w:t>Soporte y mantenimiento posteriores a la garantía, a USD 15/hora por demanda.</w:t>
      </w:r>
    </w:p>
    <w:p>
      <w:pPr>
        <w:spacing w:after="320" w:before="0" w:line="240" w:lineRule="auto"/>
        <w:jc w:val="both"/>
      </w:pPr>
    </w:p>
    <w:p>
      <w:pPr>
        <w:spacing w:after="480" w:before="0" w:line="240" w:lineRule="auto"/>
        <w:jc w:val="both"/>
      </w:pPr>
      <w:r>
        <w:rPr>
          <w:rFonts w:ascii="Times New Roman" w:hAnsi="Times New Roman" w:eastAsia="Times New Roman"/>
          <w:b w:val="0"/>
          <w:i w:val="0"/>
          <w:color w:val="1A1A1A"/>
          <w:sz w:val="22"/>
        </w:rPr>
        <w:t>Las Partes dejan constancia de haber leído y aceptado el presente Anexo A en la misma fecha del Contrato.</w:t>
      </w:r>
    </w:p>
    <w:tbl>
      <w:tblPr>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eastAsia="Times New Roman"/>
                <w:b w:val="0"/>
                <w:i w:val="0"/>
                <w:color w:val="1A1A1A"/>
                <w:sz w:val="22"/>
              </w:rPr>
              <w:t>_______________________________</w:t>
            </w:r>
          </w:p>
        </w:tc>
        <w:tc>
          <w:tcPr>
            <w:tcW w:type="dxa" w:w="4703"/>
          </w:tcPr>
          <w:p>
            <w:pPr>
              <w:jc w:val="center"/>
            </w:pPr>
            <w:r>
              <w:rPr>
                <w:rFonts w:ascii="Times New Roman" w:hAnsi="Times New Roman" w:eastAsia="Times New Roman"/>
                <w:b w:val="0"/>
                <w:i w:val="0"/>
                <w:color w:val="1A1A1A"/>
                <w:sz w:val="22"/>
              </w:rPr>
              <w:t>_______________________________</w:t>
            </w:r>
          </w:p>
        </w:tc>
      </w:tr>
      <w:tr>
        <w:tc>
          <w:tcPr>
            <w:tcW w:type="dxa" w:w="4703"/>
          </w:tcPr>
          <w:p>
            <w:pPr>
              <w:jc w:val="center"/>
            </w:pPr>
            <w:r>
              <w:rPr>
                <w:rFonts w:ascii="Times New Roman" w:hAnsi="Times New Roman" w:eastAsia="Times New Roman"/>
                <w:b/>
                <w:i w:val="0"/>
                <w:color w:val="1A1A1A"/>
                <w:sz w:val="20"/>
              </w:rPr>
              <w:t>ZENN E.A.S. UNIPERSONAL</w:t>
            </w:r>
          </w:p>
        </w:tc>
        <w:tc>
          <w:tcPr>
            <w:tcW w:type="dxa" w:w="4703"/>
          </w:tcPr>
          <w:p>
            <w:pPr>
              <w:jc w:val="center"/>
            </w:pPr>
            <w:r>
              <w:rPr>
                <w:rFonts w:ascii="Times New Roman" w:hAnsi="Times New Roman" w:eastAsia="Times New Roman"/>
                <w:b/>
                <w:i w:val="0"/>
                <w:color w:val="1A1A1A"/>
                <w:sz w:val="20"/>
              </w:rPr>
              <w:t>[CLIENTE – RAZÓN SOCIAL]</w:t>
            </w:r>
          </w:p>
        </w:tc>
      </w:tr>
      <w:tr>
        <w:tc>
          <w:tcPr>
            <w:tcW w:type="dxa" w:w="4703"/>
          </w:tcPr>
          <w:p>
            <w:pPr>
              <w:jc w:val="center"/>
            </w:pPr>
            <w:r>
              <w:rPr>
                <w:rFonts w:ascii="Times New Roman" w:hAnsi="Times New Roman" w:eastAsia="Times New Roman"/>
                <w:b w:val="0"/>
                <w:i/>
                <w:color w:val="1A1A1A"/>
                <w:sz w:val="18"/>
              </w:rPr>
              <w:t>Firma y aclaración</w:t>
            </w:r>
          </w:p>
        </w:tc>
        <w:tc>
          <w:tcPr>
            <w:tcW w:type="dxa" w:w="4703"/>
          </w:tcPr>
          <w:p>
            <w:pPr>
              <w:jc w:val="center"/>
            </w:pPr>
            <w:r>
              <w:rPr>
                <w:rFonts w:ascii="Times New Roman" w:hAnsi="Times New Roman" w:eastAsia="Times New Roman"/>
                <w:b w:val="0"/>
                <w:i/>
                <w:color w:val="1A1A1A"/>
                <w:sz w:val="18"/>
              </w:rPr>
              <w:t>Firma y aclaración</w:t>
            </w:r>
          </w:p>
        </w:tc>
      </w:tr>
    </w:tbl>
    <w:p>
      <w:r>
        <w:br w:type="page"/>
      </w:r>
    </w:p>
    <w:p>
      <w:pPr>
        <w:spacing w:after="40" w:before="0" w:line="240" w:lineRule="auto"/>
        <w:jc w:val="center"/>
      </w:pPr>
      <w:r>
        <w:rPr>
          <w:rFonts w:ascii="Times New Roman" w:hAnsi="Times New Roman" w:eastAsia="Times New Roman"/>
          <w:b/>
          <w:i w:val="0"/>
          <w:color w:val="0B3D91"/>
          <w:sz w:val="28"/>
        </w:rPr>
        <w:t>ANEXO B</w:t>
      </w:r>
    </w:p>
    <w:p>
      <w:pPr>
        <w:spacing w:after="240" w:before="0" w:line="240" w:lineRule="auto"/>
        <w:jc w:val="center"/>
      </w:pPr>
      <w:r>
        <w:rPr>
          <w:rFonts w:ascii="Times New Roman" w:hAnsi="Times New Roman" w:eastAsia="Times New Roman"/>
          <w:b/>
          <w:i w:val="0"/>
          <w:color w:val="1A1A1A"/>
          <w:sz w:val="24"/>
        </w:rPr>
        <w:t>MODELO DE ACTA DE ACEPTACIÓN DE FASE</w:t>
      </w:r>
    </w:p>
    <w:p>
      <w:pPr>
        <w:spacing w:after="200" w:before="0" w:line="240" w:lineRule="auto"/>
        <w:jc w:val="both"/>
      </w:pPr>
      <w:r>
        <w:rPr>
          <w:rFonts w:ascii="Times New Roman" w:hAnsi="Times New Roman" w:eastAsia="Times New Roman"/>
          <w:b/>
          <w:i w:val="0"/>
          <w:color w:val="1A1A1A"/>
          <w:sz w:val="22"/>
        </w:rPr>
        <w:t>Acta de Aceptación – Fase N.º ____ (1 / 2)</w:t>
      </w:r>
    </w:p>
    <w:p>
      <w:pPr>
        <w:spacing w:after="160" w:before="0" w:line="240" w:lineRule="auto"/>
        <w:jc w:val="both"/>
      </w:pPr>
      <w:r>
        <w:rPr>
          <w:rFonts w:ascii="Times New Roman" w:hAnsi="Times New Roman" w:eastAsia="Times New Roman"/>
          <w:b w:val="0"/>
          <w:i w:val="0"/>
          <w:color w:val="1A1A1A"/>
          <w:sz w:val="22"/>
        </w:rPr>
        <w:t>Fecha: ____ / ____ / ________    Proyecto: Plataforma E-commerce + ERP (base Zenn)</w:t>
      </w:r>
    </w:p>
    <w:p>
      <w:pPr>
        <w:spacing w:after="120" w:before="0" w:line="240" w:lineRule="auto"/>
        <w:jc w:val="both"/>
      </w:pPr>
      <w:r>
        <w:rPr>
          <w:rFonts w:ascii="Times New Roman" w:hAnsi="Times New Roman" w:eastAsia="Times New Roman"/>
          <w:b w:val="0"/>
          <w:i w:val="0"/>
          <w:color w:val="1A1A1A"/>
          <w:sz w:val="22"/>
        </w:rPr>
        <w:t>El CLIENTE declara haber revisado los entregables de la Fase indicada, conforme al Contrato y al Anexo A, y manifiesta (marcar una opción):</w:t>
      </w:r>
    </w:p>
    <w:p>
      <w:pPr>
        <w:pStyle w:val="ListBullet"/>
        <w:spacing w:after="60"/>
        <w:jc w:val="both"/>
      </w:pPr>
      <w:r>
        <w:rPr>
          <w:rFonts w:ascii="Times New Roman" w:hAnsi="Times New Roman" w:eastAsia="Times New Roman"/>
          <w:b w:val="0"/>
          <w:i w:val="0"/>
          <w:color w:val="1A1A1A"/>
          <w:sz w:val="22"/>
        </w:rPr>
        <w:t>ACEPTACIÓN TOTAL: la Fase se considera concluida a satisfacción.</w:t>
      </w:r>
    </w:p>
    <w:p>
      <w:pPr>
        <w:pStyle w:val="ListBullet"/>
        <w:spacing w:after="60"/>
        <w:jc w:val="both"/>
      </w:pPr>
      <w:r>
        <w:rPr>
          <w:rFonts w:ascii="Times New Roman" w:hAnsi="Times New Roman" w:eastAsia="Times New Roman"/>
          <w:b w:val="0"/>
          <w:i w:val="0"/>
          <w:color w:val="1A1A1A"/>
          <w:sz w:val="22"/>
        </w:rPr>
        <w:t>ACEPTACIÓN CON OBSERVACIONES: se detallan bugs/errores de alcance a corregir (no incluye nuevas funciones):</w:t>
      </w:r>
    </w:p>
    <w:p>
      <w:pPr>
        <w:spacing w:after="80" w:before="0" w:line="240" w:lineRule="auto"/>
        <w:jc w:val="both"/>
      </w:pPr>
      <w:r>
        <w:rPr>
          <w:rFonts w:ascii="Times New Roman" w:hAnsi="Times New Roman" w:eastAsia="Times New Roman"/>
          <w:b w:val="0"/>
          <w:i w:val="0"/>
          <w:color w:val="1A1A1A"/>
          <w:sz w:val="22"/>
        </w:rPr>
        <w:t>1. _______________________________________________________________</w:t>
      </w:r>
    </w:p>
    <w:p>
      <w:pPr>
        <w:spacing w:after="80" w:before="0" w:line="240" w:lineRule="auto"/>
        <w:jc w:val="both"/>
      </w:pPr>
      <w:r>
        <w:rPr>
          <w:rFonts w:ascii="Times New Roman" w:hAnsi="Times New Roman" w:eastAsia="Times New Roman"/>
          <w:b w:val="0"/>
          <w:i w:val="0"/>
          <w:color w:val="1A1A1A"/>
          <w:sz w:val="22"/>
        </w:rPr>
        <w:t>2. _______________________________________________________________</w:t>
      </w:r>
    </w:p>
    <w:p>
      <w:pPr>
        <w:spacing w:after="200" w:before="0" w:line="240" w:lineRule="auto"/>
        <w:jc w:val="both"/>
      </w:pPr>
      <w:r>
        <w:rPr>
          <w:rFonts w:ascii="Times New Roman" w:hAnsi="Times New Roman" w:eastAsia="Times New Roman"/>
          <w:b w:val="0"/>
          <w:i w:val="0"/>
          <w:color w:val="1A1A1A"/>
          <w:sz w:val="22"/>
        </w:rPr>
        <w:t>3. _______________________________________________________________</w:t>
      </w:r>
    </w:p>
    <w:p>
      <w:pPr>
        <w:spacing w:after="400" w:before="0" w:line="240" w:lineRule="auto"/>
        <w:jc w:val="both"/>
      </w:pPr>
      <w:r>
        <w:rPr>
          <w:rFonts w:ascii="Times New Roman" w:hAnsi="Times New Roman" w:eastAsia="Times New Roman"/>
          <w:b w:val="0"/>
          <w:i w:val="0"/>
          <w:color w:val="1A1A1A"/>
          <w:sz w:val="22"/>
        </w:rPr>
        <w:t>Plazo de revisión según Contrato: quince (15) días corridos desde la notificación de ZENN. Sin respuesta, aceptación tácita.</w:t>
      </w:r>
    </w:p>
    <w:tbl>
      <w:tblPr>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eastAsia="Times New Roman"/>
                <w:b w:val="0"/>
                <w:i w:val="0"/>
                <w:color w:val="1A1A1A"/>
                <w:sz w:val="22"/>
              </w:rPr>
              <w:t>_______________________________</w:t>
            </w:r>
          </w:p>
        </w:tc>
        <w:tc>
          <w:tcPr>
            <w:tcW w:type="dxa" w:w="4703"/>
          </w:tcPr>
          <w:p>
            <w:pPr>
              <w:jc w:val="center"/>
            </w:pPr>
            <w:r>
              <w:rPr>
                <w:rFonts w:ascii="Times New Roman" w:hAnsi="Times New Roman" w:eastAsia="Times New Roman"/>
                <w:b w:val="0"/>
                <w:i w:val="0"/>
                <w:color w:val="1A1A1A"/>
                <w:sz w:val="22"/>
              </w:rPr>
              <w:t>_______________________________</w:t>
            </w:r>
          </w:p>
        </w:tc>
      </w:tr>
      <w:tr>
        <w:tc>
          <w:tcPr>
            <w:tcW w:type="dxa" w:w="4703"/>
          </w:tcPr>
          <w:p>
            <w:pPr>
              <w:jc w:val="center"/>
            </w:pPr>
            <w:r>
              <w:rPr>
                <w:rFonts w:ascii="Times New Roman" w:hAnsi="Times New Roman" w:eastAsia="Times New Roman"/>
                <w:b/>
                <w:i w:val="0"/>
                <w:color w:val="1A1A1A"/>
                <w:sz w:val="20"/>
              </w:rPr>
              <w:t>Por ZENN</w:t>
            </w:r>
          </w:p>
        </w:tc>
        <w:tc>
          <w:tcPr>
            <w:tcW w:type="dxa" w:w="4703"/>
          </w:tcPr>
          <w:p>
            <w:pPr>
              <w:jc w:val="center"/>
            </w:pPr>
            <w:r>
              <w:rPr>
                <w:rFonts w:ascii="Times New Roman" w:hAnsi="Times New Roman" w:eastAsia="Times New Roman"/>
                <w:b/>
                <w:i w:val="0"/>
                <w:color w:val="1A1A1A"/>
                <w:sz w:val="20"/>
              </w:rPr>
              <w:t>Por el CLIENTE</w:t>
            </w:r>
          </w:p>
        </w:tc>
      </w:tr>
      <w:tr>
        <w:tc>
          <w:tcPr>
            <w:tcW w:type="dxa" w:w="4703"/>
          </w:tcPr>
          <w:p>
            <w:pPr>
              <w:jc w:val="center"/>
            </w:pPr>
            <w:r>
              <w:rPr>
                <w:rFonts w:ascii="Times New Roman" w:hAnsi="Times New Roman" w:eastAsia="Times New Roman"/>
                <w:b w:val="0"/>
                <w:i/>
                <w:color w:val="1A1A1A"/>
                <w:sz w:val="18"/>
              </w:rPr>
              <w:t>Nombre, CI y firma</w:t>
            </w:r>
          </w:p>
        </w:tc>
        <w:tc>
          <w:tcPr>
            <w:tcW w:type="dxa" w:w="4703"/>
          </w:tcPr>
          <w:p>
            <w:pPr>
              <w:jc w:val="center"/>
            </w:pPr>
            <w:r>
              <w:rPr>
                <w:rFonts w:ascii="Times New Roman" w:hAnsi="Times New Roman" w:eastAsia="Times New Roman"/>
                <w:b w:val="0"/>
                <w:i/>
                <w:color w:val="1A1A1A"/>
                <w:sz w:val="18"/>
              </w:rPr>
              <w:t>Nombre, CI y firma</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