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mallCaps w:val="1"/>
          <w:sz w:val="24"/>
          <w:szCs w:val="24"/>
        </w:rPr>
        <w:drawing>
          <wp:inline distB="114300" distT="114300" distL="114300" distR="114300">
            <wp:extent cx="857250" cy="79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6"/>
          <w:szCs w:val="36"/>
          <w:rtl w:val="0"/>
        </w:rPr>
        <w:t xml:space="preserve">Pontifícia Universidade Católica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32"/>
          <w:szCs w:val="32"/>
          <w:rtl w:val="0"/>
        </w:rPr>
        <w:t xml:space="preserve">Campus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2"/>
          <w:szCs w:val="32"/>
          <w:rtl w:val="0"/>
        </w:rPr>
        <w:t xml:space="preserve"> Poços de 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sz w:val="32"/>
          <w:szCs w:val="32"/>
          <w:rtl w:val="0"/>
        </w:rPr>
        <w:t xml:space="preserve">Departamento de Ciência da Computação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sz w:val="32"/>
          <w:szCs w:val="32"/>
          <w:rtl w:val="0"/>
        </w:rPr>
        <w:t xml:space="preserve">Curso de Ciência da Computação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 Narrow" w:cs="Arial Narrow" w:eastAsia="Arial Narrow" w:hAnsi="Arial Narrow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32"/>
          <w:szCs w:val="32"/>
          <w:rtl w:val="0"/>
        </w:rPr>
        <w:t xml:space="preserve">ESTRATÉGIAS PARA IMPLEMENTAÇÕES TECNOLÓGICAS DE ACESSIBILIDADE AUDITIVA EM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José Carvalho Neto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4"/>
          <w:szCs w:val="24"/>
          <w:rtl w:val="0"/>
        </w:rPr>
        <w:t xml:space="preserve">Proponente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João Benedito dos Santos Junior, 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i w:val="1"/>
          <w:iCs w:val="1"/>
          <w:sz w:val="24"/>
          <w:szCs w:val="24"/>
          <w:rtl w:val="0"/>
        </w:rPr>
        <w:t xml:space="preserve">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lef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Poços de Caldas – MG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Novembro de 2025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sh0cklevzt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120" w:line="360" w:lineRule="auto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32"/>
          <w:szCs w:val="32"/>
          <w:rtl w:val="0"/>
        </w:rPr>
        <w:t xml:space="preserve">ESTRATÉGIAS PARA IMPLEMENTAÇÕES TECNOLÓGICAS DE ACESSIBILIDADE AUDITIVA EM JOGOS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120" w:line="360" w:lineRule="auto"/>
        <w:jc w:val="center"/>
        <w:rPr>
          <w:rFonts w:ascii="Arial Narrow" w:cs="Arial Narrow" w:eastAsia="Arial Narrow" w:hAnsi="Arial Narrow"/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jc w:val="right"/>
        <w:rPr>
          <w:rFonts w:ascii="Arial Narrow" w:cs="Arial Narrow" w:eastAsia="Arial Narrow" w:hAnsi="Arial Narrow"/>
          <w:smallCap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PROJETO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3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 de pesquisa apresentado à disciplina de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Trabalho Acadêmico Integrado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 Pontifícia Universidade Católica de Minas Gerais, campus Poços de Caldas, como parte das atividades acadêmicas do Curso de Ciência da Computação.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60" w:lineRule="auto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Poços de Caldas – MG</w:t>
      </w:r>
    </w:p>
    <w:p w:rsidR="00000000" w:rsidDel="00000000" w:rsidP="00000000" w:rsidRDefault="00000000" w:rsidRPr="00000000" w14:paraId="00000048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mallCaps w:val="1"/>
          <w:sz w:val="24"/>
          <w:szCs w:val="24"/>
        </w:rPr>
        <w:sectPr>
          <w:headerReference r:id="rId8" w:type="first"/>
          <w:footerReference r:id="rId9" w:type="default"/>
          <w:footerReference r:id="rId10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Novembro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widowControl w:val="0"/>
        <w:spacing w:lin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widowControl w:val="0"/>
        <w:spacing w:lin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widowControl w:val="0"/>
        <w:spacing w:line="480" w:lineRule="auto"/>
        <w:jc w:val="center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4C">
      <w:pPr>
        <w:keepNext w:val="1"/>
        <w:widowControl w:val="0"/>
        <w:spacing w:lin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363" w:top="850" w:left="850" w:right="850" w:header="720" w:footer="85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right" w:leader="none" w:pos="9637"/>
          <w:tab w:val="right" w:leader="none" w:pos="10206"/>
        </w:tabs>
        <w:spacing w:line="480" w:lineRule="auto"/>
        <w:rPr>
          <w:rFonts w:ascii="Arial Narrow" w:cs="Arial Narrow" w:eastAsia="Arial Narrow" w:hAnsi="Arial Narrow"/>
          <w:sz w:val="24"/>
          <w:szCs w:val="24"/>
        </w:rPr>
        <w:sectPr>
          <w:type w:val="continuous"/>
          <w:pgSz w:h="16834" w:w="11909" w:orient="portrait"/>
          <w:pgMar w:bottom="1363" w:top="850" w:left="850" w:right="850" w:header="720" w:footer="85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right" w:leader="none" w:pos="9637"/>
          <w:tab w:val="right" w:leader="none" w:pos="10206"/>
        </w:tabs>
        <w:spacing w:line="4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1 SUMÁRIO EXECUTIVO</w:t>
        <w:tab/>
        <w:t xml:space="preserve">1</w:t>
      </w:r>
    </w:p>
    <w:p w:rsidR="00000000" w:rsidDel="00000000" w:rsidP="00000000" w:rsidRDefault="00000000" w:rsidRPr="00000000" w14:paraId="00000051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2 JUSTIFICATIVAS</w:t>
        <w:tab/>
        <w:t xml:space="preserve">2</w:t>
      </w:r>
    </w:p>
    <w:p w:rsidR="00000000" w:rsidDel="00000000" w:rsidP="00000000" w:rsidRDefault="00000000" w:rsidRPr="00000000" w14:paraId="00000052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3 OBJETIVOS</w:t>
        <w:tab/>
        <w:t xml:space="preserve">3</w:t>
      </w:r>
    </w:p>
    <w:p w:rsidR="00000000" w:rsidDel="00000000" w:rsidP="00000000" w:rsidRDefault="00000000" w:rsidRPr="00000000" w14:paraId="00000053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4 REFERENCIAL TEÓRICO</w:t>
        <w:tab/>
        <w:t xml:space="preserve">3</w:t>
      </w:r>
    </w:p>
    <w:p w:rsidR="00000000" w:rsidDel="00000000" w:rsidP="00000000" w:rsidRDefault="00000000" w:rsidRPr="00000000" w14:paraId="00000054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5 METODOLOGIA DE TRABALHO</w:t>
        <w:tab/>
        <w:t xml:space="preserve">4</w:t>
      </w:r>
    </w:p>
    <w:p w:rsidR="00000000" w:rsidDel="00000000" w:rsidP="00000000" w:rsidRDefault="00000000" w:rsidRPr="00000000" w14:paraId="00000055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6 PARTICIPANTES</w:t>
        <w:tab/>
        <w:t xml:space="preserve">5</w:t>
      </w:r>
    </w:p>
    <w:p w:rsidR="00000000" w:rsidDel="00000000" w:rsidP="00000000" w:rsidRDefault="00000000" w:rsidRPr="00000000" w14:paraId="00000056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7 CRONOGRAMA</w:t>
        <w:tab/>
        <w:t xml:space="preserve">6</w:t>
      </w:r>
    </w:p>
    <w:p w:rsidR="00000000" w:rsidDel="00000000" w:rsidP="00000000" w:rsidRDefault="00000000" w:rsidRPr="00000000" w14:paraId="00000057">
      <w:pPr>
        <w:widowControl w:val="0"/>
        <w:tabs>
          <w:tab w:val="right" w:leader="none" w:pos="9637"/>
          <w:tab w:val="right" w:leader="none" w:pos="10206"/>
        </w:tabs>
        <w:spacing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8 REFERÊNCIAS</w:t>
        <w:tab/>
        <w:t xml:space="preserve">7</w:t>
      </w:r>
    </w:p>
    <w:p w:rsidR="00000000" w:rsidDel="00000000" w:rsidP="00000000" w:rsidRDefault="00000000" w:rsidRPr="00000000" w14:paraId="00000058">
      <w:pPr>
        <w:widowControl w:val="0"/>
        <w:tabs>
          <w:tab w:val="right" w:leader="none" w:pos="9637"/>
          <w:tab w:val="right" w:leader="none" w:pos="10206"/>
        </w:tabs>
        <w:spacing w:line="4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0" w:before="480" w:line="480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1 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Este documento apresenta uma proposta de pesquisa inserida no campo das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Tecnologias da Informação e Comunicação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(TIC)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atendendo às exigências acadêmicas do curso de Ciência da Computação da Pontifícia Universidade Católica de Minas Gerais (PUC Minas), campus Poços de Caldas. O estudo está inserido no contexto da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acessibilidade e inclusão digital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com foco na implementação de tecnologias voltadas à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acessibilidade auditiva em jogos digitais, uma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área cada vez mais relevante à medida que o entretenimento eletrônico se consolida como um dos setores culturais e tecnológicos mais influentes da atualidade.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 projeto propõe-se a investigar estratégias de implementação de recursos acessíveis para jogadores surdos ou com perda auditiva, analisando como títulos como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Fortnite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Last of Us Part II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Overwatch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Minecraft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vêm incorporando e aprimorando soluções voltadas à inclusão . Pretende-se compreender as práticas existentes, identificar oportunidades de aprimoramento e propor diretrizes técnicas que tornem a experiência de jogo mais equitativa e acessível.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contexto desta pesquisa, entende-se por acessibilidade auditiva o conjunto de ferramentas e soluções visuais ou táteis que permitem a jogadores com limitações auditivas perceberem elementos sonoros do jogo  como falas, alertas ou trilhas musicais  por meio de legendas dinâmicas, indicadores visuais e vibrações contextuais.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Este projeto se alinha aos princípios de responsabilidade social e tecnológica que orientam o curso de Ciência da Computação da PUC Minas, reforçando a importância da acessibilidade como componente essencial do design de software e de sistemas interativos. Espera-se que os resultados deste estudo sirvam de base para estimular o desenvolvimento de jogos mais inclusivos, demonstrando que a acessibilidade auditiva é não apenas necessária, mas também tecnicamente viável e de baixo custo, contribuindo para a democratização da experiência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2 JUSTIFICATIVAS: JOGOS DIGITAIS E A ACESSIBILIDADE PARA PESSOAS SURDAS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 acessibilidade em jogos digitais compreende o conjunto de ferramentas, recursos e práticas voltadas à inclusão de pessoas com deficiências sensoriais, motoras, cognitivas ou auditivas, assegurando a todos uma experiência de jogo justa e envolvente (DINIZ, 2020).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 indústria de jogos digitais é um dos setores mais lucrativos e influentes do entretenimento global, movimentando bilhões de dólares e atingindo públicos diversos em todo o mundo (PEREIRA, 2021; NEWZOO, 2023). Contudo, ainda existem barreiras consideráveis para jogadores surdos ou com perda auditiva. A falta de recursos como legendas contextuais, indicadores visuais de som e feedback tátil limita a compreensão de elementos narrativos, reduz a imersão e pode prejudicar a competitividade em partidas on-line.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Iniciativas de comunidades e plataformas especializadas, como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Can I Play That?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Game Accessibility Nexus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têm se destacado na promoção de boas práticas de design inclusivo, oferecendo diretrizes que servem de referência para desenvolvedores (CAN I PLAY THAT?, 2022). Tais recomendações evidenciam que a inclusão de recursos visuais e táteis não compromete o desempenho técnico nem a estética dos jogos, mas, ao contrário, amplia seu alcance e engajamento.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Entre as principais estratégias aplicáveis destacam-se:</w:t>
        <w:br w:type="textWrapping"/>
        <w:t xml:space="preserve"> a) Legendas contextuais – tradução textual de falas e sons ambientais relevantes;</w:t>
        <w:br w:type="textWrapping"/>
        <w:t xml:space="preserve"> b) Indicadores visuais de som – ícones ou setas que sinalizam a direção e intensidade dos sons;</w:t>
        <w:br w:type="textWrapping"/>
        <w:t xml:space="preserve"> c) Feedback tátil – vibrações sutis no controle ou dispositivo, substituindo alertas sonoros;</w:t>
        <w:br w:type="textWrapping"/>
        <w:t xml:space="preserve"> d) Personalização de legendas – ajustes de cor, contraste e tamanho para melhor legibilidade;</w:t>
        <w:br w:type="textWrapping"/>
        <w:t xml:space="preserve"> e) Chat de texto em jogos on-line – alternativa acessível à comunicação por voz.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Jogos como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Last of Us Part II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(NAUGHTY DOG, 2020) 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Fortnite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têm se tornado exemplos de como soluções inclusivas podem ser integradas sem comprometer a jogabilidade. Outras empresas, como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Blizzard Entertainment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Riot Games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também vêm aprimorando suas abordagens em acessibilidade (BLIZZARD ENTERTAINMENT, 2024; RIOT GAMES, 2023), evidenciando um avanço gradual em direção a experiências mais inclusivas.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Segundo a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Organização Mundial da Saúde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(WHO, 2021), a acessibilidade digital deve ser tratada como um direito social e tecnológico, essencial para a participação plena de pessoas com deficiência na vida cultural e digital. Nesse sentido, promover a acessibilidade auditiva em jogos digitais representa não apenas um avanço técnico, mas também um compromisso ético com a inclusão e a democratização do entretenimento interativo.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240" w:before="240" w:line="48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3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="48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 presente projeto tem como objetivo geral analisar e propor estratégias de implementação de tecnologias acessíveis que promovam a participação plena de pessoas surdas ou com perda auditiva em jogos digitais. A pesquisa pretende investigar como jogos populares incorporam mecanismos de acessibilidade auditiva, como legendas contextuais, indicadores visuais de som e feedback tátil, avaliando a eficácia dessas estratégias sob a perspectiva da usabilidade e da inclusão social.</w:t>
      </w:r>
    </w:p>
    <w:p w:rsidR="00000000" w:rsidDel="00000000" w:rsidP="00000000" w:rsidRDefault="00000000" w:rsidRPr="00000000" w14:paraId="00000083">
      <w:pPr>
        <w:widowControl w:val="0"/>
        <w:spacing w:after="240" w:before="240" w:line="480" w:lineRule="auto"/>
        <w:jc w:val="both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Além disso, busca-se identificar recursos de baixo custo e fácil integração que possam ser aplicados em diferentes tipos de jogos, de modo a ampliar o alcance da acessibilidade auditiva na indústria. Por fim, pretende-se elaborar recomendações práticas para desenvolvedores, estúdios e empresas do setor, incentivando a criação de padrões universais de acessibilidade auditiva que assegurem igualdade de acesso, competitividade e imersão para todos os jogadores.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4 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Estudos recentes sobre acessibilidade em jogos digitais, especialmente com relação às dificuldades enfrentadas por jogadores com deficiência auditiva, demonstram que, embora existam esforços significativos para tornar os jogos mais acessíveis, a eficácia e a aplicação das diretrizes de acessibilidade ainda variam bastante conforme o tipo de jogo e de deficiência. As práticas mais eficazes incluem o uso de legendas, avisos visuais e opções de personalização, garantindo que jogadores com deficiência auditiva possam ter uma experiência de jogo comparável à de outros jogadores (CHAVES, 2025).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Estudos realizados por organizações especializadas, como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Can I Play That?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Game Accessibility Nexus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também destacam que a aplicação de boas práticas de acessibilidade deve ocorrer desde as etapas iniciais de desenvolvimento, contemplando testes com usuários e a implementação de configurações personalizáveis (CAN I PLAY THAT?, 2022). A ausência desses recursos pode gerar exclusão e limitar a competitividade, principalmente em jogos on-line.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Empresas reconhecidas no setor, como a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Naughty Dog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desenvolvedora de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Last of Us Part II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e a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Mojang Studios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responsável por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Minecraft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vêm adotando medidas concretas de inclusão auditiva. Tais práticas incluem legendas dinâmicas, alertas visuais de som e integração de feedback tátil, demonstrando que é possível equilibrar acessibilidade, diversão e qualidade técnica em um mesmo produto (SONY, 2022).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Pode-se afirmar, portanto, que a acessibilidade auditiva não deve ser vista como um recurso opcional, mas como uma exigência ética e tecnológica da atualidade. A adoção desses princípios no desenvolvimento de jogos digitais representa um passo essencial para a democratização do entretenimento eletrônico e para a consolidação de um ambiente verdadeiramente inclusivo.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="48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5 METODOLOGIA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 pesquisa será conduzida por meio de levantamento bibliográfico e análise comparativa de jogos digitais populares, com o objetivo de identificar e avaliar os recursos de acessibilidade auditiva disponíveis . Serão consultadas fontes acadêmicas e relatórios técnicos, buscando compreender as práticas mais eficazes adotadas pela indústria.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Em seguida, será realizada uma observação prática dos recursos de acessibilidade presentes em títulos selecionados, considerando aspectos como legendas contextuais, indicadores visuais de som, vibrações responsivas e opções de personalização. Os dados obtidos serão analisados sob a perspectiva da usabilidade e inclusão, destacando os pontos fortes e as limitações de cada abordagem.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Com base nos dados obtidos, será desenvolvido um texto com orientações práticas voltadas a desenvolvedores, estúdios e empresas do setor, promovendo a criação de padrões unificados de acessibilidade auditiva que assegurem acesso igualitário.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240" w:before="240" w:line="4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PARTICIPANTES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spacing w:after="0" w:afterAutospacing="0" w:before="24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José Carvalho Neto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aluno do curso de Ciência da Computação;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"/>
        </w:numPr>
        <w:spacing w:after="240" w:before="0" w:beforeAutospacing="0" w:line="48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Prof. Dr. João Benedito dos Santos Junior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Doutor em Ciência da Computação, (USP, Brasil, 2022), em cotutela (Inglaterra e Itália, 2000 e 2001); Pós-Doutor em Ciência da Computação (Portugal, 2006); Professor Adjunto IV do Departamento de Ciência da Computação da Pontifícia Universidade Católica de Minas Gerais – PUC Minas,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Poços de Caldas, desde 2002;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Perito Forense Computacional, Perito Computacional, Perito Judicial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desde 2007, sendo membro do Banco de Peritos do Tribunal de Justiça de Minas Gerais – TJMG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do Banco de Peritos do Tribunal de Justiça de São Paulo – TJSP, do Banco de Peritos do Tribunal da Justiça do Trabalho, do Banco de Peritos da Justiça Federal; Membro da Associação Nacional dos Peritos em Computação Forense (APECOF); É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Perito Ad Hoc Computacional junto às Forças de Segurança e Lei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, como é o caso da Polícia Civil de Minas Gerais; é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4"/>
          <w:szCs w:val="24"/>
          <w:rtl w:val="0"/>
        </w:rPr>
        <w:t xml:space="preserve">Coordenador do CyberOne (cyberonelab.org) – Laboratório de Computação Forense, Perícia Computacional e Inteligência Cibernética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; entre 2009 e 2011, integrou o Programa Pesquisador Mineiro, Fase III, da Fundação de Amparo à Pesquisa do Estado de Minas Gerais (FAPEMIG); desde 1998, é Membro das Comissões de Avaliação de Cursos e de Instituições de Ensino Superior do Ministério da Educação; é avaliador/revisor de projetos de pesquisa da Fundação de Amparo à Pesquisa do Estado de São Paulo (FAPESP), da Fundação de Amparo à Pesquisa do Estado de Pernambuco (FAPEPE) e da Fundação de Amparo à Pesquisa do Estado do Mato Grosso do Sul (FUNDECT); é Membro das Comissões de Avaliação de Projetos de Pesquisa para o SUS (PPSUS), do Ministério da Saúde.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t xml:space="preserve">7 CRONOGRAMA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As atividades do projeto de pesquisa serão desenvolvidas ao longo do ano de 2026, abrangendo as etapas de planejamento, execução e consolidação dos resultados. O cronograma proposto contempla uma progressão lógica entre estudo teórico, análise prática e formulação de diretrizes, permitindo a obtenção de conclusões fundamentadas e aplicáveis.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primeiro semestre de 2026, serão conduzidas as etapas de levantamento bibliográfico e revisão teórica, com foco em identificar as principais pesquisas, metodologias e boas práticas voltadas à acessibilidade auditiva em jogos digitais. Durante esse período também será realizado o mapeamento dos recursos de acessibilidade já existentes em títulos comerciais e acadêmicos, observando sua eficácia e aplicabilidade.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segundo semestre de 2026, a pesquisa avançará para a análise comparativa entre as soluções identificadas, visando avaliar suas vantagens, limitações e potencial de adoção em novos projetos. Em seguida, será realizada a formulação de recomendações técnicas e diretrizes conceituais que possam orientar desenvolvedores e estúdios na implementação de mecanismos mais acessíveis e inclusivos.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Ao final do período, será elaborada a síntese dos resultados obtidos, acompanhada da redação do relatório final e de um artigo científico, sistematizando as contribuições da pesquisa. Espera-se que o estudo sirva de base para futuras iniciativas acadêmicas e profissionais voltadas à promoção da acessibilidade auditiva em jogos digitais.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480" w:lineRule="auto"/>
        <w:jc w:val="both"/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480" w:lineRule="auto"/>
        <w:jc w:val="both"/>
        <w:rPr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mallCaps w:val="1"/>
          <w:sz w:val="24"/>
          <w:szCs w:val="24"/>
          <w:rtl w:val="0"/>
        </w:rPr>
        <w:br w:type="textWrapping"/>
        <w:t xml:space="preserve">8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(DINIZ, 2020)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br w:type="textWrapping"/>
        <w:t xml:space="preserve"> DINIZ, Débora.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Acessibilidade Digital: Inclusão e Tecnologia.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São Paulo: Atlas, 2020.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(PEREIRA, 2021)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br w:type="textWrapping"/>
        <w:t xml:space="preserve"> PEREIRA, Lucas.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Design Universal em Jogos Digitais.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Rio de Janeiro: Elsevier, 2021.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(NAUGHTY DOG, 2020)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br w:type="textWrapping"/>
        <w:t xml:space="preserve"> NAUGHTY DOG.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Last of Us Part II – Accessibility Features.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Sony Interactive Entertainment, 2020.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(RIOT GAMES, 2023)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br w:type="textWrapping"/>
        <w:t xml:space="preserve"> RIOT GAMES.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League of Legends Accessibility Updates.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2023.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(BLIZZARD ENTERTAINMENT, 2024)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br w:type="textWrapping"/>
        <w:t xml:space="preserve"> BLIZZARD ENTERTAINMENT.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Overwatch Accessibility Overview.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2024.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widowControl w:val="0"/>
        <w:spacing w:after="40" w:before="240" w:line="480" w:lineRule="auto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bookmarkStart w:colFirst="0" w:colLast="0" w:name="_4j9ic4yr98tt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(SONY,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widowControl w:val="0"/>
        <w:spacing w:after="40" w:before="240" w:line="480" w:lineRule="auto"/>
        <w:jc w:val="both"/>
        <w:rPr>
          <w:rFonts w:ascii="Arial Narrow" w:cs="Arial Narrow" w:eastAsia="Arial Narrow" w:hAnsi="Arial Narrow"/>
        </w:rPr>
      </w:pPr>
      <w:bookmarkStart w:colFirst="0" w:colLast="0" w:name="_hpb54atfl02x" w:id="2"/>
      <w:bookmarkEnd w:id="2"/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SONY INTERACTIVE ENTERTAINMENT. Accessibility Initiatives in PlayStation Studios Games. 2022. Disponível em:</w:t>
      </w:r>
      <w:hyperlink r:id="rId11">
        <w:r w:rsidDel="00000000" w:rsidR="00000000" w:rsidRPr="00000000">
          <w:rPr>
            <w:rFonts w:ascii="Arial Narrow" w:cs="Arial Narrow" w:eastAsia="Arial Narrow" w:hAnsi="Arial Narrow"/>
            <w:color w:val="000000"/>
            <w:rtl w:val="0"/>
          </w:rPr>
          <w:t xml:space="preserve"> &lt;https://www.playstation.com/en-us/accessibility/</w:t>
        </w:r>
      </w:hyperlink>
      <w:r w:rsidDel="00000000" w:rsidR="00000000" w:rsidRPr="00000000">
        <w:rPr>
          <w:rFonts w:ascii="Arial Narrow" w:cs="Arial Narrow" w:eastAsia="Arial Narrow" w:hAnsi="Arial Narrow"/>
          <w:color w:val="000000"/>
          <w:rtl w:val="0"/>
        </w:rPr>
        <w:t xml:space="preserve">&gt; Acesso em: 24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480" w:lineRule="auto"/>
        <w:rPr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(CHAVES,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480" w:lineRule="auto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CHAVES, Maria Teresa Matoso.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Acessibilidade em jogos para pessoas com deficiência auditiva: uma revisão sistemática.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2025. Trabalho de Conclusão de Curso (Graduação em Ciência da Computação) – Universidade Federal do Ceará, Campus de Russas, Russas, 2025. Disponível em: &lt;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http://repositorio.ufc.br/handle/riufc/80167&gt;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Acesso em: 24 nov. 2025.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(CAN I PLAY THAT?,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CAN I PLAY THAT?.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Accessibility Reviews and Resources for Deaf and Hard of Hearing Gamers.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2022. Disponível em: &lt;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https://caniplaythat.com/&gt;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Acesso em: 24 nov. 2025.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br w:type="textWrapping"/>
        <w:t xml:space="preserve">(WHO, 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WORLD HEALTH ORGANIZATION (WHO).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World Report on Hearing.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Geneva: World Health Organization, 2021. Disponível em: &lt;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https://www.who.int/publications/i/item/world-report-on-hearing&gt;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Acesso em: 24 nov. 2025.</w:t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(NEWZOO, 2023)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NEWZOO.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Global Games Market Report 2023.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Amsterdam: Newzoo, 2023. Disponível em: &lt;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https://newzoo.com/&gt;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Acesso em: 24 nov.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2" w:type="default"/>
      <w:type w:val="continuous"/>
      <w:pgSz w:h="16834" w:w="11909" w:orient="portrait"/>
      <w:pgMar w:bottom="1363" w:top="850" w:left="850" w:right="850" w:header="720" w:footer="85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center"/>
      <w:rPr>
        <w:sz w:val="20"/>
        <w:szCs w:val="2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laystation.com/en-us/accessibility/" TargetMode="External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pucminas.instructure.com/courses/245650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