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2"/>
          <w:szCs w:val="52"/>
        </w:rPr>
        <w:t xml:space="preserve">Brook Althouse</w:t>
      </w:r>
    </w:p>
    <w:p>
      <w:pPr>
        <w:spacing w:after="40"/>
      </w:pPr>
      <w:r>
        <w:rPr>
          <w:rFonts w:ascii="Arial" w:cs="Arial" w:eastAsia="Arial" w:hAnsi="Arial"/>
          <w:b/>
          <w:bCs/>
          <w:color w:val="16A34A"/>
          <w:sz w:val="26"/>
          <w:szCs w:val="26"/>
        </w:rPr>
        <w:t xml:space="preserve">Northern Operations Manager</w:t>
      </w:r>
    </w:p>
    <w:p>
      <w:pPr>
        <w:spacing w:after="60"/>
      </w:pPr>
      <w:r>
        <w:rPr>
          <w:rFonts w:ascii="Arial" w:cs="Arial" w:eastAsia="Arial" w:hAnsi="Arial"/>
          <w:i/>
          <w:iCs/>
          <w:color w:val="6678A0"/>
          <w:sz w:val="19"/>
          <w:szCs w:val="19"/>
        </w:rPr>
        <w:t xml:space="preserve">Employer: Nucleom Inc.  ·  Level: Regional Operations — reports to Alex Cyr</w:t>
      </w:r>
    </w:p>
    <w:p>
      <w:pPr>
        <w:pBdr>
          <w:bottom w:val="single" w:color="16A34A" w:sz="4" w:space="1"/>
        </w:pBdr>
        <w:spacing w:after="160" w:before="120"/>
      </w:pPr>
    </w:p>
    <w:p>
      <w:pPr>
        <w:spacing w:after="80"/>
      </w:pPr>
    </w:p>
    <w:p>
      <w:pPr>
        <w:spacing w:after="120"/>
      </w:pPr>
      <w:r>
        <w:rPr>
          <w:rFonts w:ascii="Arial" w:cs="Arial" w:eastAsia="Arial" w:hAnsi="Arial"/>
          <w:sz w:val="20"/>
          <w:szCs w:val="20"/>
        </w:rPr>
        <w:t xml:space="preserve">You are the operations lead for Northern Canada. You are employed by Nucleom, but your mandate serves both Nucleom and Nortech goals in your region. You own crew deployment, utilisation, certification currency, and the day-to-day operational discipline that makes commercial commitments deliverable. The commercial team promises the work — you make it happen on the ground.</w:t>
      </w:r>
    </w:p>
    <w:p>
      <w:pPr>
        <w:spacing w:after="80"/>
      </w:pPr>
    </w:p>
    <w:p>
      <w:pPr>
        <w:pStyle w:val="Heading1"/>
      </w:pPr>
      <w:r>
        <w:t xml:space="preserve">1.  Your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20"/>
              <w:bottom w:type="dxa" w:w="60"/>
              <w:right w:type="dxa" w:w="220"/>
            </w:tcMar>
          </w:tcPr>
          <w:p>
            <w:r>
              <w:rPr>
                <w:rFonts w:ascii="Arial" w:cs="Arial" w:eastAsia="Arial" w:hAnsi="Arial"/>
                <w:b/>
                <w:bCs/>
                <w:color w:val="0A1F5C"/>
                <w:sz w:val="20"/>
                <w:szCs w:val="20"/>
              </w:rPr>
              <w:t xml:space="preserve">Your place in the BU Services ops structure</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You report to Alex Cyr (Sr. Operations Director, BU Services). Alex sits above all regional directors — Eric Rodrigue (QC), Joel Djordjevic (Central), Keith Reichenbach (Western), Brook Althouse (Northern), and Jason Borza (Nortech). You are Nucleom-employed, but you work with Nortech goals in mind. Jason Borza (Nortech Ops Director) is a peer — same level, same expectations.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20"/>
              <w:bottom w:type="dxa" w:w="60"/>
              <w:right w:type="dxa" w:w="220"/>
            </w:tcMar>
          </w:tcPr>
          <w:p>
            <w:pPr>
              <w:spacing w:after="60"/>
            </w:pPr>
            <w:r>
              <w:rPr>
                <w:rFonts w:ascii="Arial" w:cs="Arial" w:eastAsia="Arial" w:hAnsi="Arial"/>
                <w:color w:val="1A2A4A"/>
                <w:sz w:val="19"/>
                <w:szCs w:val="19"/>
              </w:rPr>
              <w:t xml:space="preserve">Northern covers remote and fly-in/fly-out mining and resource operations across Northern Ontario, Northern Quebec, and Northern BC/AB. Your territory is the least densely served by NDT providers — which makes it one of the highest-margin opportunity areas. Logistics are complex; crew coordination is critical.</w:t>
            </w:r>
          </w:p>
        </w:tc>
      </w:tr>
    </w:tbl>
    <w:p>
      <w:pPr>
        <w:spacing w:after="80"/>
      </w:pPr>
    </w:p>
    <w:p>
      <w:pPr>
        <w:pStyle w:val="Heading1"/>
      </w:pPr>
      <w:r>
        <w:t xml:space="preserve">2.  The Five Initiatives — What They Mean for Your Region</w:t>
      </w:r>
    </w:p>
    <w:p>
      <w:pPr>
        <w:spacing w:after="120"/>
      </w:pPr>
      <w:r>
        <w:rPr>
          <w:rFonts w:ascii="Arial" w:cs="Arial" w:eastAsia="Arial" w:hAnsi="Arial"/>
          <w:sz w:val="20"/>
          <w:szCs w:val="20"/>
        </w:rPr>
        <w:t xml:space="preserve">The commercial team is building a $92.8M revenue plan by 2030 across five initiatives. Every initiative has a direct operational implication for your region — crew, capacity, certifications, and deployment planning. Here is what each one means for you specifically. A fundamental change — ops and commercial are now separate. Northern ops previously carried both client relationships and delivery. That has changed. Commercial responsibility for new clients sits with Max Aggrey (Commercial Director West) or Vinoth Tharma (Commercial Director East) depending on the territory. Your mandate: maintain existing Northern client relationships, deliver current work exceptionally well, and provide fast logistical input when the commercial team is building a Northern quote. If an existing Northern client raises a new opportunity — warm handoff to the relevant commercial director that same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2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it means for your region</w:t>
            </w:r>
          </w:p>
        </w:tc>
        <w:tc>
          <w:tcPr>
            <w:tcW w:type="dxa" w:w="408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ops needs to do</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Mining NDT (East/West overlap)</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Northern operations include remote Agnico Eagle, Kinross, and Barrick sites. These operators are underserved by NDT providers — a significant competitive advantage for Nucleom.</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Ensure your Northern crew can handle fly-in/fly-out deployment. Coordination with Vinoth (East targets) and Max (West targets) is essential — flag which sites you cover and what crew you can mobilise.</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3X Composite Repair</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Remote Northern sites with ageing infrastructure are high-probability 3X opportunities. AMBER/RED findings in your territory may be harder to follow up on — make the flagging process as simple as possible for your crew.</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Same-day AMBER/RED flagging to Vinoth or Max depending on geography. Do not let remoteness create a delay in reporting. Your crew need a clear single point of contact.</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Pipeline DA (Rick + Jason)</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Northern pipeline exposure exists — TC Energy Mainline, NGTL in Northern AB. Not the primary focus but relevant.</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Northern pipeline operator conversations to Rick Carlton. Remote pipeline crew coordination goes through Jason Borza.</w:t>
            </w:r>
          </w:p>
        </w:tc>
      </w:tr>
      <w:tr>
        <w:tc>
          <w:tcPr>
            <w:tcW w:type="dxa" w:w="2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7"/>
                <w:szCs w:val="17"/>
              </w:rPr>
              <w:t xml:space="preserve">Powerline (Mathieu)</w:t>
            </w:r>
          </w:p>
        </w:tc>
        <w:tc>
          <w:tcPr>
            <w:tcW w:type="dxa" w:w="32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Northern utilities and remote transmission lines may present Powerline opportunities. Less developed than Southern utility targets.</w:t>
            </w:r>
          </w:p>
        </w:tc>
        <w:tc>
          <w:tcPr>
            <w:tcW w:type="dxa" w:w="408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Northern utility contacts to Mathieu Beauchesne. Powerline crew for remote deployment needs advance planning.</w:t>
            </w:r>
          </w:p>
        </w:tc>
      </w:tr>
      <w:tr>
        <w:tc>
          <w:tcPr>
            <w:tcW w:type="dxa" w:w="2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7"/>
                <w:szCs w:val="17"/>
              </w:rPr>
              <w:t xml:space="preserve">Nuclear</w:t>
            </w:r>
          </w:p>
        </w:tc>
        <w:tc>
          <w:tcPr>
            <w:tcW w:type="dxa" w:w="32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Nuclear work is Southern Ontario-based. Northern crew are unlikely to be deployed to outage windows unless specifically qualified.</w:t>
            </w:r>
          </w:p>
        </w:tc>
        <w:tc>
          <w:tcPr>
            <w:tcW w:type="dxa" w:w="408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Flag any Northern technicians with nuclear qualification history to Louis-Pier Théberge.</w:t>
            </w:r>
          </w:p>
        </w:tc>
      </w:tr>
    </w:tbl>
    <w:p>
      <w:pPr>
        <w:spacing w:after="80"/>
      </w:pPr>
    </w:p>
    <w:p>
      <w:pPr>
        <w:pStyle w:val="Heading1"/>
      </w:pPr>
      <w:r>
        <w:t xml:space="preserve">3.  How You Feed the Commercial System</w:t>
      </w:r>
    </w:p>
    <w:p>
      <w:pPr>
        <w:spacing w:after="120"/>
      </w:pPr>
      <w:r>
        <w:rPr>
          <w:rFonts w:ascii="Arial" w:cs="Arial" w:eastAsia="Arial" w:hAnsi="Arial"/>
          <w:sz w:val="20"/>
          <w:szCs w:val="20"/>
        </w:rPr>
        <w:t xml:space="preserve">BU Services runs a live commercial intelligence system that Jon uses for weekly KPI reviews and Eurazeo board reporting. The ops team feeds two parts of this system. Neither is complex — both are critical.</w:t>
      </w:r>
    </w:p>
    <w:p>
      <w:pPr>
        <w:spacing w:after="80"/>
      </w:pPr>
    </w:p>
    <w:p>
      <w:pPr>
        <w:pStyle w:val="Heading1"/>
      </w:pPr>
      <w:r>
        <w:t xml:space="preserve">Commercial System — Your Role</w:t>
      </w:r>
    </w:p>
    <w:p>
      <w:pPr>
        <w:spacing w:after="120"/>
      </w:pPr>
      <w:r>
        <w:rPr>
          <w:rFonts w:ascii="Arial" w:cs="Arial" w:eastAsia="Arial" w:hAnsi="Arial"/>
          <w:sz w:val="20"/>
          <w:szCs w:val="20"/>
        </w:rPr>
        <w:t xml:space="preserve">BU Services runs a commercial management system that connects Salesforce, Business Central, and SharePoint into a single weekly picture for Jon, Jeremy, and the Eurazeo board. The ops team feeds this system in two specific ways: utilisation data and technician assignment on closed deals. Neither requires Salesforce access — both take under 10 minutes per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System / Tool</w:t>
            </w:r>
          </w:p>
        </w:tc>
        <w:tc>
          <w:tcPr>
            <w:tcW w:type="dxa" w:w="6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responsibility</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Utilisation Tracker (Excel)</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26-week utilisation tracker on SharePoint covers all five regions. Your region's utilisation row is updated by you every Wednesday — billable hours this week, available hours, and chargeable percentage. This feeds the Command Centre utilisation cards and the INT BU deck. Takes 3 minutes.</w:t>
            </w:r>
          </w:p>
        </w:tc>
      </w:tr>
      <w:tr>
        <w:tc>
          <w:tcPr>
            <w:tcW w:type="dxa" w:w="2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Assigned_Technicians__c (Salesforce)</w:t>
            </w:r>
          </w:p>
        </w:tc>
        <w:tc>
          <w:tcPr>
            <w:tcW w:type="dxa" w:w="6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When the commercial team closes a deal in your region, they tag the technician names in Salesforce. You do not enter this — but you are expected to confirm crew availability and qualifications to Max or Vinoth before the deal closes so the names they enter are accurate.</w:t>
            </w:r>
          </w:p>
        </w:tc>
      </w:tr>
      <w:tr>
        <w:tc>
          <w:tcPr>
            <w:tcW w:type="dxa" w:w="2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actuals.json — utilisation fields</w:t>
            </w:r>
          </w:p>
        </w:tc>
        <w:tc>
          <w:tcPr>
            <w:tcW w:type="dxa" w:w="6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 utilisation data flows from the Excel tracker through Power Automate into actuals.json on Sunday nights. You do not touch actuals.json directly — just keep the Excel tracker current.</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The most important ops habit: same-day AMBER/RED flagging</w:t>
            </w:r>
          </w:p>
          <w:p>
            <w:pPr>
              <w:spacing w:after="70"/>
            </w:pPr>
            <w:r>
              <w:rPr>
                <w:rFonts w:ascii="Arial" w:cs="Arial" w:eastAsia="Arial" w:hAnsi="Arial"/>
                <w:color w:val="1A2A4A"/>
                <w:sz w:val="19"/>
                <w:szCs w:val="19"/>
              </w:rPr>
              <w:t xml:space="preserve">When one of your technicians identifies an AMBER or RED finding during any inspection — pipeline, mining, facility, or utility — that finding must be flagged to the commercial team the same day.</w:t>
            </w:r>
          </w:p>
          <w:p>
            <w:pPr>
              <w:spacing w:after="70"/>
            </w:pPr>
            <w:r>
              <w:rPr>
                <w:rFonts w:ascii="Arial" w:cs="Arial" w:eastAsia="Arial" w:hAnsi="Arial"/>
                <w:color w:val="1A2A4A"/>
                <w:sz w:val="19"/>
                <w:szCs w:val="19"/>
              </w:rPr>
              <w:t xml:space="preserve">This is how 3X Composite Repair opportunities are created. The commercial system has no way to detect these findings automatically. Your crew in the field are the detection system.</w:t>
            </w:r>
          </w:p>
          <w:p>
            <w:pPr>
              <w:spacing w:after="70"/>
            </w:pPr>
            <w:r>
              <w:rPr>
                <w:rFonts w:ascii="Arial" w:cs="Arial" w:eastAsia="Arial" w:hAnsi="Arial"/>
                <w:color w:val="1A2A4A"/>
                <w:sz w:val="19"/>
                <w:szCs w:val="19"/>
              </w:rPr>
              <w:t xml:space="preserve">Flag to: Vinoth Tharma (Commercial Director East) — same day, not the next weekly meeting.</w:t>
            </w:r>
          </w:p>
        </w:tc>
      </w:tr>
    </w:tbl>
    <w:p>
      <w:pPr>
        <w:spacing w:after="80"/>
      </w:pPr>
    </w:p>
    <w:p>
      <w:pPr>
        <w:pStyle w:val="Heading1"/>
      </w:pPr>
      <w:r>
        <w:t xml:space="preserve">4.  Your Weekly Rhythm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A5CA8" w:sz="4"/>
              <w:left w:val="single" w:color="1A5CA8" w:sz="4"/>
              <w:bottom w:val="single" w:color="1A5CA8" w:sz="4"/>
              <w:right w:val="none"/>
            </w:tcBorders>
            <w:shd w:fill="1A5CA8" w:val="clear"/>
          </w:tcPr>
          <w:p/>
        </w:tc>
        <w:tc>
          <w:tcPr>
            <w:tcW w:type="dxa" w:w="9160"/>
            <w:tcBorders>
              <w:top w:val="single" w:color="1A5CA8" w:sz="4"/>
              <w:left w:val="none"/>
              <w:bottom w:val="single" w:color="1A5CA8" w:sz="4"/>
              <w:right w:val="single" w:color="1A5CA8" w:sz="4"/>
            </w:tcBorders>
            <w:shd w:fill="F4F7FB" w:val="clear"/>
            <w:tcMar>
              <w:top w:type="dxa" w:w="120"/>
              <w:left w:type="dxa" w:w="200"/>
              <w:bottom w:type="dxa" w:w="120"/>
              <w:right w:type="dxa" w:w="200"/>
            </w:tcMar>
          </w:tcPr>
          <w:p>
            <w:pPr>
              <w:spacing w:after="80"/>
            </w:pPr>
            <w:r>
              <w:rPr>
                <w:rFonts w:ascii="Arial" w:cs="Arial" w:eastAsia="Arial" w:hAnsi="Arial"/>
                <w:b/>
                <w:bCs/>
                <w:color w:val="1A5CA8"/>
                <w:sz w:val="21"/>
                <w:szCs w:val="21"/>
              </w:rPr>
              <w:t xml:space="preserve">Every Wednesday — update the utilisation tracker</w:t>
            </w:r>
          </w:p>
          <w:p>
            <w:pPr>
              <w:spacing w:after="70"/>
            </w:pPr>
            <w:r>
              <w:rPr>
                <w:rFonts w:ascii="Arial" w:cs="Arial" w:eastAsia="Arial" w:hAnsi="Arial"/>
                <w:color w:val="1A2A4A"/>
                <w:sz w:val="19"/>
                <w:szCs w:val="19"/>
              </w:rPr>
              <w:t xml:space="preserve">Open the 26-week utilisation tracker on SharePoint. Update your region's row: billable hours this week, available hours, chargeable percentage, and any crew on leave or training.</w:t>
            </w:r>
          </w:p>
          <w:p>
            <w:pPr>
              <w:spacing w:after="70"/>
            </w:pPr>
            <w:r>
              <w:rPr>
                <w:rFonts w:ascii="Arial" w:cs="Arial" w:eastAsia="Arial" w:hAnsi="Arial"/>
                <w:color w:val="1A2A4A"/>
                <w:sz w:val="19"/>
                <w:szCs w:val="19"/>
              </w:rPr>
              <w:t xml:space="preserve">This feeds the Command Centre and the INT BU deck automatically via Power Automate. Takes 3 minutes. If you miss a week, Jon's utilisation numbers are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Before any deal closes in your region — confirm crew</w:t>
            </w:r>
          </w:p>
          <w:p>
            <w:pPr>
              <w:spacing w:after="70"/>
            </w:pPr>
            <w:r>
              <w:rPr>
                <w:rFonts w:ascii="Arial" w:cs="Arial" w:eastAsia="Arial" w:hAnsi="Arial"/>
                <w:color w:val="1A2A4A"/>
                <w:sz w:val="19"/>
                <w:szCs w:val="19"/>
              </w:rPr>
              <w:t xml:space="preserve">When Max or Vinoth tells you a deal is about to close, confirm crew availability and qualifications so they can tag the right names in Salesforce (Assigned_Technicians__c field).</w:t>
            </w:r>
          </w:p>
          <w:p>
            <w:pPr>
              <w:spacing w:after="70"/>
            </w:pPr>
            <w:r>
              <w:rPr>
                <w:rFonts w:ascii="Arial" w:cs="Arial" w:eastAsia="Arial" w:hAnsi="Arial"/>
                <w:color w:val="1A2A4A"/>
                <w:sz w:val="19"/>
                <w:szCs w:val="19"/>
              </w:rPr>
              <w:t xml:space="preserve">Do not wait to be asked. If you know a proposal is active in your region, proactively tell the commercial lead what crew you have available and what certs they hold.</w:t>
            </w:r>
          </w:p>
        </w:tc>
      </w:tr>
    </w:tbl>
    <w:p>
      <w:pPr>
        <w:spacing w:after="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2" w:space="2"/>
      </w:pBdr>
      <w:spacing w:after="0"/>
      <w:jc w:val="right"/>
    </w:pPr>
    <w:r>
      <w:rPr>
        <w:rFonts w:ascii="Arial" w:cs="Arial" w:eastAsia="Arial" w:hAnsi="Arial"/>
        <w:color w:val="6678A0"/>
        <w:sz w:val="16"/>
        <w:szCs w:val="16"/>
      </w:rPr>
      <w:t xml:space="preserve">Brook Althouse  ·  Ops Team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A34A"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2026-04-19T17:19:33.034Z</dcterms:created>
  <dcterms:modified xsi:type="dcterms:W3CDTF">2026-04-19T17:19:33.034Z</dcterms:modified>
</cp:coreProperties>
</file>

<file path=docProps/custom.xml><?xml version="1.0" encoding="utf-8"?>
<Properties xmlns="http://schemas.openxmlformats.org/officeDocument/2006/custom-properties" xmlns:vt="http://schemas.openxmlformats.org/officeDocument/2006/docPropsVTypes"/>
</file>