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20"/>
      </w:pPr>
      <w:r>
        <w:rPr>
          <w:rFonts w:ascii="Arial" w:cs="Arial" w:eastAsia="Arial" w:hAnsi="Arial"/>
          <w:b/>
          <w:bCs/>
          <w:i w:val="false"/>
          <w:iCs w:val="false"/>
          <w:color w:val="161C60"/>
          <w:sz w:val="52"/>
          <w:szCs w:val="52"/>
        </w:rPr>
        <w:t xml:space="preserve">BU SERVICES</w:t>
      </w:r>
    </w:p>
    <w:p>
      <w:pPr>
        <w:spacing w:after="100" w:before="0"/>
      </w:pPr>
      <w:r>
        <w:rPr>
          <w:rFonts w:ascii="Arial" w:cs="Arial" w:eastAsia="Arial" w:hAnsi="Arial"/>
          <w:b/>
          <w:bCs/>
          <w:i w:val="false"/>
          <w:iCs w:val="false"/>
          <w:color w:val="384660"/>
          <w:sz w:val="30"/>
          <w:szCs w:val="30"/>
        </w:rPr>
        <w:t xml:space="preserve">DYNAMICS 365 INTEGRATION</w:t>
      </w:r>
    </w:p>
    <w:p>
      <w:pPr>
        <w:pBdr>
          <w:bottom w:val="single" w:color="006EAF" w:sz="16" w:space="1"/>
        </w:pBdr>
        <w:spacing w:after="400" w:before="80"/>
      </w:pPr>
      <w:r>
        <w:rPr>
          <w:rFonts w:ascii="Arial" w:cs="Arial" w:eastAsia="Arial" w:hAnsi="Arial"/>
          <w:b/>
          <w:bCs/>
          <w:i w:val="false"/>
          <w:iCs w:val="false"/>
          <w:color w:val="006EAF"/>
          <w:sz w:val="22"/>
          <w:szCs w:val="22"/>
        </w:rPr>
        <w:t xml:space="preserve">INFORMATION REQUIRED + POWER AUTOMATE FLOW BUILD GUIDE</w:t>
      </w:r>
    </w:p>
    <w:p>
      <w:pPr>
        <w:spacing w:after="100" w:before="4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06EAF" w:val="clear"/>
            <w:tcMar>
              <w:top w:type="dxa" w:w="140"/>
              <w:left w:type="dxa" w:w="160"/>
              <w:bottom w:type="dxa" w:w="140"/>
              <w:right w:type="dxa" w:w="120"/>
            </w:tcMar>
          </w:tcPr>
          <w:p>
            <w:pPr>
              <w:spacing w:after="30" w:before="0"/>
            </w:pPr>
            <w:r>
              <w:rPr>
                <w:rFonts w:ascii="Arial" w:cs="Arial" w:eastAsia="Arial" w:hAnsi="Arial"/>
                <w:b w:val="false"/>
                <w:bCs w:val="false"/>
                <w:i w:val="false"/>
                <w:iCs w:val="false"/>
                <w:color w:val="AADDFF"/>
                <w:sz w:val="17"/>
                <w:szCs w:val="17"/>
              </w:rPr>
              <w:t xml:space="preserve">For</w:t>
            </w:r>
          </w:p>
          <w:p>
            <w:pPr>
              <w:spacing w:after="100" w:before="0"/>
            </w:pPr>
            <w:r>
              <w:rPr>
                <w:rFonts w:ascii="Arial" w:cs="Arial" w:eastAsia="Arial" w:hAnsi="Arial"/>
                <w:b/>
                <w:bCs/>
                <w:i w:val="false"/>
                <w:iCs w:val="false"/>
                <w:color w:val="FFFFFF"/>
                <w:sz w:val="20"/>
                <w:szCs w:val="20"/>
              </w:rPr>
              <w:t xml:space="preserve">Mathieu Beauchesne — Finance Lead</w:t>
            </w:r>
          </w:p>
        </w:tc>
        <w:tc>
          <w:tcPr>
            <w:tcW w:type="dxa" w:w="2340"/>
            <w:tcBorders>
              <w:top w:val="none" w:color="FFFFFF" w:sz="0"/>
              <w:left w:val="none" w:color="FFFFFF" w:sz="0"/>
              <w:bottom w:val="none" w:color="FFFFFF" w:sz="0"/>
              <w:right w:val="none" w:color="FFFFFF" w:sz="0"/>
            </w:tcBorders>
            <w:shd w:fill="4B2067" w:val="clear"/>
            <w:tcMar>
              <w:top w:type="dxa" w:w="140"/>
              <w:left w:type="dxa" w:w="160"/>
              <w:bottom w:type="dxa" w:w="140"/>
              <w:right w:type="dxa" w:w="120"/>
            </w:tcMar>
          </w:tcPr>
          <w:p>
            <w:pPr>
              <w:spacing w:after="30" w:before="0"/>
            </w:pPr>
            <w:r>
              <w:rPr>
                <w:rFonts w:ascii="Arial" w:cs="Arial" w:eastAsia="Arial" w:hAnsi="Arial"/>
                <w:b w:val="false"/>
                <w:bCs w:val="false"/>
                <w:i w:val="false"/>
                <w:iCs w:val="false"/>
                <w:color w:val="DDBBFF"/>
                <w:sz w:val="17"/>
                <w:szCs w:val="17"/>
              </w:rPr>
              <w:t xml:space="preserve">Purpose</w:t>
            </w:r>
          </w:p>
          <w:p>
            <w:pPr>
              <w:spacing w:after="100" w:before="0"/>
            </w:pPr>
            <w:r>
              <w:rPr>
                <w:rFonts w:ascii="Arial" w:cs="Arial" w:eastAsia="Arial" w:hAnsi="Arial"/>
                <w:b/>
                <w:bCs/>
                <w:i w:val="false"/>
                <w:iCs w:val="false"/>
                <w:color w:val="FFFFFF"/>
                <w:sz w:val="20"/>
                <w:szCs w:val="20"/>
              </w:rPr>
              <w:t xml:space="preserve">Connect Dynamics invoiced revenue to Command Centre</w:t>
            </w:r>
          </w:p>
        </w:tc>
        <w:tc>
          <w:tcPr>
            <w:tcW w:type="dxa" w:w="2340"/>
            <w:tcBorders>
              <w:top w:val="none" w:color="FFFFFF" w:sz="0"/>
              <w:left w:val="none" w:color="FFFFFF" w:sz="0"/>
              <w:bottom w:val="none" w:color="FFFFFF" w:sz="0"/>
              <w:right w:val="none" w:color="FFFFFF" w:sz="0"/>
            </w:tcBorders>
            <w:shd w:fill="0D5050" w:val="clear"/>
            <w:tcMar>
              <w:top w:type="dxa" w:w="140"/>
              <w:left w:type="dxa" w:w="160"/>
              <w:bottom w:type="dxa" w:w="140"/>
              <w:right w:type="dxa" w:w="120"/>
            </w:tcMar>
          </w:tcPr>
          <w:p>
            <w:pPr>
              <w:spacing w:after="30" w:before="0"/>
            </w:pPr>
            <w:r>
              <w:rPr>
                <w:rFonts w:ascii="Arial" w:cs="Arial" w:eastAsia="Arial" w:hAnsi="Arial"/>
                <w:b w:val="false"/>
                <w:bCs w:val="false"/>
                <w:i w:val="false"/>
                <w:iCs w:val="false"/>
                <w:color w:val="AAFFBB"/>
                <w:sz w:val="17"/>
                <w:szCs w:val="17"/>
              </w:rPr>
              <w:t xml:space="preserve">Why this matters</w:t>
            </w:r>
          </w:p>
          <w:p>
            <w:pPr>
              <w:spacing w:after="100" w:before="0"/>
            </w:pPr>
            <w:r>
              <w:rPr>
                <w:rFonts w:ascii="Arial" w:cs="Arial" w:eastAsia="Arial" w:hAnsi="Arial"/>
                <w:b/>
                <w:bCs/>
                <w:i w:val="false"/>
                <w:iCs w:val="false"/>
                <w:color w:val="FFFFFF"/>
                <w:sz w:val="20"/>
                <w:szCs w:val="20"/>
              </w:rPr>
              <w:t xml:space="preserve">Callout jobs not in Salesforce — Dynamics is the only source of truth for all invoiced revenue</w:t>
            </w:r>
          </w:p>
        </w:tc>
        <w:tc>
          <w:tcPr>
            <w:tcW w:type="dxa" w:w="2340"/>
            <w:tcBorders>
              <w:top w:val="none" w:color="FFFFFF" w:sz="0"/>
              <w:left w:val="none" w:color="FFFFFF" w:sz="0"/>
              <w:bottom w:val="none" w:color="FFFFFF" w:sz="0"/>
              <w:right w:val="none" w:color="FFFFFF" w:sz="0"/>
            </w:tcBorders>
            <w:shd w:fill="0D1040" w:val="clear"/>
            <w:tcMar>
              <w:top w:type="dxa" w:w="140"/>
              <w:left w:type="dxa" w:w="160"/>
              <w:bottom w:type="dxa" w:w="140"/>
              <w:right w:type="dxa" w:w="120"/>
            </w:tcMar>
          </w:tcPr>
          <w:p>
            <w:pPr>
              <w:spacing w:after="30" w:before="0"/>
            </w:pPr>
            <w:r>
              <w:rPr>
                <w:rFonts w:ascii="Arial" w:cs="Arial" w:eastAsia="Arial" w:hAnsi="Arial"/>
                <w:b w:val="false"/>
                <w:bCs w:val="false"/>
                <w:i w:val="false"/>
                <w:iCs w:val="false"/>
                <w:color w:val="AAAAAA"/>
                <w:sz w:val="17"/>
                <w:szCs w:val="17"/>
              </w:rPr>
              <w:t xml:space="preserve">Status</w:t>
            </w:r>
          </w:p>
          <w:p>
            <w:pPr>
              <w:spacing w:after="100" w:before="0"/>
            </w:pPr>
            <w:r>
              <w:rPr>
                <w:rFonts w:ascii="Arial" w:cs="Arial" w:eastAsia="Arial" w:hAnsi="Arial"/>
                <w:b/>
                <w:bCs/>
                <w:i w:val="false"/>
                <w:iCs w:val="false"/>
                <w:color w:val="FFFFFF"/>
                <w:sz w:val="20"/>
                <w:szCs w:val="20"/>
              </w:rPr>
              <w:t xml:space="preserve">Placeholders built · 7 questions pending · build completes once answered</w:t>
            </w:r>
          </w:p>
        </w:tc>
      </w:tr>
    </w:tbl>
    <w:p>
      <w:pPr>
        <w:spacing w:after="100" w:before="200"/>
      </w:pPr>
      <w:r>
        <w:rPr>
          <w:rFonts w:ascii="Arial" w:cs="Arial" w:eastAsia="Arial" w:hAnsi="Arial"/>
          <w:b w:val="false"/>
          <w:bCs w:val="false"/>
          <w:i w:val="false"/>
          <w:iCs w:val="false"/>
          <w:color w:val="384660"/>
          <w:sz w:val="22"/>
          <w:szCs w:val="22"/>
        </w:rPr>
        <w:t xml:space="preserve"> </w:t>
      </w:r>
    </w:p>
    <w:p>
      <w:pPr>
        <w:spacing w:after="80" w:before="0"/>
      </w:pPr>
      <w:r>
        <w:rPr>
          <w:rFonts w:ascii="Arial" w:cs="Arial" w:eastAsia="Arial" w:hAnsi="Arial"/>
          <w:b/>
          <w:bCs/>
          <w:i w:val="false"/>
          <w:iCs w:val="false"/>
          <w:color w:val="161C60"/>
          <w:sz w:val="22"/>
          <w:szCs w:val="22"/>
        </w:rPr>
        <w:t xml:space="preserve">What this document covers:  </w:t>
      </w:r>
      <w:r>
        <w:rPr>
          <w:rFonts w:ascii="Arial" w:cs="Arial" w:eastAsia="Arial" w:hAnsi="Arial"/>
          <w:b w:val="false"/>
          <w:bCs w:val="false"/>
          <w:i w:val="false"/>
          <w:iCs w:val="false"/>
          <w:color w:val="384660"/>
          <w:sz w:val="22"/>
          <w:szCs w:val="22"/>
        </w:rPr>
        <w:t xml:space="preserve">The Power Automate flow connecting Dynamics 365 to the BU Services Command Centre has been partially built using placeholder values. Before it can be completed and activated, Mathieu Beauchesne needs to answer 7 specific questions about the Dynamics configuration. This document lists every question, explains why it matters, and shows exactly where the answer plugs into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6B24" w:sz="1"/>
              <w:left w:val="none" w:color="FFFFFF" w:sz="0"/>
              <w:bottom w:val="none" w:color="FFFFFF" w:sz="0"/>
              <w:right w:val="none" w:color="FFFFFF" w:sz="0"/>
            </w:tcBorders>
            <w:shd w:fill="E8F5E9" w:val="clear"/>
            <w:tcMar>
              <w:top w:type="dxa" w:w="120"/>
              <w:left w:type="dxa" w:w="200"/>
              <w:bottom w:type="dxa" w:w="0"/>
              <w:right w:type="dxa" w:w="120"/>
            </w:tcMar>
          </w:tcPr>
          <w:p>
            <w:pPr>
              <w:spacing w:after="100" w:before="0"/>
            </w:pPr>
            <w:r>
              <w:rPr>
                <w:rFonts w:ascii="Arial" w:cs="Arial" w:eastAsia="Arial" w:hAnsi="Arial"/>
                <w:b/>
                <w:bCs/>
                <w:i w:val="false"/>
                <w:iCs w:val="false"/>
                <w:color w:val="196B24"/>
                <w:sz w:val="19"/>
                <w:szCs w:val="19"/>
              </w:rPr>
              <w:t xml:space="preserve">Interim process while this is being set up</w:t>
            </w:r>
          </w:p>
        </w:tc>
      </w:tr>
      <w:tr>
        <w:tc>
          <w:tcPr>
            <w:tcW w:type="dxa" w:w="9360"/>
            <w:tcBorders>
              <w:top w:val="none" w:color="FFFFFF" w:sz="0"/>
              <w:left w:val="none" w:color="FFFFFF" w:sz="0"/>
              <w:bottom w:val="single" w:color="196B24" w:sz="1"/>
              <w:right w:val="none" w:color="FFFFFF" w:sz="0"/>
            </w:tcBorders>
            <w:shd w:fill="E8F5E9" w:val="clear"/>
            <w:tcMar>
              <w:top w:type="dxa" w:w="0"/>
              <w:left w:type="dxa" w:w="200"/>
              <w:bottom w:type="dxa" w:w="120"/>
              <w:right w:type="dxa" w:w="120"/>
            </w:tcMar>
          </w:tcPr>
          <w:p>
            <w:pPr>
              <w:spacing w:after="100" w:before="0"/>
            </w:pPr>
            <w:r>
              <w:rPr>
                <w:rFonts w:ascii="Arial" w:cs="Arial" w:eastAsia="Arial" w:hAnsi="Arial"/>
                <w:b w:val="false"/>
                <w:bCs w:val="false"/>
                <w:i w:val="false"/>
                <w:iCs w:val="false"/>
                <w:color w:val="384660"/>
                <w:sz w:val="21"/>
                <w:szCs w:val="21"/>
              </w:rPr>
              <w:t xml:space="preserve">Until the Dynamics connection is live, Mathieu Beauchesne manually updates the actuals.json file on SharePoint on the first working Monday of each month with invoiced YTD totals per entity. This takes approximately 10 minutes and follows the same process as the Nortech manual update already in place. The fields to update are documented in Section 4.</w:t>
            </w:r>
          </w:p>
        </w:tc>
      </w:tr>
    </w:tbl>
    <w:p>
      <w:pPr>
        <w:spacing w:after="100" w:before="200"/>
      </w:pPr>
      <w:r>
        <w:rPr>
          <w:rFonts w:ascii="Arial" w:cs="Arial" w:eastAsia="Arial" w:hAnsi="Arial"/>
          <w:b w:val="false"/>
          <w:bCs w:val="false"/>
          <w:i w:val="false"/>
          <w:iCs w:val="false"/>
          <w:color w:val="384660"/>
          <w:sz w:val="22"/>
          <w:szCs w:val="22"/>
        </w:rPr>
        <w:t xml:space="preserve"> </w:t>
      </w:r>
    </w:p>
    <w:p>
      <w:pPr>
        <w:pStyle w:val="Heading1"/>
        <w:spacing w:after="160" w:before="400"/>
      </w:pPr>
      <w:r>
        <w:rPr>
          <w:rFonts w:ascii="Arial" w:cs="Arial" w:eastAsia="Arial" w:hAnsi="Arial"/>
          <w:color w:val="161C60"/>
        </w:rPr>
        <w:t xml:space="preserve">1.  The 7 Questions — Mathieu Beauchesne to Complete</w:t>
      </w:r>
    </w:p>
    <w:p>
      <w:pPr>
        <w:pBdr>
          <w:bottom w:val="single" w:color="DDE3F0" w:sz="6" w:space="1"/>
        </w:pBdr>
        <w:spacing w:after="0" w:before="0"/>
      </w:pPr>
      <w:r>
        <w:rPr>
          <w:rFonts w:ascii="Arial" w:cs="Arial" w:eastAsia="Arial" w:hAnsi="Arial"/>
          <w:b w:val="false"/>
          <w:bCs w:val="false"/>
          <w:i w:val="false"/>
          <w:iCs w:val="false"/>
          <w:color w:val="384660"/>
          <w:sz w:val="22"/>
          <w:szCs w:val="22"/>
        </w:rPr>
        <w:t xml:space="preserve"> </w:t>
      </w:r>
    </w:p>
    <w:p>
      <w:pPr>
        <w:spacing w:after="100" w:before="80"/>
      </w:pPr>
      <w:r>
        <w:rPr>
          <w:rFonts w:ascii="Arial" w:cs="Arial" w:eastAsia="Arial" w:hAnsi="Arial"/>
          <w:b w:val="false"/>
          <w:bCs w:val="false"/>
          <w:i w:val="false"/>
          <w:iCs w:val="false"/>
          <w:color w:val="384660"/>
          <w:sz w:val="22"/>
          <w:szCs w:val="22"/>
        </w:rPr>
        <w:t xml:space="preserve"> </w:t>
      </w:r>
    </w:p>
    <w:p>
      <w:pPr>
        <w:spacing w:after="120" w:before="0"/>
      </w:pPr>
      <w:r>
        <w:rPr>
          <w:rFonts w:ascii="Arial" w:cs="Arial" w:eastAsia="Arial" w:hAnsi="Arial"/>
          <w:b w:val="false"/>
          <w:bCs w:val="false"/>
          <w:i w:val="false"/>
          <w:iCs w:val="false"/>
          <w:color w:val="384660"/>
          <w:sz w:val="22"/>
          <w:szCs w:val="22"/>
        </w:rPr>
        <w:t xml:space="preserve">Please answer all 7 questions below and return this document or email the answers to Jon Eustace. Once all 7 are confirmed, the Power Automate flow can be completed and tested in approximately 2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200"/>
        <w:gridCol w:w="3560"/>
      </w:tblGrid>
      <w:tr>
        <w:tc>
          <w:tcPr>
            <w:tcW w:type="dxa" w:w="4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19"/>
                <w:szCs w:val="19"/>
              </w:rPr>
              <w:t xml:space="preserve">#</w:t>
            </w:r>
          </w:p>
        </w:tc>
        <w:tc>
          <w:tcPr>
            <w:tcW w:type="dxa" w:w="32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19"/>
                <w:szCs w:val="19"/>
              </w:rPr>
              <w:t xml:space="preserve">Question for Mathieu Beauchesne</w:t>
            </w:r>
          </w:p>
        </w:tc>
        <w:tc>
          <w:tcPr>
            <w:tcW w:type="dxa" w:w="22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19"/>
                <w:szCs w:val="19"/>
              </w:rPr>
              <w:t xml:space="preserve">Blocks build until answered?</w:t>
            </w:r>
          </w:p>
        </w:tc>
        <w:tc>
          <w:tcPr>
            <w:tcW w:type="dxa" w:w="35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19"/>
                <w:szCs w:val="19"/>
              </w:rPr>
              <w:t xml:space="preserve">Why it matters / what we build with it</w:t>
            </w:r>
          </w:p>
        </w:tc>
      </w:tr>
      <w:tr>
        <w:tc>
          <w:tcPr>
            <w:tcW w:type="dxa" w:w="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bCs/>
                <w:i w:val="false"/>
                <w:iCs w:val="false"/>
                <w:color w:val="161C60"/>
                <w:sz w:val="21"/>
                <w:szCs w:val="21"/>
              </w:rPr>
              <w:t xml:space="preserve">1</w:t>
            </w:r>
          </w:p>
        </w:tc>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Which version of Microsoft Dynamics does Nucleom use?</w:t>
            </w:r>
          </w:p>
        </w:tc>
        <w:tc>
          <w:tcPr>
            <w:tcW w:type="dxa" w:w="2200"/>
            <w:tcBorders>
              <w:top w:val="single" w:color="DDE3F0" w:sz="1"/>
              <w:left w:val="single" w:color="DDE3F0" w:sz="1"/>
              <w:bottom w:val="single" w:color="DDE3F0" w:sz="1"/>
              <w:right w:val="single" w:color="DDE3F0" w:sz="1"/>
            </w:tcBorders>
            <w:shd w:fill="FFEBEE" w:val="clear"/>
            <w:tcMar>
              <w:top w:type="dxa" w:w="80"/>
              <w:left w:type="dxa" w:w="120"/>
              <w:bottom w:type="dxa" w:w="80"/>
              <w:right w:type="dxa" w:w="80"/>
            </w:tcMar>
          </w:tcPr>
          <w:p>
            <w:pPr>
              <w:spacing w:after="100" w:before="0"/>
            </w:pPr>
            <w:r>
              <w:rPr>
                <w:rFonts w:ascii="Arial" w:cs="Arial" w:eastAsia="Arial" w:hAnsi="Arial"/>
                <w:b/>
                <w:bCs/>
                <w:i w:val="false"/>
                <w:iCs w:val="false"/>
                <w:color w:val="CC2222"/>
                <w:sz w:val="21"/>
                <w:szCs w:val="21"/>
              </w:rPr>
              <w:t xml:space="preserve">Yes</w:t>
            </w:r>
          </w:p>
        </w:tc>
        <w:tc>
          <w:tcPr>
            <w:tcW w:type="dxa" w:w="3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The Power Automate connector and API endpoint are completely different between Dynamics 365 Finance &amp; Operations (F&amp;O), Dynamics 365 Business Central, and the older Dynamics AX. Wrong version = flow cannot connect at all.</w:t>
            </w:r>
          </w:p>
        </w:tc>
      </w:tr>
      <w:tr>
        <w:tc>
          <w:tcPr>
            <w:tcW w:type="dxa" w:w="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bCs/>
                <w:i w:val="false"/>
                <w:iCs w:val="false"/>
                <w:color w:val="161C60"/>
                <w:sz w:val="21"/>
                <w:szCs w:val="21"/>
              </w:rPr>
              <w:t xml:space="preserve">2</w:t>
            </w:r>
          </w:p>
        </w:tc>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What is the Dynamics environment URL?</w:t>
            </w:r>
          </w:p>
        </w:tc>
        <w:tc>
          <w:tcPr>
            <w:tcW w:type="dxa" w:w="2200"/>
            <w:tcBorders>
              <w:top w:val="single" w:color="DDE3F0" w:sz="1"/>
              <w:left w:val="single" w:color="DDE3F0" w:sz="1"/>
              <w:bottom w:val="single" w:color="DDE3F0" w:sz="1"/>
              <w:right w:val="single" w:color="DDE3F0" w:sz="1"/>
            </w:tcBorders>
            <w:shd w:fill="FFEBEE" w:val="clear"/>
            <w:tcMar>
              <w:top w:type="dxa" w:w="80"/>
              <w:left w:type="dxa" w:w="120"/>
              <w:bottom w:type="dxa" w:w="80"/>
              <w:right w:type="dxa" w:w="80"/>
            </w:tcMar>
          </w:tcPr>
          <w:p>
            <w:pPr>
              <w:spacing w:after="100" w:before="0"/>
            </w:pPr>
            <w:r>
              <w:rPr>
                <w:rFonts w:ascii="Arial" w:cs="Arial" w:eastAsia="Arial" w:hAnsi="Arial"/>
                <w:b/>
                <w:bCs/>
                <w:i w:val="false"/>
                <w:iCs w:val="false"/>
                <w:color w:val="CC2222"/>
                <w:sz w:val="21"/>
                <w:szCs w:val="21"/>
              </w:rPr>
              <w:t xml:space="preserve">Yes</w:t>
            </w:r>
          </w:p>
        </w:tc>
        <w:tc>
          <w:tcPr>
            <w:tcW w:type="dxa" w:w="3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The URL where Dynamics is hosted (e.g. https://nucleom.operations.dynamics.com or https://nucleom.businesscentral.dynamics.com). Required for the Power Automate connector to know where to connect.</w:t>
            </w:r>
          </w:p>
        </w:tc>
      </w:tr>
      <w:tr>
        <w:tc>
          <w:tcPr>
            <w:tcW w:type="dxa" w:w="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bCs/>
                <w:i w:val="false"/>
                <w:iCs w:val="false"/>
                <w:color w:val="161C60"/>
                <w:sz w:val="21"/>
                <w:szCs w:val="21"/>
              </w:rPr>
              <w:t xml:space="preserve">3</w:t>
            </w:r>
          </w:p>
        </w:tc>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Is there a project category, profit centre, dimension, or job type field on invoices or sales orders that maps to the 5 BU Services initiatives?</w:t>
            </w:r>
          </w:p>
        </w:tc>
        <w:tc>
          <w:tcPr>
            <w:tcW w:type="dxa" w:w="2200"/>
            <w:tcBorders>
              <w:top w:val="single" w:color="DDE3F0" w:sz="1"/>
              <w:left w:val="single" w:color="DDE3F0" w:sz="1"/>
              <w:bottom w:val="single" w:color="DDE3F0" w:sz="1"/>
              <w:right w:val="single" w:color="DDE3F0" w:sz="1"/>
            </w:tcBorders>
            <w:shd w:fill="FFEBEE" w:val="clear"/>
            <w:tcMar>
              <w:top w:type="dxa" w:w="80"/>
              <w:left w:type="dxa" w:w="120"/>
              <w:bottom w:type="dxa" w:w="80"/>
              <w:right w:type="dxa" w:w="80"/>
            </w:tcMar>
          </w:tcPr>
          <w:p>
            <w:pPr>
              <w:spacing w:after="100" w:before="0"/>
            </w:pPr>
            <w:r>
              <w:rPr>
                <w:rFonts w:ascii="Arial" w:cs="Arial" w:eastAsia="Arial" w:hAnsi="Arial"/>
                <w:b/>
                <w:bCs/>
                <w:i w:val="false"/>
                <w:iCs w:val="false"/>
                <w:color w:val="CC2222"/>
                <w:sz w:val="21"/>
                <w:szCs w:val="21"/>
              </w:rPr>
              <w:t xml:space="preserve">Yes</w:t>
            </w:r>
          </w:p>
        </w:tc>
        <w:tc>
          <w:tcPr>
            <w:tcW w:type="dxa" w:w="3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This is the most critical question. If invoices are tagged with something like 'Mining NDT', 'Pipeline DA', 'Nuclear', etc., the flow can automatically split revenue by initiative. If not, all Dynamics revenue comes through as one lump sum and the initiative split must remain manual.</w:t>
            </w:r>
          </w:p>
        </w:tc>
      </w:tr>
      <w:tr>
        <w:tc>
          <w:tcPr>
            <w:tcW w:type="dxa" w:w="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bCs/>
                <w:i w:val="false"/>
                <w:iCs w:val="false"/>
                <w:color w:val="161C60"/>
                <w:sz w:val="21"/>
                <w:szCs w:val="21"/>
              </w:rPr>
              <w:t xml:space="preserve">4</w:t>
            </w:r>
          </w:p>
        </w:tc>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If yes to question 3 — what are the exact field name and picklist values used?</w:t>
            </w:r>
          </w:p>
        </w:tc>
        <w:tc>
          <w:tcPr>
            <w:tcW w:type="dxa" w:w="2200"/>
            <w:tcBorders>
              <w:top w:val="single" w:color="DDE3F0" w:sz="1"/>
              <w:left w:val="single" w:color="DDE3F0" w:sz="1"/>
              <w:bottom w:val="single" w:color="DDE3F0" w:sz="1"/>
              <w:right w:val="single" w:color="DDE3F0" w:sz="1"/>
            </w:tcBorders>
            <w:shd w:fill="FFEBEE" w:val="clear"/>
            <w:tcMar>
              <w:top w:type="dxa" w:w="80"/>
              <w:left w:type="dxa" w:w="120"/>
              <w:bottom w:type="dxa" w:w="80"/>
              <w:right w:type="dxa" w:w="80"/>
            </w:tcMar>
          </w:tcPr>
          <w:p>
            <w:pPr>
              <w:spacing w:after="100" w:before="0"/>
            </w:pPr>
            <w:r>
              <w:rPr>
                <w:rFonts w:ascii="Arial" w:cs="Arial" w:eastAsia="Arial" w:hAnsi="Arial"/>
                <w:b/>
                <w:bCs/>
                <w:i w:val="false"/>
                <w:iCs w:val="false"/>
                <w:color w:val="CC2222"/>
                <w:sz w:val="21"/>
                <w:szCs w:val="21"/>
              </w:rPr>
              <w:t xml:space="preserve">Yes</w:t>
            </w:r>
          </w:p>
        </w:tc>
        <w:tc>
          <w:tcPr>
            <w:tcW w:type="dxa" w:w="3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The exact API field name (e.g. ProjectCategory, Dimension1, JobType) and the exact values as they appear in Dynamics (e.g. 'MINING', 'NDT-MINING', 'Mining NDT'). These go directly into the flow filter expressions.</w:t>
            </w:r>
          </w:p>
        </w:tc>
      </w:tr>
      <w:tr>
        <w:tc>
          <w:tcPr>
            <w:tcW w:type="dxa" w:w="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bCs/>
                <w:i w:val="false"/>
                <w:iCs w:val="false"/>
                <w:color w:val="161C60"/>
                <w:sz w:val="21"/>
                <w:szCs w:val="21"/>
              </w:rPr>
              <w:t xml:space="preserve">5</w:t>
            </w:r>
          </w:p>
        </w:tc>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What are the legal entity codes or company names in Dynamics for Nucleom and Nortech?</w:t>
            </w:r>
          </w:p>
        </w:tc>
        <w:tc>
          <w:tcPr>
            <w:tcW w:type="dxa" w:w="2200"/>
            <w:tcBorders>
              <w:top w:val="single" w:color="DDE3F0" w:sz="1"/>
              <w:left w:val="single" w:color="DDE3F0" w:sz="1"/>
              <w:bottom w:val="single" w:color="DDE3F0" w:sz="1"/>
              <w:right w:val="single" w:color="DDE3F0" w:sz="1"/>
            </w:tcBorders>
            <w:shd w:fill="FFF8E1" w:val="clear"/>
            <w:tcMar>
              <w:top w:type="dxa" w:w="80"/>
              <w:left w:type="dxa" w:w="120"/>
              <w:bottom w:type="dxa" w:w="80"/>
              <w:right w:type="dxa" w:w="80"/>
            </w:tcMar>
          </w:tcPr>
          <w:p>
            <w:pPr>
              <w:spacing w:after="100" w:before="0"/>
            </w:pPr>
            <w:r>
              <w:rPr>
                <w:rFonts w:ascii="Arial" w:cs="Arial" w:eastAsia="Arial" w:hAnsi="Arial"/>
                <w:b/>
                <w:bCs/>
                <w:i w:val="false"/>
                <w:iCs w:val="false"/>
                <w:color w:val="C9860A"/>
                <w:sz w:val="21"/>
                <w:szCs w:val="21"/>
              </w:rPr>
              <w:t xml:space="preserve">Partial</w:t>
            </w:r>
          </w:p>
        </w:tc>
        <w:tc>
          <w:tcPr>
            <w:tcW w:type="dxa" w:w="3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In Dynamics F&amp;O, each company has a legal entity code (e.g. 'NUC', 'NUCLEOM', 'NOR'). In Business Central, it is the company name. Required to ensure the flow only pulls Nucleom revenue and not data from other entities in the same Dynamics instance.</w:t>
            </w:r>
          </w:p>
        </w:tc>
      </w:tr>
      <w:tr>
        <w:tc>
          <w:tcPr>
            <w:tcW w:type="dxa" w:w="4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bCs/>
                <w:i w:val="false"/>
                <w:iCs w:val="false"/>
                <w:color w:val="161C60"/>
                <w:sz w:val="21"/>
                <w:szCs w:val="21"/>
              </w:rPr>
              <w:t xml:space="preserve">6</w:t>
            </w:r>
          </w:p>
        </w:tc>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What table or data entity should the flow query for invoiced revenue?</w:t>
            </w:r>
          </w:p>
        </w:tc>
        <w:tc>
          <w:tcPr>
            <w:tcW w:type="dxa" w:w="2200"/>
            <w:tcBorders>
              <w:top w:val="single" w:color="DDE3F0" w:sz="1"/>
              <w:left w:val="single" w:color="DDE3F0" w:sz="1"/>
              <w:bottom w:val="single" w:color="DDE3F0" w:sz="1"/>
              <w:right w:val="single" w:color="DDE3F0" w:sz="1"/>
            </w:tcBorders>
            <w:shd w:fill="FFF8E1" w:val="clear"/>
            <w:tcMar>
              <w:top w:type="dxa" w:w="80"/>
              <w:left w:type="dxa" w:w="120"/>
              <w:bottom w:type="dxa" w:w="80"/>
              <w:right w:type="dxa" w:w="80"/>
            </w:tcMar>
          </w:tcPr>
          <w:p>
            <w:pPr>
              <w:spacing w:after="100" w:before="0"/>
            </w:pPr>
            <w:r>
              <w:rPr>
                <w:rFonts w:ascii="Arial" w:cs="Arial" w:eastAsia="Arial" w:hAnsi="Arial"/>
                <w:b/>
                <w:bCs/>
                <w:i w:val="false"/>
                <w:iCs w:val="false"/>
                <w:color w:val="C9860A"/>
                <w:sz w:val="21"/>
                <w:szCs w:val="21"/>
              </w:rPr>
              <w:t xml:space="preserve">Partial</w:t>
            </w:r>
          </w:p>
        </w:tc>
        <w:tc>
          <w:tcPr>
            <w:tcW w:type="dxa" w:w="3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In F&amp;O: typically CustInvoiceJour or SalesInvoiceLine. In Business Central: typically the Customer Ledger Entries or Sales Invoice Line table. Mathieu or the Dynamics admin/partner will know which table holds posted invoice revenue for reporting.</w:t>
            </w:r>
          </w:p>
        </w:tc>
      </w:tr>
      <w:tr>
        <w:tc>
          <w:tcPr>
            <w:tcW w:type="dxa" w:w="4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bCs/>
                <w:i w:val="false"/>
                <w:iCs w:val="false"/>
                <w:color w:val="161C60"/>
                <w:sz w:val="21"/>
                <w:szCs w:val="21"/>
              </w:rPr>
              <w:t xml:space="preserve">7</w:t>
            </w:r>
          </w:p>
        </w:tc>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Does your O365 account or a service account have API / connector access to Dynamics, or does this require your Dynamics implementation partner?</w:t>
            </w:r>
          </w:p>
        </w:tc>
        <w:tc>
          <w:tcPr>
            <w:tcW w:type="dxa" w:w="2200"/>
            <w:tcBorders>
              <w:top w:val="single" w:color="DDE3F0" w:sz="1"/>
              <w:left w:val="single" w:color="DDE3F0" w:sz="1"/>
              <w:bottom w:val="single" w:color="DDE3F0" w:sz="1"/>
              <w:right w:val="single" w:color="DDE3F0" w:sz="1"/>
            </w:tcBorders>
            <w:shd w:fill="E8F5E9" w:val="clear"/>
            <w:tcMar>
              <w:top w:type="dxa" w:w="80"/>
              <w:left w:type="dxa" w:w="120"/>
              <w:bottom w:type="dxa" w:w="80"/>
              <w:right w:type="dxa" w:w="80"/>
            </w:tcMar>
          </w:tcPr>
          <w:p>
            <w:pPr>
              <w:spacing w:after="100" w:before="0"/>
            </w:pPr>
            <w:r>
              <w:rPr>
                <w:rFonts w:ascii="Arial" w:cs="Arial" w:eastAsia="Arial" w:hAnsi="Arial"/>
                <w:b/>
                <w:bCs/>
                <w:i w:val="false"/>
                <w:iCs w:val="false"/>
                <w:color w:val="196B24"/>
                <w:sz w:val="21"/>
                <w:szCs w:val="21"/>
              </w:rPr>
              <w:t xml:space="preserve">No</w:t>
            </w:r>
          </w:p>
        </w:tc>
        <w:tc>
          <w:tcPr>
            <w:tcW w:type="dxa" w:w="3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If someone on the team already has Power Automate connector access to Dynamics, the flow can be built and tested internally. If it requires the Dynamics partner, we need to schedule that. Does not block building the flow logic but determines who activates it.</w:t>
            </w:r>
          </w:p>
        </w:tc>
      </w:tr>
    </w:tbl>
    <w:p>
      <w:pPr>
        <w:spacing w:after="100" w:before="160"/>
      </w:pPr>
      <w:r>
        <w:rPr>
          <w:rFonts w:ascii="Arial" w:cs="Arial" w:eastAsia="Arial" w:hAnsi="Arial"/>
          <w:b w:val="false"/>
          <w:bCs w:val="false"/>
          <w:i w:val="false"/>
          <w:iCs w:val="false"/>
          <w:color w:val="384660"/>
          <w:sz w:val="22"/>
          <w:szCs w:val="22"/>
        </w:rPr>
        <w:t xml:space="preserve"> </w:t>
      </w:r>
    </w:p>
    <w:p>
      <w:pPr>
        <w:pStyle w:val="Heading1"/>
        <w:spacing w:after="160" w:before="400"/>
      </w:pPr>
      <w:r>
        <w:rPr>
          <w:rFonts w:ascii="Arial" w:cs="Arial" w:eastAsia="Arial" w:hAnsi="Arial"/>
          <w:color w:val="161C60"/>
        </w:rPr>
        <w:t xml:space="preserve">2.  What Is Already Built (Placeholders in Place)</w:t>
      </w:r>
    </w:p>
    <w:p>
      <w:pPr>
        <w:pBdr>
          <w:bottom w:val="single" w:color="DDE3F0" w:sz="6" w:space="1"/>
        </w:pBdr>
        <w:spacing w:after="0" w:before="0"/>
      </w:pPr>
      <w:r>
        <w:rPr>
          <w:rFonts w:ascii="Arial" w:cs="Arial" w:eastAsia="Arial" w:hAnsi="Arial"/>
          <w:b w:val="false"/>
          <w:bCs w:val="false"/>
          <w:i w:val="false"/>
          <w:iCs w:val="false"/>
          <w:color w:val="384660"/>
          <w:sz w:val="22"/>
          <w:szCs w:val="22"/>
        </w:rPr>
        <w:t xml:space="preserve"> </w:t>
      </w:r>
    </w:p>
    <w:p>
      <w:pPr>
        <w:spacing w:after="100" w:before="80"/>
      </w:pPr>
      <w:r>
        <w:rPr>
          <w:rFonts w:ascii="Arial" w:cs="Arial" w:eastAsia="Arial" w:hAnsi="Arial"/>
          <w:b w:val="false"/>
          <w:bCs w:val="false"/>
          <w:i w:val="false"/>
          <w:iCs w:val="false"/>
          <w:color w:val="384660"/>
          <w:sz w:val="22"/>
          <w:szCs w:val="22"/>
        </w:rPr>
        <w:t xml:space="preserve"> </w:t>
      </w:r>
    </w:p>
    <w:p>
      <w:pPr>
        <w:spacing w:after="120" w:before="0"/>
      </w:pPr>
      <w:r>
        <w:rPr>
          <w:rFonts w:ascii="Arial" w:cs="Arial" w:eastAsia="Arial" w:hAnsi="Arial"/>
          <w:b w:val="false"/>
          <w:bCs w:val="false"/>
          <w:i w:val="false"/>
          <w:iCs w:val="false"/>
          <w:color w:val="384660"/>
          <w:sz w:val="22"/>
          <w:szCs w:val="22"/>
        </w:rPr>
        <w:t xml:space="preserve">The Power Automate flow structure has been designed and partially built. The following components are complete and will not change regardless of the answers to the 7 questions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Component</w:t>
            </w:r>
          </w:p>
        </w:tc>
        <w:tc>
          <w:tcPr>
            <w:tcW w:type="dxa" w:w="61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Status</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Sunday 7PM ET schedule trigger</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Complete — same trigger as existing Salesforce flow</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actuals.json structure</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Complete — 37 fields including all monthly and entity fields ready to receive Dynamics data</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JSON Build + SharePoint write step</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Complete — will receive Dynamics values the same way it receives Salesforce values</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Command Centre monthly chart</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Complete — Revenue by Month section already reads from actuals.json monthly object</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Command Centre Revenue Foundation</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Complete — Nucleom and Nortech entity cards ready to show Dynamics invoiced totals</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Dynamics connector (placeholder)</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Built with [DYNAMICS_ENV_URL] placeholder — needs real URL from question 2</w:t>
            </w:r>
          </w:p>
        </w:tc>
      </w:tr>
      <w:tr>
        <w:tc>
          <w:tcPr>
            <w:tcW w:type="dxa" w:w="3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Invoice query filter (placeholder)</w:t>
            </w:r>
          </w:p>
        </w:tc>
        <w:tc>
          <w:tcPr>
            <w:tcW w:type="dxa" w:w="6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Built with [LEGAL_ENTITY] and [PROJECT_DIM_FIELD] placeholders — needs answers to questions 3-6</w:t>
            </w:r>
          </w:p>
        </w:tc>
      </w:tr>
      <w:tr>
        <w:tc>
          <w:tcPr>
            <w:tcW w:type="dxa" w:w="3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Initiative revenue split (placeholder)</w:t>
            </w:r>
          </w:p>
        </w:tc>
        <w:tc>
          <w:tcPr>
            <w:tcW w:type="dxa" w:w="6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Built with [MINING_CODE], [PIPELINE_CODE] etc. placeholders — needs answer to question 4</w:t>
            </w:r>
          </w:p>
        </w:tc>
      </w:tr>
    </w:tbl>
    <w:p>
      <w:pPr>
        <w:spacing w:after="100" w:before="160"/>
      </w:pPr>
      <w:r>
        <w:rPr>
          <w:rFonts w:ascii="Arial" w:cs="Arial" w:eastAsia="Arial" w:hAnsi="Arial"/>
          <w:b w:val="false"/>
          <w:bCs w:val="false"/>
          <w:i w:val="false"/>
          <w:iCs w:val="false"/>
          <w:color w:val="384660"/>
          <w:sz w:val="22"/>
          <w:szCs w:val="22"/>
        </w:rPr>
        <w:t xml:space="preserve"> </w:t>
      </w:r>
    </w:p>
    <w:p>
      <w:pPr>
        <w:pStyle w:val="Heading1"/>
        <w:spacing w:after="160" w:before="400"/>
      </w:pPr>
      <w:r>
        <w:rPr>
          <w:rFonts w:ascii="Arial" w:cs="Arial" w:eastAsia="Arial" w:hAnsi="Arial"/>
          <w:color w:val="161C60"/>
        </w:rPr>
        <w:t xml:space="preserve">3.  The Power Automate Flow — Complete Structure</w:t>
      </w:r>
    </w:p>
    <w:p>
      <w:pPr>
        <w:pBdr>
          <w:bottom w:val="single" w:color="DDE3F0" w:sz="6" w:space="1"/>
        </w:pBdr>
        <w:spacing w:after="0" w:before="0"/>
      </w:pPr>
      <w:r>
        <w:rPr>
          <w:rFonts w:ascii="Arial" w:cs="Arial" w:eastAsia="Arial" w:hAnsi="Arial"/>
          <w:b w:val="false"/>
          <w:bCs w:val="false"/>
          <w:i w:val="false"/>
          <w:iCs w:val="false"/>
          <w:color w:val="384660"/>
          <w:sz w:val="22"/>
          <w:szCs w:val="22"/>
        </w:rPr>
        <w:t xml:space="preserve"> </w:t>
      </w:r>
    </w:p>
    <w:p>
      <w:pPr>
        <w:spacing w:after="100" w:before="80"/>
      </w:pPr>
      <w:r>
        <w:rPr>
          <w:rFonts w:ascii="Arial" w:cs="Arial" w:eastAsia="Arial" w:hAnsi="Arial"/>
          <w:b w:val="false"/>
          <w:bCs w:val="false"/>
          <w:i w:val="false"/>
          <w:iCs w:val="false"/>
          <w:color w:val="384660"/>
          <w:sz w:val="22"/>
          <w:szCs w:val="22"/>
        </w:rPr>
        <w:t xml:space="preserve"> </w:t>
      </w:r>
    </w:p>
    <w:p>
      <w:pPr>
        <w:spacing w:after="120" w:before="0"/>
      </w:pPr>
      <w:r>
        <w:rPr>
          <w:rFonts w:ascii="Arial" w:cs="Arial" w:eastAsia="Arial" w:hAnsi="Arial"/>
          <w:b w:val="false"/>
          <w:bCs w:val="false"/>
          <w:i w:val="false"/>
          <w:iCs w:val="false"/>
          <w:color w:val="384660"/>
          <w:sz w:val="22"/>
          <w:szCs w:val="22"/>
        </w:rPr>
        <w:t xml:space="preserve">This section shows the complete flow design. Items marked </w:t>
      </w:r>
      <w:r>
        <w:rPr>
          <w:rFonts w:ascii="Arial" w:cs="Arial" w:eastAsia="Arial" w:hAnsi="Arial"/>
          <w:b/>
          <w:bCs/>
          <w:i w:val="false"/>
          <w:iCs w:val="false"/>
          <w:color w:val="006EAF"/>
          <w:sz w:val="22"/>
          <w:szCs w:val="22"/>
        </w:rPr>
        <w:t xml:space="preserve">[PLACEHOLDER]</w:t>
      </w:r>
      <w:r>
        <w:rPr>
          <w:rFonts w:ascii="Arial" w:cs="Arial" w:eastAsia="Arial" w:hAnsi="Arial"/>
          <w:b w:val="false"/>
          <w:bCs w:val="false"/>
          <w:i w:val="false"/>
          <w:iCs w:val="false"/>
          <w:color w:val="384660"/>
          <w:sz w:val="22"/>
          <w:szCs w:val="22"/>
        </w:rPr>
        <w:t xml:space="preserve"> need the answers from Section 1 before they can be activated. All other steps are ready.</w:t>
      </w:r>
    </w:p>
    <w:p>
      <w:pPr>
        <w:pStyle w:val="Heading2"/>
        <w:spacing w:after="120" w:before="280"/>
      </w:pPr>
      <w:r>
        <w:rPr>
          <w:rFonts w:ascii="Arial" w:cs="Arial" w:eastAsia="Arial" w:hAnsi="Arial"/>
          <w:color w:val="161C60"/>
        </w:rPr>
        <w:t xml:space="preserve">3.1  Overview — parallel branches in one Sunday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Branch</w:t>
            </w:r>
          </w:p>
        </w:tc>
        <w:tc>
          <w:tcPr>
            <w:tcW w:type="dxa" w:w="71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What it queries</w:t>
            </w:r>
          </w:p>
        </w:tc>
      </w:tr>
      <w:tr>
        <w:tc>
          <w:tcPr>
            <w:tcW w:type="dxa" w:w="2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Branch A — Salesforce (existing)</w:t>
            </w:r>
          </w:p>
        </w:tc>
        <w:tc>
          <w:tcPr>
            <w:tcW w:type="dxa" w:w="7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Salesforce Closed Won + Open Pipeline by BU Initiative</w:t>
            </w:r>
          </w:p>
        </w:tc>
      </w:tr>
      <w:tr>
        <w:tc>
          <w:tcPr>
            <w:tcW w:type="dxa" w:w="2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Branch B — Dynamics (new)</w:t>
            </w:r>
          </w:p>
        </w:tc>
        <w:tc>
          <w:tcPr>
            <w:tcW w:type="dxa" w:w="7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Dynamics posted invoices by entity and project category for current month and YTD</w:t>
            </w:r>
          </w:p>
        </w:tc>
      </w:tr>
      <w:tr>
        <w:tc>
          <w:tcPr>
            <w:tcW w:type="dxa" w:w="2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Branch C — SharePoint (existing)</w:t>
            </w:r>
          </w:p>
        </w:tc>
        <w:tc>
          <w:tcPr>
            <w:tcW w:type="dxa" w:w="7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Utilisation Tracker Excel workbook</w:t>
            </w:r>
          </w:p>
        </w:tc>
      </w:tr>
      <w:tr>
        <w:tc>
          <w:tcPr>
            <w:tcW w:type="dxa" w:w="2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Branch D — SharePoint (existing)</w:t>
            </w:r>
          </w:p>
        </w:tc>
        <w:tc>
          <w:tcPr>
            <w:tcW w:type="dxa" w:w="7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Meeting Actions list</w:t>
            </w:r>
          </w:p>
        </w:tc>
      </w:tr>
      <w:tr>
        <w:tc>
          <w:tcPr>
            <w:tcW w:type="dxa" w:w="2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Final step</w:t>
            </w:r>
          </w:p>
        </w:tc>
        <w:tc>
          <w:tcPr>
            <w:tcW w:type="dxa" w:w="7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Merges all four branches into one JSON object</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EAF" w:sz="1"/>
              <w:left w:val="none" w:color="FFFFFF" w:sz="0"/>
              <w:bottom w:val="none" w:color="FFFFFF" w:sz="0"/>
              <w:right w:val="none" w:color="FFFFFF" w:sz="0"/>
            </w:tcBorders>
            <w:shd w:fill="E6F4FB" w:val="clear"/>
            <w:tcMar>
              <w:top w:type="dxa" w:w="120"/>
              <w:left w:type="dxa" w:w="200"/>
              <w:bottom w:type="dxa" w:w="0"/>
              <w:right w:type="dxa" w:w="120"/>
            </w:tcMar>
          </w:tcPr>
          <w:p>
            <w:pPr>
              <w:spacing w:after="100" w:before="0"/>
            </w:pPr>
            <w:r>
              <w:rPr>
                <w:rFonts w:ascii="Arial" w:cs="Arial" w:eastAsia="Arial" w:hAnsi="Arial"/>
                <w:b/>
                <w:bCs/>
                <w:i w:val="false"/>
                <w:iCs w:val="false"/>
                <w:color w:val="006EAF"/>
                <w:sz w:val="19"/>
                <w:szCs w:val="19"/>
              </w:rPr>
              <w:t xml:space="preserve">Why Dynamics replaces Salesforce for invoiced actuals (not for pipeline)</w:t>
            </w:r>
          </w:p>
        </w:tc>
      </w:tr>
      <w:tr>
        <w:tc>
          <w:tcPr>
            <w:tcW w:type="dxa" w:w="9360"/>
            <w:tcBorders>
              <w:top w:val="none" w:color="FFFFFF" w:sz="0"/>
              <w:left w:val="none" w:color="FFFFFF" w:sz="0"/>
              <w:bottom w:val="single" w:color="006EAF" w:sz="1"/>
              <w:right w:val="none" w:color="FFFFFF" w:sz="0"/>
            </w:tcBorders>
            <w:shd w:fill="E6F4FB" w:val="clear"/>
            <w:tcMar>
              <w:top w:type="dxa" w:w="0"/>
              <w:left w:type="dxa" w:w="200"/>
              <w:bottom w:type="dxa" w:w="120"/>
              <w:right w:type="dxa" w:w="120"/>
            </w:tcMar>
          </w:tcPr>
          <w:p>
            <w:pPr>
              <w:spacing w:after="100" w:before="0"/>
            </w:pPr>
            <w:r>
              <w:rPr>
                <w:rFonts w:ascii="Arial" w:cs="Arial" w:eastAsia="Arial" w:hAnsi="Arial"/>
                <w:b w:val="false"/>
                <w:bCs w:val="false"/>
                <w:i w:val="false"/>
                <w:iCs w:val="false"/>
                <w:color w:val="384660"/>
                <w:sz w:val="21"/>
                <w:szCs w:val="21"/>
              </w:rPr>
              <w:t xml:space="preserve">Salesforce tracks what is expected to be invoiced — proposals, MSAs, open opportunities. Dynamics tracks what was actually invoiced, including small callout jobs dispatched by ops directly. The Command Centre monthly chart should show invoiced actuals from Dynamics. The Revenue Foundation section will show Salesforce Closed Won for the pipeline view and Dynamics invoiced totals for the actuals view. Both are needed — they are complementary, not competing.</w:t>
            </w:r>
          </w:p>
        </w:tc>
      </w:tr>
    </w:tbl>
    <w:p>
      <w:pPr>
        <w:spacing w:after="100" w:before="120"/>
      </w:pPr>
      <w:r>
        <w:rPr>
          <w:rFonts w:ascii="Arial" w:cs="Arial" w:eastAsia="Arial" w:hAnsi="Arial"/>
          <w:b w:val="false"/>
          <w:bCs w:val="false"/>
          <w:i w:val="false"/>
          <w:iCs w:val="false"/>
          <w:color w:val="384660"/>
          <w:sz w:val="22"/>
          <w:szCs w:val="22"/>
        </w:rPr>
        <w:t xml:space="preserve"> </w:t>
      </w:r>
    </w:p>
    <w:p>
      <w:pPr>
        <w:pStyle w:val="Heading2"/>
        <w:spacing w:after="120" w:before="280"/>
      </w:pPr>
      <w:r>
        <w:rPr>
          <w:rFonts w:ascii="Arial" w:cs="Arial" w:eastAsia="Arial" w:hAnsi="Arial"/>
          <w:color w:val="161C60"/>
        </w:rPr>
        <w:t xml:space="preserve">3.2  Branch B — Dynamics query actions (complete with placeholders)</w:t>
      </w:r>
    </w:p>
    <w:p>
      <w:pPr>
        <w:spacing w:after="80" w:before="0"/>
      </w:pPr>
      <w:r>
        <w:rPr>
          <w:rFonts w:ascii="Arial" w:cs="Arial" w:eastAsia="Arial" w:hAnsi="Arial"/>
          <w:b w:val="false"/>
          <w:bCs w:val="false"/>
          <w:i w:val="false"/>
          <w:iCs w:val="false"/>
          <w:color w:val="384660"/>
          <w:sz w:val="22"/>
          <w:szCs w:val="22"/>
        </w:rPr>
        <w:t xml:space="preserve">Once Mathieu confirms questions 1-6, replace every </w:t>
      </w:r>
      <w:r>
        <w:rPr>
          <w:rFonts w:ascii="Arial" w:cs="Arial" w:eastAsia="Arial" w:hAnsi="Arial"/>
          <w:b/>
          <w:bCs/>
          <w:i w:val="false"/>
          <w:iCs w:val="false"/>
          <w:color w:val="006EAF"/>
          <w:sz w:val="22"/>
          <w:szCs w:val="22"/>
        </w:rPr>
        <w:t xml:space="preserve">[PLACEHOLDER]</w:t>
      </w:r>
      <w:r>
        <w:rPr>
          <w:rFonts w:ascii="Arial" w:cs="Arial" w:eastAsia="Arial" w:hAnsi="Arial"/>
          <w:b w:val="false"/>
          <w:bCs w:val="false"/>
          <w:i w:val="false"/>
          <w:iCs w:val="false"/>
          <w:color w:val="384660"/>
          <w:sz w:val="22"/>
          <w:szCs w:val="22"/>
        </w:rPr>
        <w:t xml:space="preserve"> below with the confirmed value. The surrounding flow structure does not change.</w:t>
      </w:r>
    </w:p>
    <w:p>
      <w:pPr>
        <w:pStyle w:val="Heading3"/>
        <w:spacing w:after="80" w:before="200"/>
      </w:pPr>
      <w:r>
        <w:rPr>
          <w:rFonts w:ascii="Arial" w:cs="Arial" w:eastAsia="Arial" w:hAnsi="Arial"/>
          <w:color w:val="0D1040"/>
        </w:rPr>
        <w:t xml:space="preserve">Action B1 — Get Dynamics invoices for current month (Dynamics 365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Setting</w:t>
            </w:r>
          </w:p>
        </w:tc>
        <w:tc>
          <w:tcPr>
            <w:tcW w:type="dxa" w:w="65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Value</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Action type</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Dynamics 365 — List records   (or HTTP action for OData API — see Section 3.4)</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Environment URL</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[DYNAMICS_ENV_URL]   ← answer to question 2</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Entity / Table name</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[INVOICE_TABLE_NAME]   ← answer to question 6  (e.g. CustInvoiceJour or Customer Ledger Entries)</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Filter expression</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[LEGAL_ENTITY_FIELD] eq '[NUCLEOM_ENTITY_CODE]' and PostingDate ge @{startOfMonth(utcNow())} and PostingDate le @{utcNow()}   ← answers to questions 5 and 6</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Select fields</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InvoiceAmount, [PROJECT_DIM_FIELD], PostingDate, CustomerAccount</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Purpose</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Returns all Nucleom invoices posted this calendar month</w:t>
            </w:r>
          </w:p>
        </w:tc>
      </w:tr>
    </w:tbl>
    <w:p>
      <w:pPr>
        <w:spacing w:after="100" w:before="60"/>
      </w:pPr>
      <w:r>
        <w:rPr>
          <w:rFonts w:ascii="Arial" w:cs="Arial" w:eastAsia="Arial" w:hAnsi="Arial"/>
          <w:b w:val="false"/>
          <w:bCs w:val="false"/>
          <w:i w:val="false"/>
          <w:iCs w:val="false"/>
          <w:color w:val="384660"/>
          <w:sz w:val="22"/>
          <w:szCs w:val="22"/>
        </w:rPr>
        <w:t xml:space="preserve"> </w:t>
      </w:r>
    </w:p>
    <w:p>
      <w:pPr>
        <w:pStyle w:val="Heading3"/>
        <w:spacing w:after="80" w:before="200"/>
      </w:pPr>
      <w:r>
        <w:rPr>
          <w:rFonts w:ascii="Arial" w:cs="Arial" w:eastAsia="Arial" w:hAnsi="Arial"/>
          <w:color w:val="0D1040"/>
        </w:rPr>
        <w:t xml:space="preserve">Action B2 — Get Dynamics invoices YTD (same connector, date range = Jan 1 to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Setting</w:t>
            </w:r>
          </w:p>
        </w:tc>
        <w:tc>
          <w:tcPr>
            <w:tcW w:type="dxa" w:w="65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Value</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Filter expression</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[LEGAL_ENTITY_FIELD] eq '[NUCLEOM_ENTITY_CODE]' and PostingDate ge '@{startOfYear(utcNow())}' and PostingDate le '@{utcNow()}'</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Purpose</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Returns all Nucleom invoices from January 1 to today — used for YTD totals in Revenue Foundation section</w:t>
            </w:r>
          </w:p>
        </w:tc>
      </w:tr>
    </w:tbl>
    <w:p>
      <w:pPr>
        <w:spacing w:after="100" w:before="60"/>
      </w:pPr>
      <w:r>
        <w:rPr>
          <w:rFonts w:ascii="Arial" w:cs="Arial" w:eastAsia="Arial" w:hAnsi="Arial"/>
          <w:b w:val="false"/>
          <w:bCs w:val="false"/>
          <w:i w:val="false"/>
          <w:iCs w:val="false"/>
          <w:color w:val="384660"/>
          <w:sz w:val="22"/>
          <w:szCs w:val="22"/>
        </w:rPr>
        <w:t xml:space="preserve"> </w:t>
      </w:r>
    </w:p>
    <w:p>
      <w:pPr>
        <w:pStyle w:val="Heading3"/>
        <w:spacing w:after="80" w:before="200"/>
      </w:pPr>
      <w:r>
        <w:rPr>
          <w:rFonts w:ascii="Arial" w:cs="Arial" w:eastAsia="Arial" w:hAnsi="Arial"/>
          <w:color w:val="0D1040"/>
        </w:rPr>
        <w:t xml:space="preserve">Action B3 — Repeat B1 and B2 for Nortech</w:t>
      </w:r>
    </w:p>
    <w:p>
      <w:pPr>
        <w:spacing w:after="80" w:before="0"/>
      </w:pPr>
      <w:r>
        <w:rPr>
          <w:rFonts w:ascii="Arial" w:cs="Arial" w:eastAsia="Arial" w:hAnsi="Arial"/>
          <w:b w:val="false"/>
          <w:bCs w:val="false"/>
          <w:i w:val="false"/>
          <w:iCs w:val="false"/>
          <w:color w:val="384660"/>
          <w:sz w:val="22"/>
          <w:szCs w:val="22"/>
        </w:rPr>
        <w:t xml:space="preserve">Identical to B1 and B2 but with </w:t>
      </w:r>
      <w:r>
        <w:rPr>
          <w:rFonts w:ascii="Arial" w:cs="Arial" w:eastAsia="Arial" w:hAnsi="Arial"/>
          <w:b/>
          <w:bCs/>
          <w:i w:val="false"/>
          <w:iCs w:val="false"/>
          <w:color w:val="006EAF"/>
          <w:sz w:val="22"/>
          <w:szCs w:val="22"/>
        </w:rPr>
        <w:t xml:space="preserve">[NORTECH_ENTITY_CODE]</w:t>
      </w:r>
      <w:r>
        <w:rPr>
          <w:rFonts w:ascii="Arial" w:cs="Arial" w:eastAsia="Arial" w:hAnsi="Arial"/>
          <w:b w:val="false"/>
          <w:bCs w:val="false"/>
          <w:i w:val="false"/>
          <w:iCs w:val="false"/>
          <w:color w:val="384660"/>
          <w:sz w:val="22"/>
          <w:szCs w:val="22"/>
        </w:rPr>
        <w:t xml:space="preserve"> in place of Nucleom. Nortech entity code = answer to question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60A" w:sz="1"/>
              <w:left w:val="none" w:color="FFFFFF" w:sz="0"/>
              <w:bottom w:val="none" w:color="FFFFFF" w:sz="0"/>
              <w:right w:val="none" w:color="FFFFFF" w:sz="0"/>
            </w:tcBorders>
            <w:shd w:fill="FFF8E1" w:val="clear"/>
            <w:tcMar>
              <w:top w:type="dxa" w:w="120"/>
              <w:left w:type="dxa" w:w="200"/>
              <w:bottom w:type="dxa" w:w="0"/>
              <w:right w:type="dxa" w:w="120"/>
            </w:tcMar>
          </w:tcPr>
          <w:p>
            <w:pPr>
              <w:spacing w:after="100" w:before="0"/>
            </w:pPr>
            <w:r>
              <w:rPr>
                <w:rFonts w:ascii="Arial" w:cs="Arial" w:eastAsia="Arial" w:hAnsi="Arial"/>
                <w:b/>
                <w:bCs/>
                <w:i w:val="false"/>
                <w:iCs w:val="false"/>
                <w:color w:val="C9860A"/>
                <w:sz w:val="19"/>
                <w:szCs w:val="19"/>
              </w:rPr>
              <w:t xml:space="preserve">If Nortech is not in Dynamics</w:t>
            </w:r>
          </w:p>
        </w:tc>
      </w:tr>
      <w:tr>
        <w:tc>
          <w:tcPr>
            <w:tcW w:type="dxa" w:w="9360"/>
            <w:tcBorders>
              <w:top w:val="none" w:color="FFFFFF" w:sz="0"/>
              <w:left w:val="none" w:color="FFFFFF" w:sz="0"/>
              <w:bottom w:val="single" w:color="C9860A" w:sz="1"/>
              <w:right w:val="none" w:color="FFFFFF" w:sz="0"/>
            </w:tcBorders>
            <w:shd w:fill="FFF8E1" w:val="clear"/>
            <w:tcMar>
              <w:top w:type="dxa" w:w="0"/>
              <w:left w:type="dxa" w:w="200"/>
              <w:bottom w:type="dxa" w:w="120"/>
              <w:right w:type="dxa" w:w="120"/>
            </w:tcMar>
          </w:tcPr>
          <w:p>
            <w:pPr>
              <w:spacing w:after="100" w:before="0"/>
            </w:pPr>
            <w:r>
              <w:rPr>
                <w:rFonts w:ascii="Arial" w:cs="Arial" w:eastAsia="Arial" w:hAnsi="Arial"/>
                <w:b w:val="false"/>
                <w:bCs w:val="false"/>
                <w:i w:val="false"/>
                <w:iCs w:val="false"/>
                <w:color w:val="384660"/>
                <w:sz w:val="21"/>
                <w:szCs w:val="21"/>
              </w:rPr>
              <w:t xml:space="preserve">If Nortech &amp; RockX uses a separate ERP system or is not yet in Dynamics, skip B3. Nortech monthly actuals remain as a manual entry in actuals.json (same as the current Nortech base revenue manual process). Confirm this with Mathieu — question 5 covers this.</w:t>
            </w:r>
          </w:p>
        </w:tc>
      </w:tr>
    </w:tbl>
    <w:p>
      <w:pPr>
        <w:spacing w:after="100" w:before="80"/>
      </w:pPr>
      <w:r>
        <w:rPr>
          <w:rFonts w:ascii="Arial" w:cs="Arial" w:eastAsia="Arial" w:hAnsi="Arial"/>
          <w:b w:val="false"/>
          <w:bCs w:val="false"/>
          <w:i w:val="false"/>
          <w:iCs w:val="false"/>
          <w:color w:val="384660"/>
          <w:sz w:val="22"/>
          <w:szCs w:val="22"/>
        </w:rPr>
        <w:t xml:space="preserve"> </w:t>
      </w:r>
    </w:p>
    <w:p>
      <w:pPr>
        <w:pStyle w:val="Heading3"/>
        <w:spacing w:after="80" w:before="200"/>
      </w:pPr>
      <w:r>
        <w:rPr>
          <w:rFonts w:ascii="Arial" w:cs="Arial" w:eastAsia="Arial" w:hAnsi="Arial"/>
          <w:color w:val="0D1040"/>
        </w:rPr>
        <w:t xml:space="preserve">Action B4 — Compose: sum by entity and initiative (requires answer to question 3)</w:t>
      </w:r>
    </w:p>
    <w:p>
      <w:pPr>
        <w:spacing w:after="80" w:before="0"/>
      </w:pPr>
      <w:r>
        <w:rPr>
          <w:rFonts w:ascii="Arial" w:cs="Arial" w:eastAsia="Arial" w:hAnsi="Arial"/>
          <w:b w:val="false"/>
          <w:bCs w:val="false"/>
          <w:i w:val="false"/>
          <w:iCs w:val="false"/>
          <w:color w:val="384660"/>
          <w:sz w:val="22"/>
          <w:szCs w:val="22"/>
        </w:rPr>
        <w:t xml:space="preserve">If question 3 is YES (there is a project dimension field), add Compose actions that filter and sum the invoice amounts by initiative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EAF" w:sz="1"/>
              <w:left w:val="single" w:color="006EAF" w:sz="1"/>
              <w:bottom w:val="single" w:color="006EAF" w:sz="1"/>
              <w:right w:val="single" w:color="006EAF" w:sz="1"/>
            </w:tcBorders>
            <w:shd w:fill="0B0F2A" w:val="clear"/>
            <w:tcMar>
              <w:top w:type="dxa" w:w="120"/>
              <w:left w:type="dxa" w:w="180"/>
              <w:bottom w:type="dxa" w:w="120"/>
              <w:right w:type="dxa" w:w="120"/>
            </w:tcMar>
          </w:tcPr>
          <w:p>
            <w:pPr>
              <w:spacing w:after="0" w:before="0"/>
            </w:pPr>
            <w:r>
              <w:rPr>
                <w:rFonts w:ascii="Courier New" w:cs="Courier New" w:eastAsia="Courier New" w:hAnsi="Courier New"/>
                <w:color w:val="22BB44"/>
                <w:sz w:val="19"/>
                <w:szCs w:val="19"/>
              </w:rPr>
              <w:t xml:space="preserve">-- If project dimension EXISTS (question 3 = Yes):</w:t>
            </w:r>
          </w:p>
          <w:p>
            <w:pPr>
              <w:spacing w:after="0" w:before="0"/>
            </w:pPr>
            <w:r>
              <w:rPr>
                <w:rFonts w:ascii="Courier New" w:cs="Courier New" w:eastAsia="Courier New" w:hAnsi="Courier New"/>
                <w:color w:val="22BB44"/>
                <w:sz w:val="19"/>
                <w:szCs w:val="19"/>
              </w:rPr>
              <w:t xml:space="preserve">Compose Nucleom Mining Monthly:</w:t>
            </w:r>
          </w:p>
          <w:p>
            <w:pPr>
              <w:spacing w:after="0" w:before="0"/>
            </w:pPr>
            <w:r>
              <w:rPr>
                <w:rFonts w:ascii="Courier New" w:cs="Courier New" w:eastAsia="Courier New" w:hAnsi="Courier New"/>
                <w:color w:val="22BB44"/>
                <w:sz w:val="19"/>
                <w:szCs w:val="19"/>
              </w:rPr>
              <w:t xml:space="preserve">  sum(filter(body('Get_Dynamics_Nucleom_Month')?['value'],</w:t>
            </w:r>
          </w:p>
          <w:p>
            <w:pPr>
              <w:spacing w:after="0" w:before="0"/>
            </w:pPr>
            <w:r>
              <w:rPr>
                <w:rFonts w:ascii="Courier New" w:cs="Courier New" w:eastAsia="Courier New" w:hAnsi="Courier New"/>
                <w:color w:val="22BB44"/>
                <w:sz w:val="19"/>
                <w:szCs w:val="19"/>
              </w:rPr>
              <w:t xml:space="preserve">    @equals(item()?['[PROJECT_DIM_FIELD]'], '[MINING_CODE]')),</w:t>
            </w:r>
          </w:p>
          <w:p>
            <w:pPr>
              <w:spacing w:after="0" w:before="0"/>
            </w:pPr>
            <w:r>
              <w:rPr>
                <w:rFonts w:ascii="Courier New" w:cs="Courier New" w:eastAsia="Courier New" w:hAnsi="Courier New"/>
                <w:color w:val="22BB44"/>
                <w:sz w:val="19"/>
                <w:szCs w:val="19"/>
              </w:rPr>
              <w:t xml:space="preserve">  'InvoiceAmount') / 1000000</w:t>
            </w:r>
          </w:p>
          <w:p>
            <w:pPr>
              <w:spacing w:after="0" w:before="0"/>
            </w:pPr>
            <w:r>
              <w:rPr>
                <w:rFonts w:ascii="Courier New" w:cs="Courier New" w:eastAsia="Courier New" w:hAnsi="Courier New"/>
                <w:color w:val="22BB44"/>
                <w:sz w:val="19"/>
                <w:szCs w:val="19"/>
              </w:rPr>
              <w:t xml:space="preserve"/>
            </w:r>
          </w:p>
          <w:p>
            <w:pPr>
              <w:spacing w:after="0" w:before="0"/>
            </w:pPr>
            <w:r>
              <w:rPr>
                <w:rFonts w:ascii="Courier New" w:cs="Courier New" w:eastAsia="Courier New" w:hAnsi="Courier New"/>
                <w:color w:val="22BB44"/>
                <w:sz w:val="19"/>
                <w:szCs w:val="19"/>
              </w:rPr>
              <w:t xml:space="preserve">-- Repeat for Pipeline, Powerline, Nuclear, 3X, and Base (all untagged invoices)</w:t>
            </w:r>
          </w:p>
          <w:p>
            <w:pPr>
              <w:spacing w:after="0" w:before="0"/>
            </w:pPr>
            <w:r>
              <w:rPr>
                <w:rFonts w:ascii="Courier New" w:cs="Courier New" w:eastAsia="Courier New" w:hAnsi="Courier New"/>
                <w:color w:val="22BB44"/>
                <w:sz w:val="19"/>
                <w:szCs w:val="19"/>
              </w:rPr>
              <w:t xml:space="preserve"/>
            </w:r>
          </w:p>
          <w:p>
            <w:pPr>
              <w:spacing w:after="0" w:before="0"/>
            </w:pPr>
            <w:r>
              <w:rPr>
                <w:rFonts w:ascii="Courier New" w:cs="Courier New" w:eastAsia="Courier New" w:hAnsi="Courier New"/>
                <w:color w:val="22BB44"/>
                <w:sz w:val="19"/>
                <w:szCs w:val="19"/>
              </w:rPr>
              <w:t xml:space="preserve">-- If project dimension DOES NOT EXIST (question 3 = No):</w:t>
            </w:r>
          </w:p>
          <w:p>
            <w:pPr>
              <w:spacing w:after="0" w:before="0"/>
            </w:pPr>
            <w:r>
              <w:rPr>
                <w:rFonts w:ascii="Courier New" w:cs="Courier New" w:eastAsia="Courier New" w:hAnsi="Courier New"/>
                <w:color w:val="22BB44"/>
                <w:sz w:val="19"/>
                <w:szCs w:val="19"/>
              </w:rPr>
              <w:t xml:space="preserve">Compose Nucleom Total Monthly:</w:t>
            </w:r>
          </w:p>
          <w:p>
            <w:pPr>
              <w:spacing w:after="0" w:before="0"/>
            </w:pPr>
            <w:r>
              <w:rPr>
                <w:rFonts w:ascii="Courier New" w:cs="Courier New" w:eastAsia="Courier New" w:hAnsi="Courier New"/>
                <w:color w:val="22BB44"/>
                <w:sz w:val="19"/>
                <w:szCs w:val="19"/>
              </w:rPr>
              <w:t xml:space="preserve">  sum(body('Get_Dynamics_Nucleom_Month')?['value'], 'InvoiceAmount') / 1000000</w:t>
            </w:r>
          </w:p>
          <w:p>
            <w:pPr>
              <w:spacing w:after="0" w:before="0"/>
            </w:pPr>
            <w:r>
              <w:rPr>
                <w:rFonts w:ascii="Courier New" w:cs="Courier New" w:eastAsia="Courier New" w:hAnsi="Courier New"/>
                <w:color w:val="22BB44"/>
                <w:sz w:val="19"/>
                <w:szCs w:val="19"/>
              </w:rPr>
              <w:t xml:space="preserve">  -- (All revenue goes to nucleom monthly total, no initiative split)</w:t>
            </w:r>
          </w:p>
        </w:tc>
      </w:tr>
    </w:tbl>
    <w:p>
      <w:pPr>
        <w:spacing w:after="100" w:before="80"/>
      </w:pPr>
      <w:r>
        <w:rPr>
          <w:rFonts w:ascii="Arial" w:cs="Arial" w:eastAsia="Arial" w:hAnsi="Arial"/>
          <w:b w:val="false"/>
          <w:bCs w:val="false"/>
          <w:i w:val="false"/>
          <w:iCs w:val="false"/>
          <w:color w:val="384660"/>
          <w:sz w:val="22"/>
          <w:szCs w:val="22"/>
        </w:rPr>
        <w:t xml:space="preserve"> </w:t>
      </w:r>
    </w:p>
    <w:p>
      <w:pPr>
        <w:pStyle w:val="Heading3"/>
        <w:spacing w:after="80" w:before="200"/>
      </w:pPr>
      <w:r>
        <w:rPr>
          <w:rFonts w:ascii="Arial" w:cs="Arial" w:eastAsia="Arial" w:hAnsi="Arial"/>
          <w:color w:val="0D1040"/>
        </w:rPr>
        <w:t xml:space="preserve">Action B5 — Add Dynamics fields to Build JSON Compose</w:t>
      </w:r>
    </w:p>
    <w:p>
      <w:pPr>
        <w:spacing w:after="80" w:before="0"/>
      </w:pPr>
      <w:r>
        <w:rPr>
          <w:rFonts w:ascii="Arial" w:cs="Arial" w:eastAsia="Arial" w:hAnsi="Arial"/>
          <w:b w:val="false"/>
          <w:bCs w:val="false"/>
          <w:i w:val="false"/>
          <w:iCs w:val="false"/>
          <w:color w:val="384660"/>
          <w:sz w:val="22"/>
          <w:szCs w:val="22"/>
        </w:rPr>
        <w:t xml:space="preserve">Add these fields to the existing Build JSON step. The </w:t>
      </w:r>
      <w:r>
        <w:rPr>
          <w:rFonts w:ascii="Arial" w:cs="Arial" w:eastAsia="Arial" w:hAnsi="Arial"/>
          <w:b/>
          <w:bCs/>
          <w:i w:val="false"/>
          <w:iCs w:val="false"/>
          <w:color w:val="006EAF"/>
          <w:sz w:val="22"/>
          <w:szCs w:val="22"/>
        </w:rPr>
        <w:t xml:space="preserve">monthly</w:t>
      </w:r>
      <w:r>
        <w:rPr>
          <w:rFonts w:ascii="Arial" w:cs="Arial" w:eastAsia="Arial" w:hAnsi="Arial"/>
          <w:b w:val="false"/>
          <w:bCs w:val="false"/>
          <w:i w:val="false"/>
          <w:iCs w:val="false"/>
          <w:color w:val="384660"/>
          <w:sz w:val="22"/>
          <w:szCs w:val="22"/>
        </w:rPr>
        <w:t xml:space="preserve"> object receives Dynamics values. Salesforce Closed Won values remain in the top-level fields for the pipeline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EAF" w:sz="1"/>
              <w:left w:val="single" w:color="006EAF" w:sz="1"/>
              <w:bottom w:val="single" w:color="006EAF" w:sz="1"/>
              <w:right w:val="single" w:color="006EAF" w:sz="1"/>
            </w:tcBorders>
            <w:shd w:fill="0B0F2A" w:val="clear"/>
            <w:tcMar>
              <w:top w:type="dxa" w:w="120"/>
              <w:left w:type="dxa" w:w="180"/>
              <w:bottom w:type="dxa" w:w="120"/>
              <w:right w:type="dxa" w:w="120"/>
            </w:tcMar>
          </w:tcPr>
          <w:p>
            <w:pPr>
              <w:spacing w:after="0" w:before="0"/>
            </w:pPr>
            <w:r>
              <w:rPr>
                <w:rFonts w:ascii="Courier New" w:cs="Courier New" w:eastAsia="Courier New" w:hAnsi="Courier New"/>
                <w:color w:val="22BB44"/>
                <w:sz w:val="19"/>
                <w:szCs w:val="19"/>
              </w:rPr>
              <w:t xml:space="preserve">"monthly": {</w:t>
            </w:r>
          </w:p>
          <w:p>
            <w:pPr>
              <w:spacing w:after="0" w:before="0"/>
            </w:pPr>
            <w:r>
              <w:rPr>
                <w:rFonts w:ascii="Courier New" w:cs="Courier New" w:eastAsia="Courier New" w:hAnsi="Courier New"/>
                <w:color w:val="22BB44"/>
                <w:sz w:val="19"/>
                <w:szCs w:val="19"/>
              </w:rPr>
              <w:t xml:space="preserve">  "2026_01": {</w:t>
            </w:r>
          </w:p>
          <w:p>
            <w:pPr>
              <w:spacing w:after="0" w:before="0"/>
            </w:pPr>
            <w:r>
              <w:rPr>
                <w:rFonts w:ascii="Courier New" w:cs="Courier New" w:eastAsia="Courier New" w:hAnsi="Courier New"/>
                <w:color w:val="22BB44"/>
                <w:sz w:val="19"/>
                <w:szCs w:val="19"/>
              </w:rPr>
              <w:t xml:space="preserve">    "nucleom":   @{outputs('Compose_Nucleom_Jan')},</w:t>
            </w:r>
          </w:p>
          <w:p>
            <w:pPr>
              <w:spacing w:after="0" w:before="0"/>
            </w:pPr>
            <w:r>
              <w:rPr>
                <w:rFonts w:ascii="Courier New" w:cs="Courier New" w:eastAsia="Courier New" w:hAnsi="Courier New"/>
                <w:color w:val="22BB44"/>
                <w:sz w:val="19"/>
                <w:szCs w:val="19"/>
              </w:rPr>
              <w:t xml:space="preserve">    "nortech":   @{outputs('Compose_Nortech_Jan')},</w:t>
            </w:r>
          </w:p>
          <w:p>
            <w:pPr>
              <w:spacing w:after="0" w:before="0"/>
            </w:pPr>
            <w:r>
              <w:rPr>
                <w:rFonts w:ascii="Courier New" w:cs="Courier New" w:eastAsia="Courier New" w:hAnsi="Courier New"/>
                <w:color w:val="22BB44"/>
                <w:sz w:val="19"/>
                <w:szCs w:val="19"/>
              </w:rPr>
              <w:t xml:space="preserve">    "mining":    @{outputs('Compose_Nucleom_Mining_Jan')},</w:t>
            </w:r>
          </w:p>
          <w:p>
            <w:pPr>
              <w:spacing w:after="0" w:before="0"/>
            </w:pPr>
            <w:r>
              <w:rPr>
                <w:rFonts w:ascii="Courier New" w:cs="Courier New" w:eastAsia="Courier New" w:hAnsi="Courier New"/>
                <w:color w:val="22BB44"/>
                <w:sz w:val="19"/>
                <w:szCs w:val="19"/>
              </w:rPr>
              <w:t xml:space="preserve">    "pipeline":  @{outputs('Compose_Nucleom_Pipeline_Jan')},</w:t>
            </w:r>
          </w:p>
          <w:p>
            <w:pPr>
              <w:spacing w:after="0" w:before="0"/>
            </w:pPr>
            <w:r>
              <w:rPr>
                <w:rFonts w:ascii="Courier New" w:cs="Courier New" w:eastAsia="Courier New" w:hAnsi="Courier New"/>
                <w:color w:val="22BB44"/>
                <w:sz w:val="19"/>
                <w:szCs w:val="19"/>
              </w:rPr>
              <w:t xml:space="preserve">    "powerline": @{outputs('Compose_Nucleom_Powerline_Jan')},</w:t>
            </w:r>
          </w:p>
          <w:p>
            <w:pPr>
              <w:spacing w:after="0" w:before="0"/>
            </w:pPr>
            <w:r>
              <w:rPr>
                <w:rFonts w:ascii="Courier New" w:cs="Courier New" w:eastAsia="Courier New" w:hAnsi="Courier New"/>
                <w:color w:val="22BB44"/>
                <w:sz w:val="19"/>
                <w:szCs w:val="19"/>
              </w:rPr>
              <w:t xml:space="preserve">    "nuclear":   @{outputs('Compose_Nucleom_Nuclear_Jan')},</w:t>
            </w:r>
          </w:p>
          <w:p>
            <w:pPr>
              <w:spacing w:after="0" w:before="0"/>
            </w:pPr>
            <w:r>
              <w:rPr>
                <w:rFonts w:ascii="Courier New" w:cs="Courier New" w:eastAsia="Courier New" w:hAnsi="Courier New"/>
                <w:color w:val="22BB44"/>
                <w:sz w:val="19"/>
                <w:szCs w:val="19"/>
              </w:rPr>
              <w:t xml:space="preserve">    "x3":        @{outputs('Compose_Nucleom_3X_Jan')}</w:t>
            </w:r>
          </w:p>
          <w:p>
            <w:pPr>
              <w:spacing w:after="0" w:before="0"/>
            </w:pPr>
            <w:r>
              <w:rPr>
                <w:rFonts w:ascii="Courier New" w:cs="Courier New" w:eastAsia="Courier New" w:hAnsi="Courier New"/>
                <w:color w:val="22BB44"/>
                <w:sz w:val="19"/>
                <w:szCs w:val="19"/>
              </w:rPr>
              <w:t xml:space="preserve">  },</w:t>
            </w:r>
          </w:p>
          <w:p>
            <w:pPr>
              <w:spacing w:after="0" w:before="0"/>
            </w:pPr>
            <w:r>
              <w:rPr>
                <w:rFonts w:ascii="Courier New" w:cs="Courier New" w:eastAsia="Courier New" w:hAnsi="Courier New"/>
                <w:color w:val="22BB44"/>
                <w:sz w:val="19"/>
                <w:szCs w:val="19"/>
              </w:rPr>
              <w:t xml:space="preserve">  "2026_[CURRENT_MONTH]": { ... same pattern for current month ... }</w:t>
            </w:r>
          </w:p>
          <w:p>
            <w:pPr>
              <w:spacing w:after="0" w:before="0"/>
            </w:pPr>
            <w:r>
              <w:rPr>
                <w:rFonts w:ascii="Courier New" w:cs="Courier New" w:eastAsia="Courier New" w:hAnsi="Courier New"/>
                <w:color w:val="22BB44"/>
                <w:sz w:val="19"/>
                <w:szCs w:val="19"/>
              </w:rPr>
              <w:t xml:space="preserve">}</w:t>
            </w:r>
          </w:p>
          <w:p>
            <w:pPr>
              <w:spacing w:after="0" w:before="0"/>
            </w:pPr>
            <w:r>
              <w:rPr>
                <w:rFonts w:ascii="Courier New" w:cs="Courier New" w:eastAsia="Courier New" w:hAnsi="Courier New"/>
                <w:color w:val="22BB44"/>
                <w:sz w:val="19"/>
                <w:szCs w:val="19"/>
              </w:rPr>
              <w:t xml:space="preserve"/>
            </w:r>
          </w:p>
          <w:p>
            <w:pPr>
              <w:spacing w:after="0" w:before="0"/>
            </w:pPr>
            <w:r>
              <w:rPr>
                <w:rFonts w:ascii="Courier New" w:cs="Courier New" w:eastAsia="Courier New" w:hAnsi="Courier New"/>
                <w:color w:val="22BB44"/>
                <w:sz w:val="19"/>
                <w:szCs w:val="19"/>
              </w:rPr>
              <w:t xml:space="preserve">-- NOTE: For past months (Jan to last month), run a backfill query once</w:t>
            </w:r>
          </w:p>
          <w:p>
            <w:pPr>
              <w:spacing w:after="0" w:before="0"/>
            </w:pPr>
            <w:r>
              <w:rPr>
                <w:rFonts w:ascii="Courier New" w:cs="Courier New" w:eastAsia="Courier New" w:hAnsi="Courier New"/>
                <w:color w:val="22BB44"/>
                <w:sz w:val="19"/>
                <w:szCs w:val="19"/>
              </w:rPr>
              <w:t xml:space="preserve">-- going forward only the current and previous month need to be refreshed</w:t>
            </w:r>
          </w:p>
        </w:tc>
      </w:tr>
    </w:tbl>
    <w:p>
      <w:pPr>
        <w:spacing w:after="100" w:before="120"/>
      </w:pPr>
      <w:r>
        <w:rPr>
          <w:rFonts w:ascii="Arial" w:cs="Arial" w:eastAsia="Arial" w:hAnsi="Arial"/>
          <w:b w:val="false"/>
          <w:bCs w:val="false"/>
          <w:i w:val="false"/>
          <w:iCs w:val="false"/>
          <w:color w:val="384660"/>
          <w:sz w:val="22"/>
          <w:szCs w:val="22"/>
        </w:rPr>
        <w:t xml:space="preserve"> </w:t>
      </w:r>
    </w:p>
    <w:p>
      <w:pPr>
        <w:pStyle w:val="Heading2"/>
        <w:spacing w:after="120" w:before="280"/>
      </w:pPr>
      <w:r>
        <w:rPr>
          <w:rFonts w:ascii="Arial" w:cs="Arial" w:eastAsia="Arial" w:hAnsi="Arial"/>
          <w:color w:val="161C60"/>
        </w:rPr>
        <w:t xml:space="preserve">3.3  Alternative: OData API direct query (if native connector not available)</w:t>
      </w:r>
    </w:p>
    <w:p>
      <w:pPr>
        <w:spacing w:after="80" w:before="0"/>
      </w:pPr>
      <w:r>
        <w:rPr>
          <w:rFonts w:ascii="Arial" w:cs="Arial" w:eastAsia="Arial" w:hAnsi="Arial"/>
          <w:b w:val="false"/>
          <w:bCs w:val="false"/>
          <w:i w:val="false"/>
          <w:iCs w:val="false"/>
          <w:color w:val="384660"/>
          <w:sz w:val="22"/>
          <w:szCs w:val="22"/>
        </w:rPr>
        <w:t xml:space="preserve">If the native Dynamics 365 connector does not work (e.g. permissions issue, or Dynamics version not supported), Power Automate can query the Dynamics OData REST API directly using an HTTP action. This requires an Azure App Registration with Dynamics API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Setting</w:t>
            </w:r>
          </w:p>
        </w:tc>
        <w:tc>
          <w:tcPr>
            <w:tcW w:type="dxa" w:w="65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Value</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Action type</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Power Automate — HTTP</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Method</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GET</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URI</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[DYNAMICS_ENV_URL]/api/data/v9.2/[INVOICE_ENTITY_SET]?$filter=[LEGAL_ENTITY_FIELD] eq '[NUCLEOM_CODE]' and postingdate ge [START_DATE]&amp;$select=amount,[PROJECT_DIM_FIELD],postingdate</w:t>
            </w:r>
          </w:p>
        </w:tc>
      </w:tr>
      <w:tr>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Authentication</w:t>
            </w:r>
          </w:p>
        </w:tc>
        <w:tc>
          <w:tcPr>
            <w:tcW w:type="dxa" w:w="6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Active Directory OAuth — Tenant ID, Client ID, Client Secret from Azure App Registration</w:t>
            </w:r>
          </w:p>
        </w:tc>
      </w:tr>
      <w:tr>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Headers</w:t>
            </w:r>
          </w:p>
        </w:tc>
        <w:tc>
          <w:tcPr>
            <w:tcW w:type="dxa" w:w="6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OData-MaxVersion: 4.0, OData-Version: 4.0, Accept: application/json</w:t>
            </w:r>
          </w:p>
        </w:tc>
      </w:tr>
    </w:tbl>
    <w:p>
      <w:pPr>
        <w:spacing w:after="100" w:before="6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EAF" w:sz="1"/>
              <w:left w:val="none" w:color="FFFFFF" w:sz="0"/>
              <w:bottom w:val="none" w:color="FFFFFF" w:sz="0"/>
              <w:right w:val="none" w:color="FFFFFF" w:sz="0"/>
            </w:tcBorders>
            <w:shd w:fill="E6F4FB" w:val="clear"/>
            <w:tcMar>
              <w:top w:type="dxa" w:w="120"/>
              <w:left w:type="dxa" w:w="200"/>
              <w:bottom w:type="dxa" w:w="0"/>
              <w:right w:type="dxa" w:w="120"/>
            </w:tcMar>
          </w:tcPr>
          <w:p>
            <w:pPr>
              <w:spacing w:after="100" w:before="0"/>
            </w:pPr>
            <w:r>
              <w:rPr>
                <w:rFonts w:ascii="Arial" w:cs="Arial" w:eastAsia="Arial" w:hAnsi="Arial"/>
                <w:b/>
                <w:bCs/>
                <w:i w:val="false"/>
                <w:iCs w:val="false"/>
                <w:color w:val="006EAF"/>
                <w:sz w:val="19"/>
                <w:szCs w:val="19"/>
              </w:rPr>
              <w:t xml:space="preserve">Azure App Registration — what the Dynamics partner needs to create</w:t>
            </w:r>
          </w:p>
        </w:tc>
      </w:tr>
      <w:tr>
        <w:tc>
          <w:tcPr>
            <w:tcW w:type="dxa" w:w="9360"/>
            <w:tcBorders>
              <w:top w:val="none" w:color="FFFFFF" w:sz="0"/>
              <w:left w:val="none" w:color="FFFFFF" w:sz="0"/>
              <w:bottom w:val="single" w:color="006EAF" w:sz="1"/>
              <w:right w:val="none" w:color="FFFFFF" w:sz="0"/>
            </w:tcBorders>
            <w:shd w:fill="E6F4FB" w:val="clear"/>
            <w:tcMar>
              <w:top w:type="dxa" w:w="0"/>
              <w:left w:type="dxa" w:w="200"/>
              <w:bottom w:type="dxa" w:w="120"/>
              <w:right w:type="dxa" w:w="120"/>
            </w:tcMar>
          </w:tcPr>
          <w:p>
            <w:pPr>
              <w:spacing w:after="100" w:before="0"/>
            </w:pPr>
            <w:r>
              <w:rPr>
                <w:rFonts w:ascii="Arial" w:cs="Arial" w:eastAsia="Arial" w:hAnsi="Arial"/>
                <w:b w:val="false"/>
                <w:bCs w:val="false"/>
                <w:i w:val="false"/>
                <w:iCs w:val="false"/>
                <w:color w:val="384660"/>
                <w:sz w:val="21"/>
                <w:szCs w:val="21"/>
              </w:rPr>
              <w:t xml:space="preserve">Someone with Azure AD admin rights (likely your IT admin or Dynamics implementation partner) needs to: (1) Register a new app in Azure AD. (2) Grant it Dynamics CRM user_impersonation API permission. (3) Create a Client Secret. (4) In Dynamics, create an Application User linked to that app and assign it the System User or similar read-only role. The resulting Tenant ID, Client ID, and Client Secret go into the Power Automate HTTP action authentication. This is a one-time 30-minute setup.</w:t>
            </w:r>
          </w:p>
        </w:tc>
      </w:tr>
    </w:tbl>
    <w:p>
      <w:pPr>
        <w:spacing w:after="100" w:before="160"/>
      </w:pPr>
      <w:r>
        <w:rPr>
          <w:rFonts w:ascii="Arial" w:cs="Arial" w:eastAsia="Arial" w:hAnsi="Arial"/>
          <w:b w:val="false"/>
          <w:bCs w:val="false"/>
          <w:i w:val="false"/>
          <w:iCs w:val="false"/>
          <w:color w:val="384660"/>
          <w:sz w:val="22"/>
          <w:szCs w:val="22"/>
        </w:rPr>
        <w:t xml:space="preserve"> </w:t>
      </w:r>
    </w:p>
    <w:p>
      <w:pPr>
        <w:pStyle w:val="Heading1"/>
        <w:spacing w:after="160" w:before="400"/>
      </w:pPr>
      <w:r>
        <w:rPr>
          <w:rFonts w:ascii="Arial" w:cs="Arial" w:eastAsia="Arial" w:hAnsi="Arial"/>
          <w:color w:val="161C60"/>
        </w:rPr>
        <w:t xml:space="preserve">4.  Interim Manual Process — While Waiting for Dynamics Access</w:t>
      </w:r>
    </w:p>
    <w:p>
      <w:pPr>
        <w:pBdr>
          <w:bottom w:val="single" w:color="DDE3F0" w:sz="6" w:space="1"/>
        </w:pBdr>
        <w:spacing w:after="0" w:before="0"/>
      </w:pPr>
      <w:r>
        <w:rPr>
          <w:rFonts w:ascii="Arial" w:cs="Arial" w:eastAsia="Arial" w:hAnsi="Arial"/>
          <w:b w:val="false"/>
          <w:bCs w:val="false"/>
          <w:i w:val="false"/>
          <w:iCs w:val="false"/>
          <w:color w:val="384660"/>
          <w:sz w:val="22"/>
          <w:szCs w:val="22"/>
        </w:rPr>
        <w:t xml:space="preserve"> </w:t>
      </w:r>
    </w:p>
    <w:p>
      <w:pPr>
        <w:spacing w:after="100" w:before="80"/>
      </w:pPr>
      <w:r>
        <w:rPr>
          <w:rFonts w:ascii="Arial" w:cs="Arial" w:eastAsia="Arial" w:hAnsi="Arial"/>
          <w:b w:val="false"/>
          <w:bCs w:val="false"/>
          <w:i w:val="false"/>
          <w:iCs w:val="false"/>
          <w:color w:val="384660"/>
          <w:sz w:val="22"/>
          <w:szCs w:val="22"/>
        </w:rPr>
        <w:t xml:space="preserve"> </w:t>
      </w:r>
    </w:p>
    <w:p>
      <w:pPr>
        <w:spacing w:after="120" w:before="0"/>
      </w:pPr>
      <w:r>
        <w:rPr>
          <w:rFonts w:ascii="Arial" w:cs="Arial" w:eastAsia="Arial" w:hAnsi="Arial"/>
          <w:b w:val="false"/>
          <w:bCs w:val="false"/>
          <w:i w:val="false"/>
          <w:iCs w:val="false"/>
          <w:color w:val="384660"/>
          <w:sz w:val="22"/>
          <w:szCs w:val="22"/>
        </w:rPr>
        <w:t xml:space="preserve">Use this process every month until the Power Automate connection is live. It takes approximately 10 minutes and requires no IT access.</w:t>
      </w:r>
    </w:p>
    <w:p>
      <w:pPr>
        <w:spacing w:after="40" w:before="0"/>
      </w:pPr>
      <w:r>
        <w:rPr>
          <w:rFonts w:ascii="Arial" w:cs="Arial" w:eastAsia="Arial" w:hAnsi="Arial"/>
          <w:b/>
          <w:bCs/>
          <w:i w:val="false"/>
          <w:iCs w:val="false"/>
          <w:color w:val="161C60"/>
          <w:sz w:val="22"/>
          <w:szCs w:val="22"/>
        </w:rPr>
        <w:t xml:space="preserve">Owner: </w:t>
      </w:r>
      <w:r>
        <w:rPr>
          <w:rFonts w:ascii="Arial" w:cs="Arial" w:eastAsia="Arial" w:hAnsi="Arial"/>
          <w:b w:val="false"/>
          <w:bCs w:val="false"/>
          <w:i w:val="false"/>
          <w:iCs w:val="false"/>
          <w:color w:val="384660"/>
          <w:sz w:val="22"/>
          <w:szCs w:val="22"/>
        </w:rPr>
        <w:t xml:space="preserve">Mathieu Beauchesne</w:t>
      </w:r>
    </w:p>
    <w:p>
      <w:pPr>
        <w:spacing w:after="80" w:before="0"/>
      </w:pPr>
      <w:r>
        <w:rPr>
          <w:rFonts w:ascii="Arial" w:cs="Arial" w:eastAsia="Arial" w:hAnsi="Arial"/>
          <w:b/>
          <w:bCs/>
          <w:i w:val="false"/>
          <w:iCs w:val="false"/>
          <w:color w:val="161C60"/>
          <w:sz w:val="22"/>
          <w:szCs w:val="22"/>
        </w:rPr>
        <w:t xml:space="preserve">When: </w:t>
      </w:r>
      <w:r>
        <w:rPr>
          <w:rFonts w:ascii="Arial" w:cs="Arial" w:eastAsia="Arial" w:hAnsi="Arial"/>
          <w:b w:val="false"/>
          <w:bCs w:val="false"/>
          <w:i w:val="false"/>
          <w:iCs w:val="false"/>
          <w:color w:val="384660"/>
          <w:sz w:val="22"/>
          <w:szCs w:val="22"/>
        </w:rPr>
        <w:t xml:space="preserve">First working Monday of each month, before 9AM ET (before the Commercial Leadership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Step</w:t>
            </w:r>
          </w:p>
        </w:tc>
        <w:tc>
          <w:tcPr>
            <w:tcW w:type="dxa" w:w="71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Action</w:t>
            </w:r>
          </w:p>
        </w:tc>
      </w:tr>
      <w:tr>
        <w:tc>
          <w:tcPr>
            <w:tcW w:type="dxa" w:w="2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1 — Pull Dynamics report</w:t>
            </w:r>
          </w:p>
        </w:tc>
        <w:tc>
          <w:tcPr>
            <w:tcW w:type="dxa" w:w="7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Run the monthly invoiced revenue report in Dynamics for the previous month. Filter by entity (Nucleom and Nortech separately). If available, also filter by project dimension to get the initiative split.</w:t>
            </w:r>
          </w:p>
        </w:tc>
      </w:tr>
      <w:tr>
        <w:tc>
          <w:tcPr>
            <w:tcW w:type="dxa" w:w="2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2 — Open actuals.json on SharePoint</w:t>
            </w:r>
          </w:p>
        </w:tc>
        <w:tc>
          <w:tcPr>
            <w:tcW w:type="dxa" w:w="7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Navigate to the BU Services Command Centre folder on SharePoint. Open actuals.json (or download, edit, re-upload).</w:t>
            </w:r>
          </w:p>
        </w:tc>
      </w:tr>
      <w:tr>
        <w:tc>
          <w:tcPr>
            <w:tcW w:type="dxa" w:w="2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3 — Update the monthly object</w:t>
            </w:r>
          </w:p>
        </w:tc>
        <w:tc>
          <w:tcPr>
            <w:tcW w:type="dxa" w:w="7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In the monthly object, find the key for the month just completed (e.g. '2026_04' for April). Update each entity value with the invoiced total in $M CAD.</w:t>
            </w:r>
          </w:p>
        </w:tc>
      </w:tr>
      <w:tr>
        <w:tc>
          <w:tcPr>
            <w:tcW w:type="dxa" w:w="22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4 — Update YTD base totals</w:t>
            </w:r>
          </w:p>
        </w:tc>
        <w:tc>
          <w:tcPr>
            <w:tcW w:type="dxa" w:w="71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Also update the top-level 'nucleom' and 'nortech' fields with the full YTD invoiced totals (not just the month). These drive the Revenue Foundation entity cards.</w:t>
            </w:r>
          </w:p>
        </w:tc>
      </w:tr>
      <w:tr>
        <w:tc>
          <w:tcPr>
            <w:tcW w:type="dxa" w:w="22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5 — Save and verify</w:t>
            </w:r>
          </w:p>
        </w:tc>
        <w:tc>
          <w:tcPr>
            <w:tcW w:type="dxa" w:w="71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Save actuals.json to SharePoint. Open the Command Centre in a browser and hard refresh (Ctrl+Shift+R). Confirm the Revenue by Month chart updates and the Revenue Foundation cards show the new YTD totals.</w:t>
            </w:r>
          </w:p>
        </w:tc>
      </w:tr>
    </w:tbl>
    <w:p>
      <w:pPr>
        <w:spacing w:after="100" w:before="80"/>
      </w:pPr>
      <w:r>
        <w:rPr>
          <w:rFonts w:ascii="Arial" w:cs="Arial" w:eastAsia="Arial" w:hAnsi="Arial"/>
          <w:b w:val="false"/>
          <w:bCs w:val="false"/>
          <w:i w:val="false"/>
          <w:iCs w:val="false"/>
          <w:color w:val="384660"/>
          <w:sz w:val="22"/>
          <w:szCs w:val="22"/>
        </w:rPr>
        <w:t xml:space="preserve"> </w:t>
      </w:r>
    </w:p>
    <w:p>
      <w:pPr>
        <w:pStyle w:val="Heading2"/>
        <w:spacing w:after="120" w:before="280"/>
      </w:pPr>
      <w:r>
        <w:rPr>
          <w:rFonts w:ascii="Arial" w:cs="Arial" w:eastAsia="Arial" w:hAnsi="Arial"/>
          <w:color w:val="161C60"/>
        </w:rPr>
        <w:t xml:space="preserve">4.1  Example — what to enter in actuals.json for April 2026</w:t>
      </w:r>
    </w:p>
    <w:p>
      <w:pPr>
        <w:spacing w:after="80" w:before="0"/>
      </w:pPr>
      <w:r>
        <w:rPr>
          <w:rFonts w:ascii="Arial" w:cs="Arial" w:eastAsia="Arial" w:hAnsi="Arial"/>
          <w:b w:val="false"/>
          <w:bCs w:val="false"/>
          <w:i w:val="false"/>
          <w:iCs w:val="false"/>
          <w:color w:val="384660"/>
          <w:sz w:val="22"/>
          <w:szCs w:val="22"/>
        </w:rPr>
        <w:t xml:space="preserve">Assuming Mathieu pulls from Dynamics and finds: Nucleom invoiced $2.4M in April, Nortech $1.1M. No initiative split available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EAF" w:sz="1"/>
              <w:left w:val="single" w:color="006EAF" w:sz="1"/>
              <w:bottom w:val="single" w:color="006EAF" w:sz="1"/>
              <w:right w:val="single" w:color="006EAF" w:sz="1"/>
            </w:tcBorders>
            <w:shd w:fill="0B0F2A" w:val="clear"/>
            <w:tcMar>
              <w:top w:type="dxa" w:w="120"/>
              <w:left w:type="dxa" w:w="180"/>
              <w:bottom w:type="dxa" w:w="120"/>
              <w:right w:type="dxa" w:w="120"/>
            </w:tcMar>
          </w:tcPr>
          <w:p>
            <w:pPr>
              <w:spacing w:after="0" w:before="0"/>
            </w:pPr>
            <w:r>
              <w:rPr>
                <w:rFonts w:ascii="Courier New" w:cs="Courier New" w:eastAsia="Courier New" w:hAnsi="Courier New"/>
                <w:color w:val="22BB44"/>
                <w:sz w:val="19"/>
                <w:szCs w:val="19"/>
              </w:rPr>
              <w:t xml:space="preserve">{</w:t>
            </w:r>
          </w:p>
          <w:p>
            <w:pPr>
              <w:spacing w:after="0" w:before="0"/>
            </w:pPr>
            <w:r>
              <w:rPr>
                <w:rFonts w:ascii="Courier New" w:cs="Courier New" w:eastAsia="Courier New" w:hAnsi="Courier New"/>
                <w:color w:val="22BB44"/>
                <w:sz w:val="19"/>
                <w:szCs w:val="19"/>
              </w:rPr>
              <w:t xml:space="preserve">  "lastUpdated":    "2026-05-05",</w:t>
            </w:r>
          </w:p>
          <w:p>
            <w:pPr>
              <w:spacing w:after="0" w:before="0"/>
            </w:pPr>
            <w:r>
              <w:rPr>
                <w:rFonts w:ascii="Courier New" w:cs="Courier New" w:eastAsia="Courier New" w:hAnsi="Courier New"/>
                <w:color w:val="22BB44"/>
                <w:sz w:val="19"/>
                <w:szCs w:val="19"/>
              </w:rPr>
              <w:t xml:space="preserve">  "updatedBy":      "Mathieu Beauchesne — Dynamics manual",</w:t>
            </w:r>
          </w:p>
          <w:p>
            <w:pPr>
              <w:spacing w:after="0" w:before="0"/>
            </w:pPr>
            <w:r>
              <w:rPr>
                <w:rFonts w:ascii="Courier New" w:cs="Courier New" w:eastAsia="Courier New" w:hAnsi="Courier New"/>
                <w:color w:val="22BB44"/>
                <w:sz w:val="19"/>
                <w:szCs w:val="19"/>
              </w:rPr>
              <w:t xml:space="preserve">  "nucleom":        8.20,   &lt;- YTD invoiced total (Jan-Apr)</w:t>
            </w:r>
          </w:p>
          <w:p>
            <w:pPr>
              <w:spacing w:after="0" w:before="0"/>
            </w:pPr>
            <w:r>
              <w:rPr>
                <w:rFonts w:ascii="Courier New" w:cs="Courier New" w:eastAsia="Courier New" w:hAnsi="Courier New"/>
                <w:color w:val="22BB44"/>
                <w:sz w:val="19"/>
                <w:szCs w:val="19"/>
              </w:rPr>
              <w:t xml:space="preserve">  "nucleom_pipeline": 12.40, &lt;- unchanged (still from Salesforce)</w:t>
            </w:r>
          </w:p>
          <w:p>
            <w:pPr>
              <w:spacing w:after="0" w:before="0"/>
            </w:pPr>
            <w:r>
              <w:rPr>
                <w:rFonts w:ascii="Courier New" w:cs="Courier New" w:eastAsia="Courier New" w:hAnsi="Courier New"/>
                <w:color w:val="22BB44"/>
                <w:sz w:val="19"/>
                <w:szCs w:val="19"/>
              </w:rPr>
              <w:t xml:space="preserve">  "nortech":        4.50,   &lt;- YTD invoiced total (Jan-Apr)</w:t>
            </w:r>
          </w:p>
          <w:p>
            <w:pPr>
              <w:spacing w:after="0" w:before="0"/>
            </w:pPr>
            <w:r>
              <w:rPr>
                <w:rFonts w:ascii="Courier New" w:cs="Courier New" w:eastAsia="Courier New" w:hAnsi="Courier New"/>
                <w:color w:val="22BB44"/>
                <w:sz w:val="19"/>
                <w:szCs w:val="19"/>
              </w:rPr>
              <w:t xml:space="preserve">  "nortech_pipeline": 6.20, &lt;- unchanged (manual estimate)</w:t>
            </w:r>
          </w:p>
          <w:p>
            <w:pPr>
              <w:spacing w:after="0" w:before="0"/>
            </w:pPr>
            <w:r>
              <w:rPr>
                <w:rFonts w:ascii="Courier New" w:cs="Courier New" w:eastAsia="Courier New" w:hAnsi="Courier New"/>
                <w:color w:val="22BB44"/>
                <w:sz w:val="19"/>
                <w:szCs w:val="19"/>
              </w:rPr>
              <w:t xml:space="preserve">  ...</w:t>
            </w:r>
          </w:p>
          <w:p>
            <w:pPr>
              <w:spacing w:after="0" w:before="0"/>
            </w:pPr>
            <w:r>
              <w:rPr>
                <w:rFonts w:ascii="Courier New" w:cs="Courier New" w:eastAsia="Courier New" w:hAnsi="Courier New"/>
                <w:color w:val="22BB44"/>
                <w:sz w:val="19"/>
                <w:szCs w:val="19"/>
              </w:rPr>
              <w:t xml:space="preserve">  "monthly": {</w:t>
            </w:r>
          </w:p>
          <w:p>
            <w:pPr>
              <w:spacing w:after="0" w:before="0"/>
            </w:pPr>
            <w:r>
              <w:rPr>
                <w:rFonts w:ascii="Courier New" w:cs="Courier New" w:eastAsia="Courier New" w:hAnsi="Courier New"/>
                <w:color w:val="22BB44"/>
                <w:sz w:val="19"/>
                <w:szCs w:val="19"/>
              </w:rPr>
              <w:t xml:space="preserve">    "2026_01": { "nucleom": 1.80, "nortech": 0.90, ... },</w:t>
            </w:r>
          </w:p>
          <w:p>
            <w:pPr>
              <w:spacing w:after="0" w:before="0"/>
            </w:pPr>
            <w:r>
              <w:rPr>
                <w:rFonts w:ascii="Courier New" w:cs="Courier New" w:eastAsia="Courier New" w:hAnsi="Courier New"/>
                <w:color w:val="22BB44"/>
                <w:sz w:val="19"/>
                <w:szCs w:val="19"/>
              </w:rPr>
              <w:t xml:space="preserve">    "2026_02": { "nucleom": 2.10, "nortech": 1.05, ... },</w:t>
            </w:r>
          </w:p>
          <w:p>
            <w:pPr>
              <w:spacing w:after="0" w:before="0"/>
            </w:pPr>
            <w:r>
              <w:rPr>
                <w:rFonts w:ascii="Courier New" w:cs="Courier New" w:eastAsia="Courier New" w:hAnsi="Courier New"/>
                <w:color w:val="22BB44"/>
                <w:sz w:val="19"/>
                <w:szCs w:val="19"/>
              </w:rPr>
              <w:t xml:space="preserve">    "2026_03": { "nucleom": 1.90, "nortech": 0.85, ... },</w:t>
            </w:r>
          </w:p>
          <w:p>
            <w:pPr>
              <w:spacing w:after="0" w:before="0"/>
            </w:pPr>
            <w:r>
              <w:rPr>
                <w:rFonts w:ascii="Courier New" w:cs="Courier New" w:eastAsia="Courier New" w:hAnsi="Courier New"/>
                <w:color w:val="22BB44"/>
                <w:sz w:val="19"/>
                <w:szCs w:val="19"/>
              </w:rPr>
              <w:t xml:space="preserve">    "2026_04": { "nucleom": 2.40, "nortech": 1.20, ... },  &lt;- just added</w:t>
            </w:r>
          </w:p>
          <w:p>
            <w:pPr>
              <w:spacing w:after="0" w:before="0"/>
            </w:pPr>
            <w:r>
              <w:rPr>
                <w:rFonts w:ascii="Courier New" w:cs="Courier New" w:eastAsia="Courier New" w:hAnsi="Courier New"/>
                <w:color w:val="22BB44"/>
                <w:sz w:val="19"/>
                <w:szCs w:val="19"/>
              </w:rPr>
              <w:t xml:space="preserve">    "2026_05": { "nucleom": 0.00, "nortech": 0.00, ... },  &lt;- not yet</w:t>
            </w:r>
          </w:p>
          <w:p>
            <w:pPr>
              <w:spacing w:after="0" w:before="0"/>
            </w:pPr>
            <w:r>
              <w:rPr>
                <w:rFonts w:ascii="Courier New" w:cs="Courier New" w:eastAsia="Courier New" w:hAnsi="Courier New"/>
                <w:color w:val="22BB44"/>
                <w:sz w:val="19"/>
                <w:szCs w:val="19"/>
              </w:rPr>
              <w:t xml:space="preserve">    ...</w:t>
            </w:r>
          </w:p>
          <w:p>
            <w:pPr>
              <w:spacing w:after="0" w:before="0"/>
            </w:pPr>
            <w:r>
              <w:rPr>
                <w:rFonts w:ascii="Courier New" w:cs="Courier New" w:eastAsia="Courier New" w:hAnsi="Courier New"/>
                <w:color w:val="22BB44"/>
                <w:sz w:val="19"/>
                <w:szCs w:val="19"/>
              </w:rPr>
              <w:t xml:space="preserve">  }</w:t>
            </w:r>
          </w:p>
          <w:p>
            <w:pPr>
              <w:spacing w:after="0" w:before="0"/>
            </w:pPr>
            <w:r>
              <w:rPr>
                <w:rFonts w:ascii="Courier New" w:cs="Courier New" w:eastAsia="Courier New" w:hAnsi="Courier New"/>
                <w:color w:val="22BB44"/>
                <w:sz w:val="19"/>
                <w:szCs w:val="19"/>
              </w:rPr>
              <w:t xml:space="preserve">}</w:t>
            </w:r>
          </w:p>
        </w:tc>
      </w:tr>
    </w:tbl>
    <w:p>
      <w:pPr>
        <w:spacing w:after="100" w:before="80"/>
      </w:pPr>
      <w:r>
        <w:rPr>
          <w:rFonts w:ascii="Arial" w:cs="Arial" w:eastAsia="Arial" w:hAnsi="Arial"/>
          <w:b w:val="false"/>
          <w:bCs w:val="false"/>
          <w:i w:val="false"/>
          <w:iCs w:val="false"/>
          <w:color w:val="38466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520A" w:sz="1"/>
              <w:left w:val="none" w:color="FFFFFF" w:sz="0"/>
              <w:bottom w:val="none" w:color="FFFFFF" w:sz="0"/>
              <w:right w:val="none" w:color="FFFFFF" w:sz="0"/>
            </w:tcBorders>
            <w:shd w:fill="FFF3EC" w:val="clear"/>
            <w:tcMar>
              <w:top w:type="dxa" w:w="120"/>
              <w:left w:type="dxa" w:w="200"/>
              <w:bottom w:type="dxa" w:w="0"/>
              <w:right w:type="dxa" w:w="120"/>
            </w:tcMar>
          </w:tcPr>
          <w:p>
            <w:pPr>
              <w:spacing w:after="100" w:before="0"/>
            </w:pPr>
            <w:r>
              <w:rPr>
                <w:rFonts w:ascii="Arial" w:cs="Arial" w:eastAsia="Arial" w:hAnsi="Arial"/>
                <w:b/>
                <w:bCs/>
                <w:i w:val="false"/>
                <w:iCs w:val="false"/>
                <w:color w:val="C9520A"/>
                <w:sz w:val="19"/>
                <w:szCs w:val="19"/>
              </w:rPr>
              <w:t xml:space="preserve">What to do if the initiative split is not available from Dynamics</w:t>
            </w:r>
          </w:p>
        </w:tc>
      </w:tr>
      <w:tr>
        <w:tc>
          <w:tcPr>
            <w:tcW w:type="dxa" w:w="9360"/>
            <w:tcBorders>
              <w:top w:val="none" w:color="FFFFFF" w:sz="0"/>
              <w:left w:val="none" w:color="FFFFFF" w:sz="0"/>
              <w:bottom w:val="single" w:color="C9520A" w:sz="1"/>
              <w:right w:val="none" w:color="FFFFFF" w:sz="0"/>
            </w:tcBorders>
            <w:shd w:fill="FFF3EC" w:val="clear"/>
            <w:tcMar>
              <w:top w:type="dxa" w:w="0"/>
              <w:left w:type="dxa" w:w="200"/>
              <w:bottom w:type="dxa" w:w="120"/>
              <w:right w:type="dxa" w:w="120"/>
            </w:tcMar>
          </w:tcPr>
          <w:p>
            <w:pPr>
              <w:spacing w:after="100" w:before="0"/>
            </w:pPr>
            <w:r>
              <w:rPr>
                <w:rFonts w:ascii="Arial" w:cs="Arial" w:eastAsia="Arial" w:hAnsi="Arial"/>
                <w:b w:val="false"/>
                <w:bCs w:val="false"/>
                <w:i w:val="false"/>
                <w:iCs w:val="false"/>
                <w:color w:val="384660"/>
                <w:sz w:val="21"/>
                <w:szCs w:val="21"/>
              </w:rPr>
              <w:t xml:space="preserve">If Dynamics does not have a project dimension that separates initiative revenue (answer to question 3 is No), enter all Nucleom revenue under 'nucleom' and all Nortech under 'nortech' in the monthly object. Leave the initiative fields (mining, pipeline, powerline, nuclear, x3) as 0. The Command Centre monthly chart will show two bars per month (Nucleom and Nortech) without the initiative breakdown. This is still significantly better than nothing and accurately captures all callout revenue. The initiative split can be added retroactively once question 3 is resolved.</w:t>
            </w:r>
          </w:p>
        </w:tc>
      </w:tr>
    </w:tbl>
    <w:p>
      <w:pPr>
        <w:spacing w:after="100" w:before="160"/>
      </w:pPr>
      <w:r>
        <w:rPr>
          <w:rFonts w:ascii="Arial" w:cs="Arial" w:eastAsia="Arial" w:hAnsi="Arial"/>
          <w:b w:val="false"/>
          <w:bCs w:val="false"/>
          <w:i w:val="false"/>
          <w:iCs w:val="false"/>
          <w:color w:val="384660"/>
          <w:sz w:val="22"/>
          <w:szCs w:val="22"/>
        </w:rPr>
        <w:t xml:space="preserve"> </w:t>
      </w:r>
    </w:p>
    <w:p>
      <w:pPr>
        <w:pStyle w:val="Heading1"/>
        <w:spacing w:after="160" w:before="400"/>
      </w:pPr>
      <w:r>
        <w:rPr>
          <w:rFonts w:ascii="Arial" w:cs="Arial" w:eastAsia="Arial" w:hAnsi="Arial"/>
          <w:color w:val="161C60"/>
        </w:rPr>
        <w:t xml:space="preserve">5.  Decision Tree — What Gets Built Based on Mathieu's Answers</w:t>
      </w:r>
    </w:p>
    <w:p>
      <w:pPr>
        <w:pBdr>
          <w:bottom w:val="single" w:color="DDE3F0" w:sz="6" w:space="1"/>
        </w:pBdr>
        <w:spacing w:after="0" w:before="0"/>
      </w:pPr>
      <w:r>
        <w:rPr>
          <w:rFonts w:ascii="Arial" w:cs="Arial" w:eastAsia="Arial" w:hAnsi="Arial"/>
          <w:b w:val="false"/>
          <w:bCs w:val="false"/>
          <w:i w:val="false"/>
          <w:iCs w:val="false"/>
          <w:color w:val="384660"/>
          <w:sz w:val="22"/>
          <w:szCs w:val="22"/>
        </w:rPr>
        <w:t xml:space="preserve"> </w:t>
      </w:r>
    </w:p>
    <w:p>
      <w:pPr>
        <w:spacing w:after="100" w:before="80"/>
      </w:pPr>
      <w:r>
        <w:rPr>
          <w:rFonts w:ascii="Arial" w:cs="Arial" w:eastAsia="Arial" w:hAnsi="Arial"/>
          <w:b w:val="false"/>
          <w:bCs w:val="false"/>
          <w:i w:val="false"/>
          <w:iCs w:val="false"/>
          <w:color w:val="384660"/>
          <w:sz w:val="22"/>
          <w:szCs w:val="22"/>
        </w:rPr>
        <w:t xml:space="preserve"> </w:t>
      </w:r>
    </w:p>
    <w:p>
      <w:pPr>
        <w:spacing w:after="120" w:before="0"/>
      </w:pPr>
      <w:r>
        <w:rPr>
          <w:rFonts w:ascii="Arial" w:cs="Arial" w:eastAsia="Arial" w:hAnsi="Arial"/>
          <w:b w:val="false"/>
          <w:bCs w:val="false"/>
          <w:i w:val="false"/>
          <w:iCs w:val="false"/>
          <w:color w:val="384660"/>
          <w:sz w:val="22"/>
          <w:szCs w:val="22"/>
        </w:rPr>
        <w:t xml:space="preserve">The answers to questions 1-4 determine exactly which version of the flow gets built. This table shows all possible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Scenario</w:t>
            </w:r>
          </w:p>
        </w:tc>
        <w:tc>
          <w:tcPr>
            <w:tcW w:type="dxa" w:w="26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Conditions</w:t>
            </w:r>
          </w:p>
        </w:tc>
        <w:tc>
          <w:tcPr>
            <w:tcW w:type="dxa" w:w="49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What gets built</w:t>
            </w:r>
          </w:p>
        </w:tc>
      </w:tr>
      <w:tr>
        <w:tc>
          <w:tcPr>
            <w:tcW w:type="dxa" w:w="1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Scenario 1 (best case)</w:t>
            </w:r>
          </w:p>
        </w:tc>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Q1: F&amp;O or Business Central  ·  Q3: Yes, project dimension exists  ·  Q7: Internal access available</w:t>
            </w:r>
          </w:p>
        </w:tc>
        <w:tc>
          <w:tcPr>
            <w:tcW w:type="dxa" w:w="49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Full automated flow: Dynamics queries by initiative, Power Automate writes monthly actuals + initiative split to actuals.json every Sunday. Zero manual steps.</w:t>
            </w:r>
          </w:p>
        </w:tc>
      </w:tr>
      <w:tr>
        <w:tc>
          <w:tcPr>
            <w:tcW w:type="dxa" w:w="1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Scenario 2</w:t>
            </w:r>
          </w:p>
        </w:tc>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Q1: F&amp;O or Business Central  ·  Q3: No dimension exists  ·  Q7: Internal access</w:t>
            </w:r>
          </w:p>
        </w:tc>
        <w:tc>
          <w:tcPr>
            <w:tcW w:type="dxa" w:w="49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Automated flow for entity totals only: Power Automate writes monthly Nucleom and Nortech totals automatically. Initiative split stays manual (ops team estimates based on job records).</w:t>
            </w:r>
          </w:p>
        </w:tc>
      </w:tr>
      <w:tr>
        <w:tc>
          <w:tcPr>
            <w:tcW w:type="dxa" w:w="1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Scenario 3</w:t>
            </w:r>
          </w:p>
        </w:tc>
        <w:tc>
          <w:tcPr>
            <w:tcW w:type="dxa" w:w="26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Q1: Any version  ·  Q7: Requires Dynamics partner</w:t>
            </w:r>
          </w:p>
        </w:tc>
        <w:tc>
          <w:tcPr>
            <w:tcW w:type="dxa" w:w="49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Flow logic built and ready, Azure App Registration documented. Handed to Dynamics partner to activate. Manual process (Section 4) continues until partner completes setup. Typically 1-2 weeks turnaround.</w:t>
            </w:r>
          </w:p>
        </w:tc>
      </w:tr>
      <w:tr>
        <w:tc>
          <w:tcPr>
            <w:tcW w:type="dxa" w:w="1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Scenario 4 (interim only)</w:t>
            </w:r>
          </w:p>
        </w:tc>
        <w:tc>
          <w:tcPr>
            <w:tcW w:type="dxa" w:w="26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Q1-6: Answers not yet available</w:t>
            </w:r>
          </w:p>
        </w:tc>
        <w:tc>
          <w:tcPr>
            <w:tcW w:type="dxa" w:w="49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Mathieu follows Section 4 manual process every month. No automation. Command Centre still shows accurate data. Revisit once Dynamics admin is available.</w:t>
            </w:r>
          </w:p>
        </w:tc>
      </w:tr>
    </w:tbl>
    <w:p>
      <w:pPr>
        <w:spacing w:after="100" w:before="160"/>
      </w:pPr>
      <w:r>
        <w:rPr>
          <w:rFonts w:ascii="Arial" w:cs="Arial" w:eastAsia="Arial" w:hAnsi="Arial"/>
          <w:b w:val="false"/>
          <w:bCs w:val="false"/>
          <w:i w:val="false"/>
          <w:iCs w:val="false"/>
          <w:color w:val="384660"/>
          <w:sz w:val="22"/>
          <w:szCs w:val="22"/>
        </w:rPr>
        <w:t xml:space="preserve"> </w:t>
      </w:r>
    </w:p>
    <w:p>
      <w:pPr>
        <w:pStyle w:val="Heading1"/>
        <w:spacing w:after="160" w:before="400"/>
      </w:pPr>
      <w:r>
        <w:rPr>
          <w:rFonts w:ascii="Arial" w:cs="Arial" w:eastAsia="Arial" w:hAnsi="Arial"/>
          <w:color w:val="161C60"/>
        </w:rPr>
        <w:t xml:space="preserve">6.  Complete actuals.json Field Reference — All 37 Fields</w:t>
      </w:r>
    </w:p>
    <w:p>
      <w:pPr>
        <w:pBdr>
          <w:bottom w:val="single" w:color="DDE3F0" w:sz="6" w:space="1"/>
        </w:pBdr>
        <w:spacing w:after="0" w:before="0"/>
      </w:pPr>
      <w:r>
        <w:rPr>
          <w:rFonts w:ascii="Arial" w:cs="Arial" w:eastAsia="Arial" w:hAnsi="Arial"/>
          <w:b w:val="false"/>
          <w:bCs w:val="false"/>
          <w:i w:val="false"/>
          <w:iCs w:val="false"/>
          <w:color w:val="384660"/>
          <w:sz w:val="22"/>
          <w:szCs w:val="22"/>
        </w:rPr>
        <w:t xml:space="preserve"> </w:t>
      </w:r>
    </w:p>
    <w:p>
      <w:pPr>
        <w:spacing w:after="100" w:before="80"/>
      </w:pPr>
      <w:r>
        <w:rPr>
          <w:rFonts w:ascii="Arial" w:cs="Arial" w:eastAsia="Arial" w:hAnsi="Arial"/>
          <w:b w:val="false"/>
          <w:bCs w:val="false"/>
          <w:i w:val="false"/>
          <w:iCs w:val="false"/>
          <w:color w:val="384660"/>
          <w:sz w:val="22"/>
          <w:szCs w:val="22"/>
        </w:rPr>
        <w:t xml:space="preserve"> </w:t>
      </w:r>
    </w:p>
    <w:p>
      <w:pPr>
        <w:spacing w:after="120" w:before="0"/>
      </w:pPr>
      <w:r>
        <w:rPr>
          <w:rFonts w:ascii="Arial" w:cs="Arial" w:eastAsia="Arial" w:hAnsi="Arial"/>
          <w:b w:val="false"/>
          <w:bCs w:val="false"/>
          <w:i w:val="false"/>
          <w:iCs w:val="false"/>
          <w:color w:val="384660"/>
          <w:sz w:val="22"/>
          <w:szCs w:val="22"/>
        </w:rPr>
        <w:t xml:space="preserve">For Mathieu's reference — the complete list of fields in actuals.json and which system is responsible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Field</w:t>
            </w:r>
          </w:p>
        </w:tc>
        <w:tc>
          <w:tcPr>
            <w:tcW w:type="dxa" w:w="280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Source after integration</w:t>
            </w:r>
          </w:p>
        </w:tc>
        <w:tc>
          <w:tcPr>
            <w:tcW w:type="dxa" w:w="4560"/>
            <w:tcBorders>
              <w:top w:val="single" w:color="DDE3F0" w:sz="1"/>
              <w:left w:val="single" w:color="DDE3F0" w:sz="1"/>
              <w:bottom w:val="single" w:color="DDE3F0" w:sz="1"/>
              <w:right w:val="single" w:color="DDE3F0" w:sz="1"/>
            </w:tcBorders>
            <w:shd w:fill="0D1040" w:val="clear"/>
            <w:tcMar>
              <w:top w:type="dxa" w:w="80"/>
              <w:left w:type="dxa" w:w="120"/>
              <w:bottom w:type="dxa" w:w="80"/>
              <w:right w:type="dxa" w:w="80"/>
            </w:tcMar>
          </w:tcPr>
          <w:p>
            <w:pPr>
              <w:spacing w:after="100" w:before="0"/>
            </w:pPr>
            <w:r>
              <w:rPr>
                <w:rFonts w:ascii="Arial" w:cs="Arial" w:eastAsia="Arial" w:hAnsi="Arial"/>
                <w:b/>
                <w:bCs/>
                <w:i w:val="false"/>
                <w:iCs w:val="false"/>
                <w:color w:val="FFFFFF"/>
                <w:sz w:val="21"/>
                <w:szCs w:val="21"/>
              </w:rPr>
              <w:t xml:space="preserve">Current source (before Dynamics connected)</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nucleom</w:t>
            </w:r>
          </w:p>
        </w:tc>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Dynamics — Nucleom YTD invoiced total</w:t>
            </w:r>
          </w:p>
        </w:tc>
        <w:tc>
          <w:tcPr>
            <w:tcW w:type="dxa" w:w="4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Manual (Mathieu)</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nucleom_pipeline</w:t>
            </w:r>
          </w:p>
        </w:tc>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Salesforce — Nucleom open opportunities</w:t>
            </w:r>
          </w:p>
        </w:tc>
        <w:tc>
          <w:tcPr>
            <w:tcW w:type="dxa" w:w="4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Power Automate (Salesforce)</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nortech</w:t>
            </w:r>
          </w:p>
        </w:tc>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Dynamics — Nortech YTD invoiced total</w:t>
            </w:r>
          </w:p>
        </w:tc>
        <w:tc>
          <w:tcPr>
            <w:tcW w:type="dxa" w:w="4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Manual (Mathieu)</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nortech_pipeline</w:t>
            </w:r>
          </w:p>
        </w:tc>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Manual — Nortech pipeline estimate</w:t>
            </w:r>
          </w:p>
        </w:tc>
        <w:tc>
          <w:tcPr>
            <w:tcW w:type="dxa" w:w="4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Manual</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mining</w:t>
            </w:r>
          </w:p>
        </w:tc>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Dynamics or Salesforce — Mining NDT invoiced</w:t>
            </w:r>
          </w:p>
        </w:tc>
        <w:tc>
          <w:tcPr>
            <w:tcW w:type="dxa" w:w="4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Power Automate (Salesforce Closed Won)</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pipeline</w:t>
            </w:r>
          </w:p>
        </w:tc>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Dynamics or Salesforce — Pipeline DA invoiced</w:t>
            </w:r>
          </w:p>
        </w:tc>
        <w:tc>
          <w:tcPr>
            <w:tcW w:type="dxa" w:w="4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Power Automate (Salesforce)</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powerline</w:t>
            </w:r>
          </w:p>
        </w:tc>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Dynamics or Salesforce — Powerline invoiced</w:t>
            </w:r>
          </w:p>
        </w:tc>
        <w:tc>
          <w:tcPr>
            <w:tcW w:type="dxa" w:w="4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Power Automate (Salesforce)</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nuclear</w:t>
            </w:r>
          </w:p>
        </w:tc>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Dynamics or Salesforce — Nuclear invoiced</w:t>
            </w:r>
          </w:p>
        </w:tc>
        <w:tc>
          <w:tcPr>
            <w:tcW w:type="dxa" w:w="4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Power Automate (Salesforce)</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x3</w:t>
            </w:r>
          </w:p>
        </w:tc>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Dynamics or Salesforce — 3X Composite invoiced</w:t>
            </w:r>
          </w:p>
        </w:tc>
        <w:tc>
          <w:tcPr>
            <w:tcW w:type="dxa" w:w="4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Power Automate (Salesforce)</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region_hq ... region_vancouver</w:t>
            </w:r>
          </w:p>
        </w:tc>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Salesforce — by Region field</w:t>
            </w:r>
          </w:p>
        </w:tc>
        <w:tc>
          <w:tcPr>
            <w:tcW w:type="dxa" w:w="4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Power Automate (Salesforce)</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region_hq_pipeline ... region_vancouver_pipeline</w:t>
            </w:r>
          </w:p>
        </w:tc>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Salesforce — pipeline by region</w:t>
            </w:r>
          </w:p>
        </w:tc>
        <w:tc>
          <w:tcPr>
            <w:tcW w:type="dxa" w:w="4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Power Automate (Salesforce)</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util_hq ... util_vancouver</w:t>
            </w:r>
          </w:p>
        </w:tc>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Utilisation Tracker Excel (SharePoint)</w:t>
            </w:r>
          </w:p>
        </w:tc>
        <w:tc>
          <w:tcPr>
            <w:tcW w:type="dxa" w:w="4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Manual (ops leads via Excel)</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util_target</w:t>
            </w:r>
          </w:p>
        </w:tc>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CONFIG — set manually</w:t>
            </w:r>
          </w:p>
        </w:tc>
        <w:tc>
          <w:tcPr>
            <w:tcW w:type="dxa" w:w="4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Manual (85.0)</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util_week</w:t>
            </w:r>
          </w:p>
        </w:tc>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Power Automate — ISO week string</w:t>
            </w:r>
          </w:p>
        </w:tc>
        <w:tc>
          <w:tcPr>
            <w:tcW w:type="dxa" w:w="4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Power Automate</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monthly.2026_XX.nucleom</w:t>
            </w:r>
          </w:p>
        </w:tc>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Dynamics — Nucleom invoiced that month</w:t>
            </w:r>
          </w:p>
        </w:tc>
        <w:tc>
          <w:tcPr>
            <w:tcW w:type="dxa" w:w="4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Manual (Mathieu)</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monthly.2026_XX.nortech</w:t>
            </w:r>
          </w:p>
        </w:tc>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Dynamics — Nortech invoiced that month</w:t>
            </w:r>
          </w:p>
        </w:tc>
        <w:tc>
          <w:tcPr>
            <w:tcW w:type="dxa" w:w="4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Manual (Mathieu)</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monthly.2026_XX.mining ... x3</w:t>
            </w:r>
          </w:p>
        </w:tc>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Dynamics (if dim exists) or manual</w:t>
            </w:r>
          </w:p>
        </w:tc>
        <w:tc>
          <w:tcPr>
            <w:tcW w:type="dxa" w:w="4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Manual or Power Automate</w:t>
            </w:r>
          </w:p>
        </w:tc>
      </w:tr>
      <w:tr>
        <w:tc>
          <w:tcPr>
            <w:tcW w:type="dxa" w:w="20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actions_commercial ... actions_eurazeo</w:t>
            </w:r>
          </w:p>
        </w:tc>
        <w:tc>
          <w:tcPr>
            <w:tcW w:type="dxa" w:w="280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SharePoint Meeting Actions list</w:t>
            </w:r>
          </w:p>
        </w:tc>
        <w:tc>
          <w:tcPr>
            <w:tcW w:type="dxa" w:w="4560"/>
            <w:tcBorders>
              <w:top w:val="single" w:color="DDE3F0" w:sz="1"/>
              <w:left w:val="single" w:color="DDE3F0" w:sz="1"/>
              <w:bottom w:val="single" w:color="DDE3F0" w:sz="1"/>
              <w:right w:val="single" w:color="DDE3F0" w:sz="1"/>
            </w:tcBorders>
            <w:shd w:fill="FFFFFF"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Power Automate (SharePoint)</w:t>
            </w:r>
          </w:p>
        </w:tc>
      </w:tr>
      <w:tr>
        <w:tc>
          <w:tcPr>
            <w:tcW w:type="dxa" w:w="20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actions_overdue</w:t>
            </w:r>
          </w:p>
        </w:tc>
        <w:tc>
          <w:tcPr>
            <w:tcW w:type="dxa" w:w="280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161C60"/>
                <w:sz w:val="21"/>
                <w:szCs w:val="21"/>
              </w:rPr>
              <w:t xml:space="preserve">SharePoint Meeting Actions list</w:t>
            </w:r>
          </w:p>
        </w:tc>
        <w:tc>
          <w:tcPr>
            <w:tcW w:type="dxa" w:w="4560"/>
            <w:tcBorders>
              <w:top w:val="single" w:color="DDE3F0" w:sz="1"/>
              <w:left w:val="single" w:color="DDE3F0" w:sz="1"/>
              <w:bottom w:val="single" w:color="DDE3F0" w:sz="1"/>
              <w:right w:val="single" w:color="DDE3F0" w:sz="1"/>
            </w:tcBorders>
            <w:shd w:fill="F0F3FA" w:val="clear"/>
            <w:tcMar>
              <w:top w:type="dxa" w:w="80"/>
              <w:left w:type="dxa" w:w="120"/>
              <w:bottom w:type="dxa" w:w="80"/>
              <w:right w:type="dxa" w:w="80"/>
            </w:tcMar>
          </w:tcPr>
          <w:p>
            <w:pPr>
              <w:spacing w:after="100" w:before="0"/>
            </w:pPr>
            <w:r>
              <w:rPr>
                <w:rFonts w:ascii="Arial" w:cs="Arial" w:eastAsia="Arial" w:hAnsi="Arial"/>
                <w:b w:val="false"/>
                <w:bCs w:val="false"/>
                <w:i w:val="false"/>
                <w:iCs w:val="false"/>
                <w:color w:val="384660"/>
                <w:sz w:val="21"/>
                <w:szCs w:val="21"/>
              </w:rPr>
              <w:t xml:space="preserve">Power Automate (SharePoint)</w:t>
            </w:r>
          </w:p>
        </w:tc>
      </w:tr>
    </w:tbl>
    <w:p>
      <w:pPr>
        <w:spacing w:after="100" w:before="200"/>
      </w:pPr>
      <w:r>
        <w:rPr>
          <w:rFonts w:ascii="Arial" w:cs="Arial" w:eastAsia="Arial" w:hAnsi="Arial"/>
          <w:b w:val="false"/>
          <w:bCs w:val="false"/>
          <w:i w:val="false"/>
          <w:iCs w:val="false"/>
          <w:color w:val="384660"/>
          <w:sz w:val="22"/>
          <w:szCs w:val="22"/>
        </w:rPr>
        <w:t xml:space="preserve"> </w:t>
      </w:r>
    </w:p>
    <w:p>
      <w:pPr>
        <w:pBdr>
          <w:top w:val="single" w:color="006EAF" w:sz="8" w:space="1"/>
        </w:pBdr>
        <w:spacing w:after="0" w:before="0"/>
      </w:pPr>
    </w:p>
    <w:p>
      <w:pPr>
        <w:spacing w:after="100" w:before="100"/>
      </w:pPr>
      <w:r>
        <w:rPr>
          <w:rFonts w:ascii="Arial" w:cs="Arial" w:eastAsia="Arial" w:hAnsi="Arial"/>
          <w:b w:val="false"/>
          <w:bCs w:val="false"/>
          <w:i w:val="false"/>
          <w:iCs w:val="false"/>
          <w:color w:val="384660"/>
          <w:sz w:val="22"/>
          <w:szCs w:val="22"/>
        </w:rPr>
        <w:t xml:space="preserve"> </w:t>
      </w:r>
    </w:p>
    <w:p>
      <w:pPr>
        <w:spacing w:after="0" w:before="0"/>
        <w:jc w:val="center"/>
      </w:pPr>
      <w:r>
        <w:rPr>
          <w:rFonts w:ascii="Arial" w:cs="Arial" w:eastAsia="Arial" w:hAnsi="Arial"/>
          <w:b w:val="false"/>
          <w:bCs w:val="false"/>
          <w:i w:val="false"/>
          <w:iCs w:val="false"/>
          <w:color w:val="AAAAAA"/>
          <w:sz w:val="18"/>
          <w:szCs w:val="18"/>
        </w:rPr>
        <w:t xml:space="preserve">BU Services — Dynamics 365 Integration  ·  v1.0  ·  April 2026</w:t>
      </w:r>
    </w:p>
    <w:p>
      <w:pPr>
        <w:spacing w:after="0" w:before="40"/>
        <w:jc w:val="center"/>
      </w:pPr>
      <w:r>
        <w:rPr>
          <w:rFonts w:ascii="Arial" w:cs="Arial" w:eastAsia="Arial" w:hAnsi="Arial"/>
          <w:b w:val="false"/>
          <w:bCs w:val="false"/>
          <w:i w:val="false"/>
          <w:iCs w:val="false"/>
          <w:color w:val="CCCCCC"/>
          <w:sz w:val="18"/>
          <w:szCs w:val="18"/>
        </w:rPr>
        <w:t xml:space="preserve">Prepared for Mathieu Beauchesne  ·  Jon Eustace, CEO North America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F0" w:sz="4" w:space="1"/>
      </w:pBdr>
      <w:tabs>
        <w:tab w:val="center" w:pos="4680"/>
        <w:tab w:val="right" w:pos="9360"/>
      </w:tabs>
      <w:spacing w:after="0" w:before="0"/>
    </w:pPr>
    <w:r>
      <w:rPr>
        <w:rFonts w:ascii="Arial" w:cs="Arial" w:eastAsia="Arial" w:hAnsi="Arial"/>
        <w:b w:val="false"/>
        <w:bCs w:val="false"/>
        <w:i w:val="false"/>
        <w:iCs w:val="false"/>
        <w:color w:val="AAAAAA"/>
        <w:sz w:val="18"/>
        <w:szCs w:val="18"/>
      </w:rPr>
      <w:t xml:space="preserve">Confidential — Ekoscan Integrity Group</w:t>
    </w:r>
    <w:r>
      <w:rPr>
        <w:rFonts w:ascii="Arial" w:cs="Arial" w:eastAsia="Arial" w:hAnsi="Arial"/>
        <w:b w:val="false"/>
        <w:bCs w:val="false"/>
        <w:i w:val="false"/>
        <w:iCs w:val="false"/>
        <w:color w:val="384660"/>
        <w:sz w:val="18"/>
        <w:szCs w:val="18"/>
      </w:rPr>
      <w:t xml:space="preserve">	</w:t>
    </w:r>
    <w:r>
      <w:rPr>
        <w:rFonts w:ascii="Arial" w:cs="Arial" w:eastAsia="Arial" w:hAnsi="Arial"/>
        <w:b w:val="false"/>
        <w:bCs w:val="false"/>
        <w:i w:val="false"/>
        <w:iCs w:val="false"/>
        <w:color w:val="AAAAAA"/>
        <w:sz w:val="18"/>
        <w:szCs w:val="18"/>
      </w:rPr>
      <w:t xml:space="preserve">April 2026</w:t>
    </w:r>
    <w:r>
      <w:rPr>
        <w:rFonts w:ascii="Arial" w:cs="Arial" w:eastAsia="Arial" w:hAnsi="Arial"/>
        <w:b w:val="false"/>
        <w:bCs w:val="false"/>
        <w:i w:val="false"/>
        <w:iCs w:val="false"/>
        <w:color w:val="384660"/>
        <w:sz w:val="18"/>
        <w:szCs w:val="18"/>
      </w:rPr>
      <w:t xml:space="preserve">	</w:t>
    </w:r>
    <w:r>
      <w:rPr>
        <w:rFonts w:ascii="Arial" w:cs="Arial" w:eastAsia="Arial" w:hAnsi="Arial"/>
        <w:b w:val="false"/>
        <w:bCs w:val="false"/>
        <w:i w:val="false"/>
        <w:iCs w:val="false"/>
        <w:color w:val="AAAAAA"/>
        <w:sz w:val="18"/>
        <w:szCs w:val="18"/>
      </w:rPr>
      <w:t xml:space="preserve">Page </w:t>
    </w:r>
    <w:r>
      <w:rPr>
        <w:rFonts w:ascii="Arial" w:cs="Arial" w:hAnsi="Arial"/>
        <w:color w:val="AAAAAA"/>
        <w:sz w:val="18"/>
        <w:szCs w:val="18"/>
      </w:rPr>
      <w:fldChar w:fldCharType="begin"/>
    </w:r>
    <w:r>
      <w:rPr>
        <w:rFonts w:ascii="Arial" w:cs="Arial" w:hAnsi="Arial"/>
        <w:color w:val="AAAAAA"/>
        <w:sz w:val="18"/>
        <w:szCs w:val="18"/>
      </w:rPr>
      <w:instrText xml:space="preserve"> PAGE </w:instrText>
    </w:r>
    <w:r>
      <w:rPr>
        <w:rFonts w:ascii="Arial" w:cs="Arial" w:hAnsi="Arial"/>
        <w:color w:val="AAAAA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F0" w:sz="4" w:space="1"/>
      </w:pBdr>
      <w:spacing w:after="0" w:before="0"/>
    </w:pPr>
    <w:r>
      <w:rPr>
        <w:rFonts w:ascii="Arial" w:cs="Arial" w:eastAsia="Arial" w:hAnsi="Arial"/>
        <w:b w:val="false"/>
        <w:bCs w:val="false"/>
        <w:i w:val="false"/>
        <w:iCs w:val="false"/>
        <w:color w:val="888888"/>
        <w:sz w:val="18"/>
        <w:szCs w:val="18"/>
      </w:rPr>
      <w:t xml:space="preserve">BU Services — Dynamics 365 Integration</w:t>
    </w:r>
    <w:r>
      <w:rPr>
        <w:rFonts w:ascii="Arial" w:cs="Arial" w:eastAsia="Arial" w:hAnsi="Arial"/>
        <w:b w:val="false"/>
        <w:bCs w:val="false"/>
        <w:i w:val="false"/>
        <w:iCs w:val="false"/>
        <w:color w:val="AAAAAA"/>
        <w:sz w:val="18"/>
        <w:szCs w:val="18"/>
      </w:rPr>
      <w:t xml:space="preserve">   ·   Information Required + Flow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8466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61C6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61C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1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2026-04-18T03:00:53.701Z</dcterms:created>
  <dcterms:modified xsi:type="dcterms:W3CDTF">2026-04-18T03:00:53.701Z</dcterms:modified>
</cp:coreProperties>
</file>

<file path=docProps/custom.xml><?xml version="1.0" encoding="utf-8"?>
<Properties xmlns="http://schemas.openxmlformats.org/officeDocument/2006/custom-properties" xmlns:vt="http://schemas.openxmlformats.org/officeDocument/2006/docPropsVTypes"/>
</file>