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pPr>
      <w:r>
        <w:rPr>
          <w:rFonts w:ascii="Arial" w:cs="Arial" w:eastAsia="Arial" w:hAnsi="Arial"/>
          <w:caps/>
          <w:color w:val="6678A0"/>
          <w:spacing w:val="80"/>
          <w:sz w:val="18"/>
          <w:szCs w:val="18"/>
        </w:rPr>
        <w:t xml:space="preserve">EKOSCAN INTEGRITY GROUP — BU SERVICES</w:t>
      </w:r>
    </w:p>
    <w:p>
      <w:pPr>
        <w:spacing w:after="40"/>
      </w:pPr>
      <w:r>
        <w:rPr>
          <w:rFonts w:ascii="Arial" w:cs="Arial" w:eastAsia="Arial" w:hAnsi="Arial"/>
          <w:b/>
          <w:bCs/>
          <w:color w:val="0A1F5C"/>
          <w:sz w:val="52"/>
          <w:szCs w:val="52"/>
        </w:rPr>
        <w:t xml:space="preserve">Eric Rodrigue</w:t>
      </w:r>
    </w:p>
    <w:p>
      <w:pPr>
        <w:spacing w:after="40"/>
      </w:pPr>
      <w:r>
        <w:rPr>
          <w:rFonts w:ascii="Arial" w:cs="Arial" w:eastAsia="Arial" w:hAnsi="Arial"/>
          <w:b/>
          <w:bCs/>
          <w:color w:val="0D5050"/>
          <w:sz w:val="26"/>
          <w:szCs w:val="26"/>
        </w:rPr>
        <w:t xml:space="preserve">Operations Director — Quebec</w:t>
      </w:r>
    </w:p>
    <w:p>
      <w:pPr>
        <w:spacing w:after="60"/>
      </w:pPr>
      <w:r>
        <w:rPr>
          <w:rFonts w:ascii="Arial" w:cs="Arial" w:eastAsia="Arial" w:hAnsi="Arial"/>
          <w:i/>
          <w:iCs/>
          <w:color w:val="6678A0"/>
          <w:sz w:val="19"/>
          <w:szCs w:val="19"/>
        </w:rPr>
        <w:t xml:space="preserve">Employer: Nucleom Inc.  ·  Level: Regional Operations — reports to Alex Cyr</w:t>
      </w:r>
    </w:p>
    <w:p>
      <w:pPr>
        <w:pBdr>
          <w:bottom w:val="single" w:color="0D5050" w:sz="4" w:space="1"/>
        </w:pBdr>
        <w:spacing w:after="160" w:before="120"/>
      </w:pPr>
    </w:p>
    <w:p>
      <w:pPr>
        <w:spacing w:after="80"/>
      </w:pPr>
    </w:p>
    <w:p>
      <w:pPr>
        <w:spacing w:after="120"/>
      </w:pPr>
      <w:r>
        <w:rPr>
          <w:rFonts w:ascii="Arial" w:cs="Arial" w:eastAsia="Arial" w:hAnsi="Arial"/>
          <w:sz w:val="20"/>
          <w:szCs w:val="20"/>
        </w:rPr>
        <w:t xml:space="preserve">You are the operations lead for Quebec. You are employed by Nucleom, but your mandate serves both Nucleom and Nortech goals in your region. You own crew deployment, utilisation, certification currency, and the day-to-day operational discipline that makes commercial commitments deliverable. The commercial team promises the work — you make it happen on the ground.</w:t>
      </w:r>
    </w:p>
    <w:p>
      <w:pPr>
        <w:spacing w:after="80"/>
      </w:pPr>
    </w:p>
    <w:p>
      <w:pPr>
        <w:pStyle w:val="Heading1"/>
      </w:pPr>
      <w:r>
        <w:t xml:space="preserve">1.  Your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F4F7FB" w:val="clear"/>
            <w:tcMar>
              <w:top w:type="dxa" w:w="100"/>
              <w:left w:type="dxa" w:w="220"/>
              <w:bottom w:type="dxa" w:w="60"/>
              <w:right w:type="dxa" w:w="220"/>
            </w:tcMar>
          </w:tcPr>
          <w:p>
            <w:r>
              <w:rPr>
                <w:rFonts w:ascii="Arial" w:cs="Arial" w:eastAsia="Arial" w:hAnsi="Arial"/>
                <w:b/>
                <w:bCs/>
                <w:color w:val="0A1F5C"/>
                <w:sz w:val="20"/>
                <w:szCs w:val="20"/>
              </w:rPr>
              <w:t xml:space="preserve">Your place in the BU Services ops structure</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You report to Alex Cyr (Sr. Operations Director, BU Services). Alex sits above all regional directors — Eric Rodrigue (QC), Joel Djordjevic (Central), Keith Reichenbach (Western), Brook Althouse (Northern), and Jason Borza (Nortech). You are Nucleom-employed, but you work with Nortech goals in mind. Jason Borza (Nortech Ops Director) is a peer — same level, same expectations.</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Quebec is Nucleom's home region — the largest crew concentration, the highest volume, and the strongest existing client relationships. You manage the densest operational environment in the business. A fundamental change — ops and commercial are now separate. Previously you and the ops team managed client relationships AND operational delivery. That was two full-time jobs in one. BU Services now has a dedicated commercial team: Vinoth Tharma (Commercial Director East) owns all new client development in your region. Your mandate has sharpened: maintain and strengthen your existing Quebec client relationships, deliver awarded work to a standard that earns repeat business, and support Vinoth when he needs crew availability or capability input on a quote. You do not chase new clients or manage new prospect conversations. If an existing client mentions a new project in conversation — warm handoff to Vinoth that same day, not a quote from ops.</w:t>
            </w:r>
          </w:p>
        </w:tc>
      </w:tr>
    </w:tbl>
    <w:p>
      <w:pPr>
        <w:spacing w:after="80"/>
      </w:pPr>
    </w:p>
    <w:p>
      <w:pPr>
        <w:pStyle w:val="Heading1"/>
      </w:pPr>
      <w:r>
        <w:t xml:space="preserve">2.  The Five Initiatives — What They Mean for Your Region</w:t>
      </w:r>
    </w:p>
    <w:p>
      <w:pPr>
        <w:spacing w:after="120"/>
      </w:pPr>
      <w:r>
        <w:rPr>
          <w:rFonts w:ascii="Arial" w:cs="Arial" w:eastAsia="Arial" w:hAnsi="Arial"/>
          <w:sz w:val="20"/>
          <w:szCs w:val="20"/>
        </w:rPr>
        <w:t xml:space="preserve">The commercial team is building a $92.8M revenue plan by 2030 across five initiatives. Every initiative has a direct operational implication for your region — crew, capacity, certifications, and deployment planning. Here is what each one means for you specifically.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Initiative</w:t>
            </w:r>
          </w:p>
        </w:tc>
        <w:tc>
          <w:tcPr>
            <w:tcW w:type="dxa" w:w="328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it means for your region</w:t>
            </w:r>
          </w:p>
        </w:tc>
        <w:tc>
          <w:tcPr>
            <w:tcW w:type="dxa" w:w="408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ops needs to do</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Mining NDT (East — Vinoth)</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QC has strong mining activity — Val-d'Or, Rouyn-Noranda, Thetford Mines. Agnico Eagle's Abitibi operations are a primary Mining NDT target.</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Ensure your QC Mining NDT technicians are CGSB-certified and current. Coordinate with Vinoth on Agnico Eagle deployment planning for 2026.</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7"/>
                <w:szCs w:val="17"/>
              </w:rPr>
              <w:t xml:space="preserve">Nuclear / OPG (Vinoth + Jon)</w:t>
            </w:r>
          </w:p>
        </w:tc>
        <w:tc>
          <w:tcPr>
            <w:tcW w:type="dxa" w:w="3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Quebec's nuclear proximity is limited — but QC technicians may be deployed to OPG outage windows. Louis-Pier Théberge (Nuclear Sector Ops Director, reports to Mathieu B) coordinates nuclear ops.</w:t>
            </w:r>
          </w:p>
        </w:tc>
        <w:tc>
          <w:tcPr>
            <w:tcW w:type="dxa" w:w="40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Identify any QC technicians with nuclear qualification history. Flag to Louis-Pier Théberge (reports to Mathieu B) for the outage crew pool.</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Powerline (Mathieu)</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Hydro-Québec is one of the largest utilities in North America — a major Powerline target. Mathieu owns the relationship.</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Ensure any QC Powerline-qualified technicians are in the utilisation tracker and flagged to Mathieu for deployment planning on Hydro-Québec work.</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7"/>
                <w:szCs w:val="17"/>
              </w:rPr>
              <w:t xml:space="preserve">3X Composite Repair</w:t>
            </w:r>
          </w:p>
        </w:tc>
        <w:tc>
          <w:tcPr>
            <w:tcW w:type="dxa" w:w="3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QC has significant pipeline and industrial infrastructure. AMBER/RED findings from your QC crew are 3X opportunities.</w:t>
            </w:r>
          </w:p>
        </w:tc>
        <w:tc>
          <w:tcPr>
            <w:tcW w:type="dxa" w:w="40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Same-day flagging of AMBER/RED findings to Vinoth. Train your crew that this is a standing expectation, not an optional report.</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Pipeline DA (Rick + Jason)</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Pipeline DA is primarily Western Canada to start. QC pipeline activity is secondary but exists — GASCOR, Énergir.</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Flag any QC pipeline operator conversations to Rick Carlton. Pipeline DA crew in QC is Nortech-side — coordinate with Jason Borza.</w:t>
            </w:r>
          </w:p>
        </w:tc>
      </w:tr>
    </w:tbl>
    <w:p>
      <w:pPr>
        <w:spacing w:after="80"/>
      </w:pPr>
    </w:p>
    <w:p>
      <w:pPr>
        <w:pStyle w:val="Heading1"/>
      </w:pPr>
      <w:r>
        <w:t xml:space="preserve">3.  How You Feed the Commercial System</w:t>
      </w:r>
    </w:p>
    <w:p>
      <w:pPr>
        <w:spacing w:after="120"/>
      </w:pPr>
      <w:r>
        <w:rPr>
          <w:rFonts w:ascii="Arial" w:cs="Arial" w:eastAsia="Arial" w:hAnsi="Arial"/>
          <w:sz w:val="20"/>
          <w:szCs w:val="20"/>
        </w:rPr>
        <w:t xml:space="preserve">BU Services runs a live commercial intelligence system that Jon uses for weekly KPI reviews and Eurazeo board reporting. The ops team feeds two parts of this system. Neither is complex — both are critical.</w:t>
      </w:r>
    </w:p>
    <w:p>
      <w:pPr>
        <w:spacing w:after="80"/>
      </w:pPr>
    </w:p>
    <w:p>
      <w:pPr>
        <w:pStyle w:val="Heading1"/>
      </w:pPr>
      <w:r>
        <w:t xml:space="preserve">Commercial System — Your Role</w:t>
      </w:r>
    </w:p>
    <w:p>
      <w:pPr>
        <w:spacing w:after="120"/>
      </w:pPr>
      <w:r>
        <w:rPr>
          <w:rFonts w:ascii="Arial" w:cs="Arial" w:eastAsia="Arial" w:hAnsi="Arial"/>
          <w:sz w:val="20"/>
          <w:szCs w:val="20"/>
        </w:rPr>
        <w:t xml:space="preserve">BU Services runs a commercial management system that connects Salesforce, Business Central, and SharePoint into a single weekly picture for Jon, Jeremy, and the Eurazeo board. The ops team feeds this system in two specific ways: utilisation data and technician assignment on closed deals. Neither requires Salesforce access — both take under 10 minutes per week.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System / Tool</w:t>
            </w:r>
          </w:p>
        </w:tc>
        <w:tc>
          <w:tcPr>
            <w:tcW w:type="dxa" w:w="65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Your responsibility</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Utilisation Tracker (Excel)</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The 26-week utilisation tracker on SharePoint covers all five regions. Your region's utilisation row is updated by you every Wednesday — billable hours this week, available hours, and chargeable percentage. This feeds the Command Centre utilisation cards and the INT BU deck. Takes 3 minutes.</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Assigned_Technicians__c (Salesforce)</w:t>
            </w:r>
          </w:p>
        </w:tc>
        <w:tc>
          <w:tcPr>
            <w:tcW w:type="dxa" w:w="65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When the commercial team closes a deal in your region, they tag the technician names in Salesforce. You do not enter this — but you are expected to confirm crew availability and qualifications to Max or Vinoth before the deal closes so the names they enter are accurate.</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actuals.json — utilisation fields</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The utilisation data flows from the Excel tracker through Power Automate into actuals.json on Sunday nights. You do not touch actuals.json directly — just keep the Excel tracker current.</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9860A" w:sz="4"/>
              <w:left w:val="single" w:color="C9860A" w:sz="4"/>
              <w:bottom w:val="single" w:color="C9860A" w:sz="4"/>
              <w:right w:val="none"/>
            </w:tcBorders>
            <w:shd w:fill="C9860A" w:val="clear"/>
          </w:tcPr>
          <w:p/>
        </w:tc>
        <w:tc>
          <w:tcPr>
            <w:tcW w:type="dxa" w:w="9160"/>
            <w:tcBorders>
              <w:top w:val="single" w:color="C9860A" w:sz="4"/>
              <w:left w:val="none"/>
              <w:bottom w:val="single" w:color="C9860A" w:sz="4"/>
              <w:right w:val="single" w:color="C9860A" w:sz="4"/>
            </w:tcBorders>
            <w:shd w:fill="F4F7FB" w:val="clear"/>
            <w:tcMar>
              <w:top w:type="dxa" w:w="120"/>
              <w:left w:type="dxa" w:w="200"/>
              <w:bottom w:type="dxa" w:w="120"/>
              <w:right w:type="dxa" w:w="200"/>
            </w:tcMar>
          </w:tcPr>
          <w:p>
            <w:pPr>
              <w:spacing w:after="80"/>
            </w:pPr>
            <w:r>
              <w:rPr>
                <w:rFonts w:ascii="Arial" w:cs="Arial" w:eastAsia="Arial" w:hAnsi="Arial"/>
                <w:b/>
                <w:bCs/>
                <w:color w:val="C9860A"/>
                <w:sz w:val="21"/>
                <w:szCs w:val="21"/>
              </w:rPr>
              <w:t xml:space="preserve">The most important ops habit: same-day AMBER/RED flagging</w:t>
            </w:r>
          </w:p>
          <w:p>
            <w:pPr>
              <w:spacing w:after="70"/>
            </w:pPr>
            <w:r>
              <w:rPr>
                <w:rFonts w:ascii="Arial" w:cs="Arial" w:eastAsia="Arial" w:hAnsi="Arial"/>
                <w:color w:val="1A2A4A"/>
                <w:sz w:val="19"/>
                <w:szCs w:val="19"/>
              </w:rPr>
              <w:t xml:space="preserve">When one of your technicians identifies an AMBER or RED finding during any inspection — pipeline, mining, facility, or utility — that finding must be flagged to the commercial team the same day.</w:t>
            </w:r>
          </w:p>
          <w:p>
            <w:pPr>
              <w:spacing w:after="70"/>
            </w:pPr>
            <w:r>
              <w:rPr>
                <w:rFonts w:ascii="Arial" w:cs="Arial" w:eastAsia="Arial" w:hAnsi="Arial"/>
                <w:color w:val="1A2A4A"/>
                <w:sz w:val="19"/>
                <w:szCs w:val="19"/>
              </w:rPr>
              <w:t xml:space="preserve">This is how 3X Composite Repair opportunities are created. The commercial system has no way to detect these findings automatically. Your crew in the field are the detection system.</w:t>
            </w:r>
          </w:p>
          <w:p>
            <w:pPr>
              <w:spacing w:after="70"/>
            </w:pPr>
            <w:r>
              <w:rPr>
                <w:rFonts w:ascii="Arial" w:cs="Arial" w:eastAsia="Arial" w:hAnsi="Arial"/>
                <w:color w:val="1A2A4A"/>
                <w:sz w:val="19"/>
                <w:szCs w:val="19"/>
              </w:rPr>
              <w:t xml:space="preserve">Flag to: Vinoth Tharma (Commercial Director East) — same day, not the next weekly meeting.</w:t>
            </w:r>
          </w:p>
        </w:tc>
      </w:tr>
    </w:tbl>
    <w:p>
      <w:pPr>
        <w:spacing w:after="80"/>
      </w:pPr>
    </w:p>
    <w:p>
      <w:pPr>
        <w:pStyle w:val="Heading1"/>
      </w:pPr>
      <w:r>
        <w:t xml:space="preserve">4.  Your Weekly Rhythm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A5CA8" w:sz="4"/>
              <w:left w:val="single" w:color="1A5CA8" w:sz="4"/>
              <w:bottom w:val="single" w:color="1A5CA8" w:sz="4"/>
              <w:right w:val="none"/>
            </w:tcBorders>
            <w:shd w:fill="1A5CA8" w:val="clear"/>
          </w:tcPr>
          <w:p/>
        </w:tc>
        <w:tc>
          <w:tcPr>
            <w:tcW w:type="dxa" w:w="9160"/>
            <w:tcBorders>
              <w:top w:val="single" w:color="1A5CA8" w:sz="4"/>
              <w:left w:val="none"/>
              <w:bottom w:val="single" w:color="1A5CA8" w:sz="4"/>
              <w:right w:val="single" w:color="1A5CA8" w:sz="4"/>
            </w:tcBorders>
            <w:shd w:fill="F4F7FB" w:val="clear"/>
            <w:tcMar>
              <w:top w:type="dxa" w:w="120"/>
              <w:left w:type="dxa" w:w="200"/>
              <w:bottom w:type="dxa" w:w="120"/>
              <w:right w:type="dxa" w:w="200"/>
            </w:tcMar>
          </w:tcPr>
          <w:p>
            <w:pPr>
              <w:spacing w:after="80"/>
            </w:pPr>
            <w:r>
              <w:rPr>
                <w:rFonts w:ascii="Arial" w:cs="Arial" w:eastAsia="Arial" w:hAnsi="Arial"/>
                <w:b/>
                <w:bCs/>
                <w:color w:val="1A5CA8"/>
                <w:sz w:val="21"/>
                <w:szCs w:val="21"/>
              </w:rPr>
              <w:t xml:space="preserve">Every Wednesday — update the utilisation tracker</w:t>
            </w:r>
          </w:p>
          <w:p>
            <w:pPr>
              <w:spacing w:after="70"/>
            </w:pPr>
            <w:r>
              <w:rPr>
                <w:rFonts w:ascii="Arial" w:cs="Arial" w:eastAsia="Arial" w:hAnsi="Arial"/>
                <w:color w:val="1A2A4A"/>
                <w:sz w:val="19"/>
                <w:szCs w:val="19"/>
              </w:rPr>
              <w:t xml:space="preserve">Open the 26-week utilisation tracker on SharePoint. Update your region's row: billable hours this week, available hours, chargeable percentage, and any crew on leave or training.</w:t>
            </w:r>
          </w:p>
          <w:p>
            <w:pPr>
              <w:spacing w:after="70"/>
            </w:pPr>
            <w:r>
              <w:rPr>
                <w:rFonts w:ascii="Arial" w:cs="Arial" w:eastAsia="Arial" w:hAnsi="Arial"/>
                <w:color w:val="1A2A4A"/>
                <w:sz w:val="19"/>
                <w:szCs w:val="19"/>
              </w:rPr>
              <w:t xml:space="preserve">This feeds the Command Centre and the INT BU deck automatically via Power Automate. Takes 3 minutes. If you miss a week, Jon's utilisation numbers are wrong.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6A34A" w:sz="4"/>
              <w:left w:val="single" w:color="16A34A" w:sz="4"/>
              <w:bottom w:val="single" w:color="16A34A" w:sz="4"/>
              <w:right w:val="none"/>
            </w:tcBorders>
            <w:shd w:fill="16A34A" w:val="clear"/>
          </w:tcPr>
          <w:p/>
        </w:tc>
        <w:tc>
          <w:tcPr>
            <w:tcW w:type="dxa" w:w="9160"/>
            <w:tcBorders>
              <w:top w:val="single" w:color="16A34A" w:sz="4"/>
              <w:left w:val="none"/>
              <w:bottom w:val="single" w:color="16A34A" w:sz="4"/>
              <w:right w:val="single" w:color="16A34A" w:sz="4"/>
            </w:tcBorders>
            <w:shd w:fill="F4F7FB" w:val="clear"/>
            <w:tcMar>
              <w:top w:type="dxa" w:w="120"/>
              <w:left w:type="dxa" w:w="200"/>
              <w:bottom w:type="dxa" w:w="120"/>
              <w:right w:type="dxa" w:w="200"/>
            </w:tcMar>
          </w:tcPr>
          <w:p>
            <w:pPr>
              <w:spacing w:after="80"/>
            </w:pPr>
            <w:r>
              <w:rPr>
                <w:rFonts w:ascii="Arial" w:cs="Arial" w:eastAsia="Arial" w:hAnsi="Arial"/>
                <w:b/>
                <w:bCs/>
                <w:color w:val="16A34A"/>
                <w:sz w:val="21"/>
                <w:szCs w:val="21"/>
              </w:rPr>
              <w:t xml:space="preserve">Before any deal closes in your region — confirm crew</w:t>
            </w:r>
          </w:p>
          <w:p>
            <w:pPr>
              <w:spacing w:after="70"/>
            </w:pPr>
            <w:r>
              <w:rPr>
                <w:rFonts w:ascii="Arial" w:cs="Arial" w:eastAsia="Arial" w:hAnsi="Arial"/>
                <w:color w:val="1A2A4A"/>
                <w:sz w:val="19"/>
                <w:szCs w:val="19"/>
              </w:rPr>
              <w:t xml:space="preserve">When Max or Vinoth tells you a deal is about to close, confirm crew availability and qualifications so they can tag the right names in Salesforce (Assigned_Technicians__c field).</w:t>
            </w:r>
          </w:p>
          <w:p>
            <w:pPr>
              <w:spacing w:after="70"/>
            </w:pPr>
            <w:r>
              <w:rPr>
                <w:rFonts w:ascii="Arial" w:cs="Arial" w:eastAsia="Arial" w:hAnsi="Arial"/>
                <w:color w:val="1A2A4A"/>
                <w:sz w:val="19"/>
                <w:szCs w:val="19"/>
              </w:rPr>
              <w:t xml:space="preserve">Do not wait to be asked. If you know a proposal is active in your region, proactively tell the commercial lead what crew you have available and what certs they hold.</w:t>
            </w:r>
          </w:p>
        </w:tc>
      </w:tr>
    </w:tbl>
    <w:p>
      <w:pPr>
        <w:spacing w:after="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2"/>
      </w:pBdr>
      <w:spacing w:before="80"/>
      <w:jc w:val="center"/>
    </w:pPr>
    <w:r>
      <w:rPr>
        <w:rFonts w:ascii="Arial" w:cs="Arial" w:eastAsia="Arial" w:hAnsi="Arial"/>
        <w:color w:val="6678A0"/>
        <w:sz w:val="16"/>
        <w:szCs w:val="16"/>
      </w:rPr>
      <w:t xml:space="preserve">Page </w:t>
    </w:r>
    <w:r>
      <w:rPr>
        <w:rFonts w:ascii="Arial" w:cs="Arial" w:eastAsia="Arial" w:hAnsi="Arial"/>
        <w:color w:val="6678A0"/>
        <w:sz w:val="16"/>
        <w:szCs w:val="16"/>
      </w:rPr>
      <w:fldChar w:fldCharType="begin"/>
      <w:instrText xml:space="preserve">PAGE</w:instrText>
      <w:fldChar w:fldCharType="separate"/>
      <w:fldChar w:fldCharType="end"/>
    </w:r>
    <w:r>
      <w:rPr>
        <w:rFonts w:ascii="Arial" w:cs="Arial" w:eastAsia="Arial" w:hAnsi="Arial"/>
        <w:color w:val="6678A0"/>
        <w:sz w:val="16"/>
        <w:szCs w:val="16"/>
      </w:rPr>
      <w:t xml:space="preserve"> of </w:t>
    </w:r>
    <w:r>
      <w:rPr>
        <w:rFonts w:ascii="Arial" w:cs="Arial" w:eastAsia="Arial" w:hAnsi="Arial"/>
        <w:color w:val="6678A0"/>
        <w:sz w:val="16"/>
        <w:szCs w:val="16"/>
      </w:rPr>
      <w:fldChar w:fldCharType="begin"/>
      <w:instrText xml:space="preserve">NUMPAGES</w:instrText>
      <w:fldChar w:fldCharType="separate"/>
      <w:fldChar w:fldCharType="end"/>
    </w:r>
    <w:r>
      <w:rPr>
        <w:rFonts w:ascii="Arial" w:cs="Arial" w:eastAsia="Arial" w:hAnsi="Arial"/>
        <w:color w:val="6678A0"/>
        <w:sz w:val="16"/>
        <w:szCs w:val="16"/>
      </w:rPr>
      <w:t xml:space="preserve">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5050" w:sz="2" w:space="2"/>
      </w:pBdr>
      <w:spacing w:after="0"/>
      <w:jc w:val="right"/>
    </w:pPr>
    <w:r>
      <w:rPr>
        <w:rFonts w:ascii="Arial" w:cs="Arial" w:eastAsia="Arial" w:hAnsi="Arial"/>
        <w:color w:val="6678A0"/>
        <w:sz w:val="16"/>
        <w:szCs w:val="16"/>
      </w:rPr>
      <w:t xml:space="preserve">Eric Rodrigue  ·  Ops Team Role Brief  ·  BU Services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5050" w:sz="3" w:space="2"/>
      </w:pBdr>
      <w:spacing w:after="180" w:before="360"/>
      <w:outlineLvl w:val="0"/>
    </w:pPr>
    <w:rPr>
      <w:rFonts w:ascii="Arial" w:cs="Arial" w:eastAsia="Arial" w:hAnsi="Arial"/>
      <w:b/>
      <w:bCs/>
      <w:color w:val="0A1F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2026-04-19T17:19:32.963Z</dcterms:created>
  <dcterms:modified xsi:type="dcterms:W3CDTF">2026-04-19T17:19:32.963Z</dcterms:modified>
</cp:coreProperties>
</file>

<file path=docProps/custom.xml><?xml version="1.0" encoding="utf-8"?>
<Properties xmlns="http://schemas.openxmlformats.org/officeDocument/2006/custom-properties" xmlns:vt="http://schemas.openxmlformats.org/officeDocument/2006/docPropsVTypes"/>
</file>