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</w:tcPr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EKOSCAN INTEGRITY GROUP — BU SERVICES</w:t>
            </w:r>
          </w:p>
        </w:tc>
      </w:tr>
    </w:tbl>
    <w:p>
      <w:pPr>
        <w:spacing w:after="60" w:before="60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Eurazeo / EIG Executive 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B4A"/>
          <w:sz w:val="28"/>
          <w:szCs w:val="28"/>
        </w:rPr>
        <w:t xml:space="preserve">Quarterly Performance &amp; Initiative Progress Report</w:t>
      </w:r>
    </w:p>
    <w:p>
      <w:pPr>
        <w:spacing w:after="60" w:before="60"/>
      </w:pPr>
      <w:r>
        <w:rPr>
          <w:sz w:val="8"/>
          <w:szCs w:val="8"/>
        </w:rP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QUARTER &amp; YEAR — e.g. Q2 2026 ]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Replace with the current quarter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DATE — e.g. April 7, 2026 ]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First week of the quarter</w:t>
      </w:r>
    </w:p>
    <w:p>
      <w:pPr>
        <w:spacing w:after="60" w:before="60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Presented by: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Jon Eustace</w:t>
      </w:r>
      <w:r>
        <w:rPr>
          <w:rFonts w:ascii="Arial" w:cs="Arial" w:eastAsia="Arial" w:hAnsi="Arial"/>
          <w:i/>
          <w:iCs/>
          <w:color w:val="6678A0"/>
          <w:sz w:val="20"/>
          <w:szCs w:val="20"/>
        </w:rPr>
        <w:t xml:space="preserve">  CEO North America, Ekoscan Integrity Group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Prepared by: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Jeremy Irwin &amp; Charles Recape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1.  Executive Summary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[ 3–4 sentence narrative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Revenue trajectory vs. plan · most important gate milestone · any contingency activated · key priority for next quarter</w:t>
      </w:r>
    </w:p>
    <w:p>
      <w:pPr>
        <w:spacing w:after="60" w:before="60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Quarter at a glance: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Plan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BU Services Revenue (CAD 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Nucleom Closed Won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Nortech Closed Won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Gates Complete (of 12)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All-Initiative Actuals vs. 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FCF Position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2.  Financial Performance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2.1  Revenue — Quarter &amp; Year-to-Date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Budget ($M)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Actual ($M)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Budget ($M)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Actual ($M)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Variance</w:t>
            </w:r>
          </w:p>
        </w:tc>
      </w:tr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Nucleom (incl. Arcanite)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Nortech + RockX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 NDT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(Intact)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Revenue narrative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Note any variances &gt; $500K. State whether a forecast revision is triggered (threshold: YTD variance &gt; $1M).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2.2  Revenue in EUR (Eurazeo model)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EUR/CAD rate applied — e.g. 0.72 ]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From actuals.json eur_rate field · Jeremy Irwin confirms annually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Actual (CAD $M)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Actual (k€)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(k€)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(k€)</w:t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Nucleom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Nortech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BU Services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2.3  CAPEX Actual vs. Approved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($K)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YTD ($K)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DA (rig fleet)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Nuclear (certs + instruments)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3X Composite (tooling)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Powerline (instruments)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CAPEX approval request (if any)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For any release above $500K threshold: state amount, business case, expected return. EIG approval required before commitment.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2.4  Free Cash Flow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FCF narrative — actual vs. model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Jeremy Irwin and Renée Lachance provide numbers. Charles Recape builds the pack against the Eurazeo financial model.</w:t>
      </w:r>
    </w:p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3.  Initiative Progress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3.1  Mining NDT — $17.9M 5-year · Owner: Vinoth / Max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Status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Revenue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accounts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12+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accounts QTD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milestone this Q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/ amber / red</w:t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Mining narrative (3–5 sentences)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ECA utilisation · Western expansion · Quebec pipeline · R-05 status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3.2  Pipeline DA — $30M 5-year · Owner: Rick Carlton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Status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Revenue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Rigs operational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Pembina MSA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Award Q2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milestone this Q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/ amber / red</w:t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Pipeline DA narrative (3–5 sentences)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Rig deployment · Pembina qualification · Tidewater program · R-02 status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3.3  Powerline — $10.2M 5-year · Owner: Mathieu Beauchesne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Status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Revenue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0.365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HQ 2026 program scope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Confirmed Q2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EIG instrument model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Resolved Q2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milestone this Q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/ amber / red</w:t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Powerline narrative (3–5 sentences)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HQ progress · second utility pilot · EIG instrument model · R-06 status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3.4  Nuclear / OPG — $47.9M 5-year · Owner: Olivier / Vinoth (CRITICAL)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Status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Revenue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MSA tender submission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CGSB qualification gaps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OPG MSA tender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 30, 2026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/ amber / red</w:t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Nuclear narrative (5–7 sentences — this is the defining gate)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OPG procurement signals · tender preparation status · CGSB gap count · Aecon relationship · Nuclear Track Sync status · R-01 status · Contingency A status if triggered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2A6E"/>
          <w:sz w:val="24"/>
          <w:szCs w:val="24"/>
        </w:rPr>
        <w:t xml:space="preserve">3.5  3X Composite Repair — $11.4M 5-year · Owner: Vinoth / Max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Status</w:t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Revenue ($M)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ABSA re-submission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15, 2026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milestone this Q</w:t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/ amber / red</w:t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[ 3X narrative (3–5 sentences)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ABSA status · non-pressure repair revenue · R-04 status</w:t>
      </w:r>
    </w:p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4.  Risk Register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this Q?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0A1F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Nuclear MSA loss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MSA miss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Commercial team departure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ABSA delay past Q3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Mining expansion stalls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Powerline instrument model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0DCF0" w:sz="2"/>
              <w:left w:val="single" w:color="D0DCF0" w:sz="2"/>
              <w:bottom w:val="single" w:color="D0DCF0" w:sz="2"/>
              <w:right w:val="single" w:color="D0DCF0" w:sz="2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Risk narrative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If any trigger observed: state which contingency is activated and the revised revenue forecast.</w:t>
      </w:r>
    </w:p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5.  EIG Approval Items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78A0"/>
          <w:sz w:val="20"/>
          <w:szCs w:val="20"/>
        </w:rPr>
        <w:t xml:space="preserve">If no approvals needed: state "No EIG approvals required this quarter."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APPROVAL REQUEST (if any) ]</w:t>
      </w:r>
      <w:r>
        <w:rPr>
          <w:rFonts w:ascii="Arial" w:cs="Arial" w:eastAsia="Arial" w:hAnsi="Arial"/>
          <w:i/>
          <w:iCs/>
          <w:color w:val="6678A0"/>
          <w:sz w:val="18"/>
          <w:szCs w:val="18"/>
        </w:rPr>
        <w:t xml:space="preserve">  Title · Amount · Business case · Expected return · Timeline</w:t>
      </w:r>
    </w:p>
    <w:p>
      <w:pPr>
        <w:pStyle w:val="Heading1"/>
        <w:pBdr>
          <w:bottom w:val="single" w:color="00AEEF" w:sz="4"/>
        </w:pBdr>
        <w:spacing w:after="120" w:before="320"/>
      </w:pPr>
      <w:r>
        <w:rPr>
          <w:rFonts w:ascii="Arial" w:cs="Arial" w:eastAsia="Arial" w:hAnsi="Arial"/>
          <w:b/>
          <w:bCs/>
          <w:color w:val="0A1F5C"/>
          <w:sz w:val="28"/>
          <w:szCs w:val="28"/>
        </w:rPr>
        <w:t xml:space="preserve">6.  Next Quarter Priorities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Three deliverables for the coming quarter (specific, named, dated):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Priority 1 — owner, due date, definition of done ]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Priority 2 — owner, due date, definition of done ]</w:t>
      </w:r>
    </w:p>
    <w:p>
      <w:pP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9860A"/>
          <w:sz w:val="20"/>
          <w:szCs w:val="20"/>
        </w:rPr>
        <w:t xml:space="preserve">▶ [ Priority 3 — owner, due date, definition of done 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</w:tcPr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CONTROL</w:t>
            </w:r>
          </w:p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color w:val="D0DCF0"/>
                <w:sz w:val="18"/>
                <w:szCs w:val="18"/>
              </w:rPr>
              <w:t xml:space="preserve">Financial data: Jeremy Irwin (BU Services actuals) + Renée Lachance (Nucleom)</w:t>
            </w:r>
          </w:p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color w:val="D0DCF0"/>
                <w:sz w:val="18"/>
                <w:szCs w:val="18"/>
              </w:rPr>
              <w:t xml:space="preserve">Eurazeo model pack: Charles Recape</w:t>
            </w:r>
          </w:p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color w:val="D0DCF0"/>
                <w:sz w:val="18"/>
                <w:szCs w:val="18"/>
              </w:rPr>
              <w:t xml:space="preserve">Review: Mathieu Beauchesne (EVP)</w:t>
            </w:r>
          </w:p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color w:val="D0DCF0"/>
                <w:sz w:val="18"/>
                <w:szCs w:val="18"/>
              </w:rPr>
              <w:t xml:space="preserve">Presentation: Jon Eustace, CEO North America, EIG</w:t>
            </w:r>
          </w:p>
          <w:p>
            <w:pPr>
              <w:spacing w:after="80" w:before="80"/>
              <w:ind w:left="200" w:right="200"/>
            </w:pPr>
            <w:r>
              <w:rPr>
                <w:rFonts w:ascii="Arial" w:cs="Arial" w:eastAsia="Arial" w:hAnsi="Arial"/>
                <w:color w:val="D0DCF0"/>
                <w:sz w:val="18"/>
                <w:szCs w:val="18"/>
              </w:rPr>
              <w:t xml:space="preserve">Distribution: Eurazeo / EIG representatives only — Strictly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8A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8A0"/>
        <w:sz w:val="18"/>
        <w:szCs w:val="18"/>
      </w:rPr>
      <w:t xml:space="preserve"> of </w:t>
    </w:r>
    <w:r>
      <w:rPr>
        <w:rFonts w:ascii="Arial" w:cs="Arial" w:eastAsia="Arial" w:hAnsi="Arial"/>
        <w:color w:val="6678A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78A0"/>
        <w:sz w:val="18"/>
        <w:szCs w:val="18"/>
      </w:rPr>
      <w:t xml:space="preserve">  ·  Ekoscan Integrity Group  ·  Confidential  ·  For Eurazeo / EIG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EEF" w:sz="4"/>
      </w:pBdr>
      <w:spacing w:after="60" w:before="0"/>
    </w:pPr>
    <w:r>
      <w:rPr>
        <w:rFonts w:ascii="Arial" w:cs="Arial" w:eastAsia="Arial" w:hAnsi="Arial"/>
        <w:b/>
        <w:bCs/>
        <w:color w:val="0A1F5C"/>
        <w:sz w:val="20"/>
        <w:szCs w:val="20"/>
      </w:rPr>
      <w:t xml:space="preserve">Eurazeo / EIG Quarterly Update — Template</w:t>
    </w:r>
    <w:r>
      <w:rPr>
        <w:rFonts w:ascii="Arial" w:cs="Arial" w:eastAsia="Arial" w:hAnsi="Arial"/>
        <w:color w:val="6678A0"/>
        <w:sz w:val="20"/>
        <w:szCs w:val="20"/>
      </w:rPr>
      <w:t xml:space="preserve">  ·  BU Services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</w:pPr>
    <w:rPr>
      <w:rFonts w:ascii="Arial" w:cs="Arial" w:eastAsia="Arial" w:hAnsi="Arial"/>
      <w:b/>
      <w:bCs/>
      <w:color w:val="0A1F5C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Arial" w:cs="Arial" w:eastAsia="Arial" w:hAnsi="Arial"/>
      <w:b/>
      <w:bCs/>
      <w:color w:val="0A2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2026-04-19T22:16:32.641Z</dcterms:created>
  <dcterms:modified xsi:type="dcterms:W3CDTF">2026-04-19T22:16:32.641Z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