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F5C" w:val="clear"/>
          </w:tcPr>
          <w:p>
            <w:pPr>
              <w:spacing w:after="80" w:before="80"/>
              <w:ind w:left="200" w:right="200"/>
            </w:pPr>
            <w:r>
              <w:rPr>
                <w:rFonts w:ascii="Arial" w:cs="Arial" w:eastAsia="Arial" w:hAnsi="Arial"/>
                <w:b/>
                <w:bCs/>
                <w:color w:val="FFFFFF"/>
                <w:sz w:val="24"/>
                <w:szCs w:val="24"/>
              </w:rPr>
              <w:t xml:space="preserve">EKOSCAN INTEGRITY GROUP — BU SERVICES</w:t>
            </w:r>
          </w:p>
        </w:tc>
      </w:tr>
    </w:tbl>
    <w:p>
      <w:pPr>
        <w:spacing w:after="60" w:before="60"/>
      </w:pPr>
      <w:r>
        <w:rPr>
          <w:sz w:val="8"/>
          <w:szCs w:val="8"/>
        </w:rPr>
        <w:t xml:space="preserve"/>
      </w:r>
    </w:p>
    <w:p>
      <w:pPr>
        <w:spacing w:after="60" w:before="60"/>
      </w:pPr>
      <w:r>
        <w:rPr>
          <w:rFonts w:ascii="Arial" w:cs="Arial" w:eastAsia="Arial" w:hAnsi="Arial"/>
          <w:b/>
          <w:bCs/>
          <w:color w:val="0A1F5C"/>
          <w:sz w:val="36"/>
          <w:szCs w:val="36"/>
        </w:rPr>
        <w:t xml:space="preserve">Francis Boudreault-Leclerc</w:t>
      </w:r>
    </w:p>
    <w:p>
      <w:pPr>
        <w:spacing w:after="60" w:before="60"/>
      </w:pPr>
      <w:r>
        <w:rPr>
          <w:rFonts w:ascii="Arial" w:cs="Arial" w:eastAsia="Arial" w:hAnsi="Arial"/>
          <w:b/>
          <w:bCs/>
          <w:color w:val="6D28D9"/>
          <w:sz w:val="26"/>
          <w:szCs w:val="26"/>
        </w:rPr>
        <w:t xml:space="preserve">Engineering &amp; Technical Manager</w:t>
      </w:r>
    </w:p>
    <w:p>
      <w:pPr>
        <w:spacing w:after="60" w:before="60"/>
      </w:pPr>
      <w:r>
        <w:rPr>
          <w:rFonts w:ascii="Arial" w:cs="Arial" w:eastAsia="Arial" w:hAnsi="Arial"/>
          <w:i/>
          <w:iCs/>
          <w:color w:val="6678A0"/>
          <w:sz w:val="20"/>
          <w:szCs w:val="20"/>
        </w:rPr>
        <w:t xml:space="preserve">Nucleom Inc.  ·  Reports to Mathieu Beauchesne (EVP)</w:t>
      </w:r>
    </w:p>
    <w:p>
      <w:pPr>
        <w:spacing w:after="60" w:before="60"/>
      </w:pPr>
      <w:r>
        <w:rPr>
          <w:sz w:val="8"/>
          <w:szCs w:val="8"/>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F5C" w:val="clear"/>
          </w:tcPr>
          <w:p>
            <w:pPr>
              <w:spacing w:after="80" w:before="80"/>
              <w:ind w:left="200" w:right="200"/>
            </w:pPr>
            <w:r>
              <w:rPr>
                <w:rFonts w:ascii="Arial" w:cs="Arial" w:eastAsia="Arial" w:hAnsi="Arial"/>
                <w:b/>
                <w:bCs/>
                <w:color w:val="00AEEF"/>
                <w:sz w:val="18"/>
                <w:szCs w:val="18"/>
              </w:rPr>
              <w:t xml:space="preserve">ROLE IN ONE SENTENCE</w:t>
            </w:r>
          </w:p>
          <w:p>
            <w:pPr>
              <w:spacing w:after="80" w:before="80"/>
              <w:ind w:left="200" w:right="200"/>
            </w:pPr>
            <w:r>
              <w:rPr>
                <w:rFonts w:ascii="Arial" w:cs="Arial" w:eastAsia="Arial" w:hAnsi="Arial"/>
                <w:color w:val="D0DCF0"/>
                <w:sz w:val="20"/>
                <w:szCs w:val="20"/>
              </w:rPr>
              <w:t xml:space="preserve">Francis is the technical authority for BU Services initiative engineering work — the person who ensures Pipeline DA, Powerline, Nuclear, and 3X procedures are rigorous, compliant, and executable by the ops team in the field.</w:t>
            </w:r>
          </w:p>
        </w:tc>
      </w:tr>
    </w:tbl>
    <w:p>
      <w:pPr>
        <w:spacing w:after="60" w:before="60"/>
      </w:pPr>
      <w:r>
        <w:rPr>
          <w:sz w:val="8"/>
          <w:szCs w:val="8"/>
        </w:rPr>
        <w:t xml:space="preserve"/>
      </w:r>
    </w:p>
    <w:p>
      <w:pPr>
        <w:pStyle w:val="Heading1"/>
        <w:pBdr>
          <w:bottom w:val="single" w:color="00AEEF" w:sz="4"/>
        </w:pBdr>
        <w:spacing w:after="100" w:before="280"/>
      </w:pPr>
      <w:r>
        <w:rPr>
          <w:rFonts w:ascii="Arial" w:cs="Arial" w:eastAsia="Arial" w:hAnsi="Arial"/>
          <w:b/>
          <w:bCs/>
          <w:color w:val="0A1F5C"/>
          <w:sz w:val="28"/>
          <w:szCs w:val="28"/>
        </w:rPr>
        <w:t xml:space="preserve">1.  Role Identity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80"/>
        <w:gridCol w:w="6480"/>
      </w:tblGrid>
      <w:tr>
        <w:tc>
          <w:tcPr>
            <w:tcW w:type="dxa" w:w="2880"/>
            <w:tcBorders>
              <w:top w:val="none" w:color="FFFFFF" w:sz="0"/>
              <w:left w:val="none" w:color="FFFFFF" w:sz="0"/>
              <w:bottom w:val="none" w:color="FFFFFF" w:sz="0"/>
              <w:right w:val="none" w:color="FFFFFF" w:sz="0"/>
            </w:tcBorders>
            <w:shd w:fill="F4F8FC" w:val="clear"/>
          </w:tcPr>
          <w:p>
            <w:pPr>
              <w:spacing w:after="60" w:before="60"/>
            </w:pPr>
            <w:r>
              <w:rPr>
                <w:rFonts w:ascii="Arial" w:cs="Arial" w:eastAsia="Arial" w:hAnsi="Arial"/>
                <w:b/>
                <w:bCs/>
                <w:color w:val="000000"/>
                <w:sz w:val="20"/>
                <w:szCs w:val="20"/>
              </w:rPr>
              <w:t xml:space="preserve">Title</w:t>
            </w:r>
          </w:p>
        </w:tc>
        <w:tc>
          <w:tcPr>
            <w:tcW w:type="dxa" w:w="6480"/>
            <w:tcBorders>
              <w:top w:val="none" w:color="FFFFFF" w:sz="0"/>
              <w:left w:val="none" w:color="FFFFFF" w:sz="0"/>
              <w:bottom w:val="none" w:color="FFFFFF" w:sz="0"/>
              <w:right w:val="none" w:color="FFFFFF" w:sz="0"/>
            </w:tcBorders>
            <w:shd w:fill="F4F8FC" w:val="clear"/>
          </w:tcPr>
          <w:p>
            <w:pPr>
              <w:spacing w:after="60" w:before="60"/>
            </w:pPr>
            <w:r>
              <w:rPr>
                <w:rFonts w:ascii="Arial" w:cs="Arial" w:eastAsia="Arial" w:hAnsi="Arial"/>
                <w:color w:val="000000"/>
                <w:sz w:val="20"/>
                <w:szCs w:val="20"/>
              </w:rPr>
              <w:t xml:space="preserve">Engineering &amp; Technical Manager</w:t>
            </w:r>
          </w:p>
        </w:tc>
      </w:tr>
      <w:tr>
        <w:tc>
          <w:tcPr>
            <w:tcW w:type="dxa" w:w="2880"/>
            <w:tcBorders>
              <w:top w:val="none" w:color="FFFFFF" w:sz="0"/>
              <w:left w:val="none" w:color="FFFFFF" w:sz="0"/>
              <w:bottom w:val="none" w:color="FFFFFF" w:sz="0"/>
              <w:right w:val="none" w:color="FFFFFF" w:sz="0"/>
            </w:tcBorders>
            <w:shd w:fill="FFFFFF" w:val="clear"/>
          </w:tcPr>
          <w:p>
            <w:pPr>
              <w:spacing w:after="60" w:before="60"/>
            </w:pPr>
            <w:r>
              <w:rPr>
                <w:rFonts w:ascii="Arial" w:cs="Arial" w:eastAsia="Arial" w:hAnsi="Arial"/>
                <w:b/>
                <w:bCs/>
                <w:color w:val="000000"/>
                <w:sz w:val="20"/>
                <w:szCs w:val="20"/>
              </w:rPr>
              <w:t xml:space="preserve">Employer</w:t>
            </w:r>
          </w:p>
        </w:tc>
        <w:tc>
          <w:tcPr>
            <w:tcW w:type="dxa" w:w="6480"/>
            <w:tcBorders>
              <w:top w:val="none" w:color="FFFFFF" w:sz="0"/>
              <w:left w:val="none" w:color="FFFFFF" w:sz="0"/>
              <w:bottom w:val="none" w:color="FFFFFF" w:sz="0"/>
              <w:right w:val="none" w:color="FFFFFF" w:sz="0"/>
            </w:tcBorders>
            <w:shd w:fill="FFFFFF" w:val="clear"/>
          </w:tcPr>
          <w:p>
            <w:pPr>
              <w:spacing w:after="60" w:before="60"/>
            </w:pPr>
            <w:r>
              <w:rPr>
                <w:rFonts w:ascii="Arial" w:cs="Arial" w:eastAsia="Arial" w:hAnsi="Arial"/>
                <w:color w:val="000000"/>
                <w:sz w:val="20"/>
                <w:szCs w:val="20"/>
              </w:rPr>
              <w:t xml:space="preserve">Nucleom Inc.</w:t>
            </w:r>
          </w:p>
        </w:tc>
      </w:tr>
      <w:tr>
        <w:tc>
          <w:tcPr>
            <w:tcW w:type="dxa" w:w="2880"/>
            <w:tcBorders>
              <w:top w:val="none" w:color="FFFFFF" w:sz="0"/>
              <w:left w:val="none" w:color="FFFFFF" w:sz="0"/>
              <w:bottom w:val="none" w:color="FFFFFF" w:sz="0"/>
              <w:right w:val="none" w:color="FFFFFF" w:sz="0"/>
            </w:tcBorders>
            <w:shd w:fill="F4F8FC" w:val="clear"/>
          </w:tcPr>
          <w:p>
            <w:pPr>
              <w:spacing w:after="60" w:before="60"/>
            </w:pPr>
            <w:r>
              <w:rPr>
                <w:rFonts w:ascii="Arial" w:cs="Arial" w:eastAsia="Arial" w:hAnsi="Arial"/>
                <w:b/>
                <w:bCs/>
                <w:color w:val="000000"/>
                <w:sz w:val="20"/>
                <w:szCs w:val="20"/>
              </w:rPr>
              <w:t xml:space="preserve">Reports to</w:t>
            </w:r>
          </w:p>
        </w:tc>
        <w:tc>
          <w:tcPr>
            <w:tcW w:type="dxa" w:w="6480"/>
            <w:tcBorders>
              <w:top w:val="none" w:color="FFFFFF" w:sz="0"/>
              <w:left w:val="none" w:color="FFFFFF" w:sz="0"/>
              <w:bottom w:val="none" w:color="FFFFFF" w:sz="0"/>
              <w:right w:val="none" w:color="FFFFFF" w:sz="0"/>
            </w:tcBorders>
            <w:shd w:fill="F4F8FC" w:val="clear"/>
          </w:tcPr>
          <w:p>
            <w:pPr>
              <w:spacing w:after="60" w:before="60"/>
            </w:pPr>
            <w:r>
              <w:rPr>
                <w:rFonts w:ascii="Arial" w:cs="Arial" w:eastAsia="Arial" w:hAnsi="Arial"/>
                <w:color w:val="000000"/>
                <w:sz w:val="20"/>
                <w:szCs w:val="20"/>
              </w:rPr>
              <w:t xml:space="preserve">Mathieu Beauchesne (EVP)</w:t>
            </w:r>
          </w:p>
        </w:tc>
      </w:tr>
      <w:tr>
        <w:tc>
          <w:tcPr>
            <w:tcW w:type="dxa" w:w="2880"/>
            <w:tcBorders>
              <w:top w:val="none" w:color="FFFFFF" w:sz="0"/>
              <w:left w:val="none" w:color="FFFFFF" w:sz="0"/>
              <w:bottom w:val="none" w:color="FFFFFF" w:sz="0"/>
              <w:right w:val="none" w:color="FFFFFF" w:sz="0"/>
            </w:tcBorders>
            <w:shd w:fill="FFFFFF" w:val="clear"/>
          </w:tcPr>
          <w:p>
            <w:pPr>
              <w:spacing w:after="60" w:before="60"/>
            </w:pPr>
            <w:r>
              <w:rPr>
                <w:rFonts w:ascii="Arial" w:cs="Arial" w:eastAsia="Arial" w:hAnsi="Arial"/>
                <w:b/>
                <w:bCs/>
                <w:color w:val="000000"/>
                <w:sz w:val="20"/>
                <w:szCs w:val="20"/>
              </w:rPr>
              <w:t xml:space="preserve">Peers</w:t>
            </w:r>
          </w:p>
        </w:tc>
        <w:tc>
          <w:tcPr>
            <w:tcW w:type="dxa" w:w="6480"/>
            <w:tcBorders>
              <w:top w:val="none" w:color="FFFFFF" w:sz="0"/>
              <w:left w:val="none" w:color="FFFFFF" w:sz="0"/>
              <w:bottom w:val="none" w:color="FFFFFF" w:sz="0"/>
              <w:right w:val="none" w:color="FFFFFF" w:sz="0"/>
            </w:tcBorders>
            <w:shd w:fill="FFFFFF" w:val="clear"/>
          </w:tcPr>
          <w:p>
            <w:pPr>
              <w:spacing w:after="60" w:before="60"/>
            </w:pPr>
            <w:r>
              <w:rPr>
                <w:rFonts w:ascii="Arial" w:cs="Arial" w:eastAsia="Arial" w:hAnsi="Arial"/>
                <w:color w:val="000000"/>
                <w:sz w:val="20"/>
                <w:szCs w:val="20"/>
              </w:rPr>
              <w:t xml:space="preserve">Alex Cyr (Sr. Operations Director)</w:t>
            </w:r>
          </w:p>
        </w:tc>
      </w:tr>
      <w:tr>
        <w:tc>
          <w:tcPr>
            <w:tcW w:type="dxa" w:w="2880"/>
            <w:tcBorders>
              <w:top w:val="none" w:color="FFFFFF" w:sz="0"/>
              <w:left w:val="none" w:color="FFFFFF" w:sz="0"/>
              <w:bottom w:val="none" w:color="FFFFFF" w:sz="0"/>
              <w:right w:val="none" w:color="FFFFFF" w:sz="0"/>
            </w:tcBorders>
            <w:shd w:fill="F4F8FC" w:val="clear"/>
          </w:tcPr>
          <w:p>
            <w:pPr>
              <w:spacing w:after="60" w:before="60"/>
            </w:pPr>
            <w:r>
              <w:rPr>
                <w:rFonts w:ascii="Arial" w:cs="Arial" w:eastAsia="Arial" w:hAnsi="Arial"/>
                <w:b/>
                <w:bCs/>
                <w:color w:val="000000"/>
                <w:sz w:val="20"/>
                <w:szCs w:val="20"/>
              </w:rPr>
              <w:t xml:space="preserve">Team</w:t>
            </w:r>
          </w:p>
        </w:tc>
        <w:tc>
          <w:tcPr>
            <w:tcW w:type="dxa" w:w="6480"/>
            <w:tcBorders>
              <w:top w:val="none" w:color="FFFFFF" w:sz="0"/>
              <w:left w:val="none" w:color="FFFFFF" w:sz="0"/>
              <w:bottom w:val="none" w:color="FFFFFF" w:sz="0"/>
              <w:right w:val="none" w:color="FFFFFF" w:sz="0"/>
            </w:tcBorders>
            <w:shd w:fill="F4F8FC" w:val="clear"/>
          </w:tcPr>
          <w:p>
            <w:pPr>
              <w:spacing w:after="60" w:before="60"/>
            </w:pPr>
            <w:r>
              <w:rPr>
                <w:rFonts w:ascii="Arial" w:cs="Arial" w:eastAsia="Arial" w:hAnsi="Arial"/>
                <w:color w:val="000000"/>
                <w:sz w:val="20"/>
                <w:szCs w:val="20"/>
              </w:rPr>
              <w:t xml:space="preserve">Engineering &amp; Technical group — includes Sevan Bouchy and technical resources across initiatives</w:t>
            </w:r>
          </w:p>
        </w:tc>
      </w:tr>
      <w:tr>
        <w:tc>
          <w:tcPr>
            <w:tcW w:type="dxa" w:w="2880"/>
            <w:tcBorders>
              <w:top w:val="none" w:color="FFFFFF" w:sz="0"/>
              <w:left w:val="none" w:color="FFFFFF" w:sz="0"/>
              <w:bottom w:val="none" w:color="FFFFFF" w:sz="0"/>
              <w:right w:val="none" w:color="FFFFFF" w:sz="0"/>
            </w:tcBorders>
            <w:shd w:fill="FFFFFF" w:val="clear"/>
          </w:tcPr>
          <w:p>
            <w:pPr>
              <w:spacing w:after="60" w:before="60"/>
            </w:pPr>
            <w:r>
              <w:rPr>
                <w:rFonts w:ascii="Arial" w:cs="Arial" w:eastAsia="Arial" w:hAnsi="Arial"/>
                <w:b/>
                <w:bCs/>
                <w:color w:val="000000"/>
                <w:sz w:val="20"/>
                <w:szCs w:val="20"/>
              </w:rPr>
              <w:t xml:space="preserve">EIG Level</w:t>
            </w:r>
          </w:p>
        </w:tc>
        <w:tc>
          <w:tcPr>
            <w:tcW w:type="dxa" w:w="6480"/>
            <w:tcBorders>
              <w:top w:val="none" w:color="FFFFFF" w:sz="0"/>
              <w:left w:val="none" w:color="FFFFFF" w:sz="0"/>
              <w:bottom w:val="none" w:color="FFFFFF" w:sz="0"/>
              <w:right w:val="none" w:color="FFFFFF" w:sz="0"/>
            </w:tcBorders>
            <w:shd w:fill="FFFFFF" w:val="clear"/>
          </w:tcPr>
          <w:p>
            <w:pPr>
              <w:spacing w:after="60" w:before="60"/>
            </w:pPr>
            <w:r>
              <w:rPr>
                <w:rFonts w:ascii="Arial" w:cs="Arial" w:eastAsia="Arial" w:hAnsi="Arial"/>
                <w:color w:val="000000"/>
                <w:sz w:val="20"/>
                <w:szCs w:val="20"/>
              </w:rPr>
              <w:t xml:space="preserve">Ops/Technical function — same level as Sr. Operations Director</w:t>
            </w:r>
          </w:p>
        </w:tc>
      </w:tr>
    </w:tbl>
    <w:p>
      <w:pPr>
        <w:pStyle w:val="Heading1"/>
        <w:pBdr>
          <w:bottom w:val="single" w:color="00AEEF" w:sz="4"/>
        </w:pBdr>
        <w:spacing w:after="100" w:before="280"/>
      </w:pPr>
      <w:r>
        <w:rPr>
          <w:rFonts w:ascii="Arial" w:cs="Arial" w:eastAsia="Arial" w:hAnsi="Arial"/>
          <w:b/>
          <w:bCs/>
          <w:color w:val="0A1F5C"/>
          <w:sz w:val="28"/>
          <w:szCs w:val="28"/>
        </w:rPr>
        <w:t xml:space="preserve">2.  What This Role Does</w:t>
      </w:r>
    </w:p>
    <w:p>
      <w:pPr>
        <w:spacing w:after="60" w:before="60"/>
      </w:pPr>
      <w:r>
        <w:rPr>
          <w:rFonts w:ascii="Arial" w:cs="Arial" w:eastAsia="Arial" w:hAnsi="Arial"/>
          <w:color w:val="000000"/>
          <w:sz w:val="22"/>
          <w:szCs w:val="22"/>
        </w:rPr>
        <w:t xml:space="preserve">Francis leads the engineering and technical function that underpins BU Services initiative delivery. While the commercial team owns client relationships and the ops directors deliver field work, Francis and his team own the technical framework that makes that delivery possible — the procedures, the qualification requirements, the engineering basis, and the technical risk assessment for each initiative.</w:t>
      </w:r>
    </w:p>
    <w:p>
      <w:pPr>
        <w:spacing w:after="60" w:before="60"/>
      </w:pPr>
      <w:r>
        <w:rPr>
          <w:rFonts w:ascii="Arial" w:cs="Arial" w:eastAsia="Arial" w:hAnsi="Arial"/>
          <w:color w:val="000000"/>
          <w:sz w:val="22"/>
          <w:szCs w:val="22"/>
        </w:rPr>
        <w:t xml:space="preserve">This is not a field role. Francis engages upstream — defining and validating the technical approach before crews are deployed and before proposals go to clients.</w:t>
      </w:r>
    </w:p>
    <w:p>
      <w:pPr>
        <w:pStyle w:val="Heading2"/>
        <w:spacing w:after="70" w:before="180"/>
      </w:pPr>
      <w:r>
        <w:rPr>
          <w:rFonts w:ascii="Arial" w:cs="Arial" w:eastAsia="Arial" w:hAnsi="Arial"/>
          <w:b/>
          <w:bCs/>
          <w:color w:val="6D28D9"/>
          <w:sz w:val="24"/>
          <w:szCs w:val="24"/>
        </w:rPr>
        <w:t xml:space="preserve">2.1  Initiative Technical Leadership</w:t>
      </w:r>
    </w:p>
    <w:p>
      <w:pPr>
        <w:spacing w:after="60" w:before="60"/>
      </w:pPr>
      <w:r>
        <w:rPr>
          <w:rFonts w:ascii="Arial" w:cs="Arial" w:eastAsia="Arial" w:hAnsi="Arial"/>
          <w:b/>
          <w:bCs/>
          <w:color w:val="000000"/>
          <w:sz w:val="22"/>
          <w:szCs w:val="22"/>
        </w:rPr>
        <w:t xml:space="preserve">Pipeline DA — Technical Lead</w:t>
      </w:r>
    </w:p>
    <w:p>
      <w:pPr>
        <w:pStyle w:val="ListParagraph"/>
        <w:numPr>
          <w:ilvl w:val="0"/>
          <w:numId w:val="2"/>
        </w:numPr>
        <w:spacing w:after="40" w:before="40"/>
      </w:pPr>
      <w:r>
        <w:rPr>
          <w:rFonts w:ascii="Arial" w:cs="Arial" w:eastAsia="Arial" w:hAnsi="Arial"/>
          <w:color w:val="000000"/>
          <w:sz w:val="20"/>
          <w:szCs w:val="20"/>
        </w:rPr>
        <w:t xml:space="preserve">Francis's team provides the engineering and technical oversight for the Pipeline DA initiative — FFS (Fitness for Service) assessments, DA procedures, ECDA/ICDA/SCCDA methodology, and ILI verification protocols.</w:t>
      </w:r>
    </w:p>
    <w:p>
      <w:pPr>
        <w:pStyle w:val="ListParagraph"/>
        <w:numPr>
          <w:ilvl w:val="0"/>
          <w:numId w:val="2"/>
        </w:numPr>
        <w:spacing w:after="40" w:before="40"/>
      </w:pPr>
      <w:r>
        <w:rPr>
          <w:rFonts w:ascii="Arial" w:cs="Arial" w:eastAsia="Arial" w:hAnsi="Arial"/>
          <w:color w:val="000000"/>
          <w:sz w:val="20"/>
          <w:szCs w:val="20"/>
        </w:rPr>
        <w:t xml:space="preserve">Rick Carlton leads commercially and operationally. Francis ensures the technical work product meets regulatory standards (CSA Z662, CER) and client QMS requirements.</w:t>
      </w:r>
    </w:p>
    <w:p>
      <w:pPr>
        <w:pStyle w:val="ListParagraph"/>
        <w:numPr>
          <w:ilvl w:val="0"/>
          <w:numId w:val="2"/>
        </w:numPr>
        <w:spacing w:after="40" w:before="40"/>
      </w:pPr>
      <w:r>
        <w:rPr>
          <w:rFonts w:ascii="Arial" w:cs="Arial" w:eastAsia="Arial" w:hAnsi="Arial"/>
          <w:color w:val="000000"/>
          <w:sz w:val="20"/>
          <w:szCs w:val="20"/>
        </w:rPr>
        <w:t xml:space="preserve">Key deliverable: validated FFS and DA procedure set that supports MSA qualification at Pembina, Tidewater, and future operators.</w:t>
      </w:r>
    </w:p>
    <w:p>
      <w:pPr>
        <w:spacing w:after="60" w:before="60"/>
      </w:pPr>
      <w:r>
        <w:rPr>
          <w:rFonts w:ascii="Arial" w:cs="Arial" w:eastAsia="Arial" w:hAnsi="Arial"/>
          <w:b/>
          <w:bCs/>
          <w:color w:val="000000"/>
          <w:sz w:val="22"/>
          <w:szCs w:val="22"/>
        </w:rPr>
        <w:t xml:space="preserve">Powerline — Technical Lead</w:t>
      </w:r>
    </w:p>
    <w:p>
      <w:pPr>
        <w:pStyle w:val="ListParagraph"/>
        <w:numPr>
          <w:ilvl w:val="0"/>
          <w:numId w:val="2"/>
        </w:numPr>
        <w:spacing w:after="40" w:before="40"/>
      </w:pPr>
      <w:r>
        <w:rPr>
          <w:rFonts w:ascii="Arial" w:cs="Arial" w:eastAsia="Arial" w:hAnsi="Arial"/>
          <w:color w:val="000000"/>
          <w:sz w:val="20"/>
          <w:szCs w:val="20"/>
        </w:rPr>
        <w:t xml:space="preserve">Francis's team provides the technical framework for LineCore, LineOhm, and LineRay inspection services — inspection methodology, defect characterisation procedures, reporting standards, and acceptance criteria.</w:t>
      </w:r>
    </w:p>
    <w:p>
      <w:pPr>
        <w:pStyle w:val="ListParagraph"/>
        <w:numPr>
          <w:ilvl w:val="0"/>
          <w:numId w:val="2"/>
        </w:numPr>
        <w:spacing w:after="40" w:before="40"/>
      </w:pPr>
      <w:r>
        <w:rPr>
          <w:rFonts w:ascii="Arial" w:cs="Arial" w:eastAsia="Arial" w:hAnsi="Arial"/>
          <w:color w:val="000000"/>
          <w:sz w:val="20"/>
          <w:szCs w:val="20"/>
        </w:rPr>
        <w:t xml:space="preserve">Mathieu Beauchesne leads commercially. Vinoth Tharma leads commercially on the East. Francis ensures the technical deliverables meet utility client expectations and regulatory requirements.</w:t>
      </w:r>
    </w:p>
    <w:p>
      <w:pPr>
        <w:pStyle w:val="ListParagraph"/>
        <w:numPr>
          <w:ilvl w:val="0"/>
          <w:numId w:val="2"/>
        </w:numPr>
        <w:spacing w:after="40" w:before="40"/>
      </w:pPr>
      <w:r>
        <w:rPr>
          <w:rFonts w:ascii="Arial" w:cs="Arial" w:eastAsia="Arial" w:hAnsi="Arial"/>
          <w:color w:val="000000"/>
          <w:sz w:val="20"/>
          <w:szCs w:val="20"/>
        </w:rPr>
        <w:t xml:space="preserve">Key deliverable: complete technical procedure set for all three tools enabling utility client qualification and pilot deployment.</w:t>
      </w:r>
    </w:p>
    <w:p>
      <w:pPr>
        <w:spacing w:after="60" w:before="60"/>
      </w:pPr>
      <w:r>
        <w:rPr>
          <w:rFonts w:ascii="Arial" w:cs="Arial" w:eastAsia="Arial" w:hAnsi="Arial"/>
          <w:b/>
          <w:bCs/>
          <w:color w:val="000000"/>
          <w:sz w:val="22"/>
          <w:szCs w:val="22"/>
        </w:rPr>
        <w:t xml:space="preserve">Nuclear / OPG — Technical Support</w:t>
      </w:r>
    </w:p>
    <w:p>
      <w:pPr>
        <w:pStyle w:val="ListParagraph"/>
        <w:numPr>
          <w:ilvl w:val="0"/>
          <w:numId w:val="2"/>
        </w:numPr>
        <w:spacing w:after="40" w:before="40"/>
      </w:pPr>
      <w:r>
        <w:rPr>
          <w:rFonts w:ascii="Arial" w:cs="Arial" w:eastAsia="Arial" w:hAnsi="Arial"/>
          <w:color w:val="000000"/>
          <w:sz w:val="20"/>
          <w:szCs w:val="20"/>
        </w:rPr>
        <w:t xml:space="preserve">Francis supports Jean-François Martel on the OPG MSA tender — specifically the technical qualification sections, CGSB certification gap analysis, and procedure documentation.</w:t>
      </w:r>
    </w:p>
    <w:p>
      <w:pPr>
        <w:pStyle w:val="ListParagraph"/>
        <w:numPr>
          <w:ilvl w:val="0"/>
          <w:numId w:val="2"/>
        </w:numPr>
        <w:spacing w:after="40" w:before="40"/>
      </w:pPr>
      <w:r>
        <w:rPr>
          <w:rFonts w:ascii="Arial" w:cs="Arial" w:eastAsia="Arial" w:hAnsi="Arial"/>
          <w:color w:val="000000"/>
          <w:sz w:val="20"/>
          <w:szCs w:val="20"/>
        </w:rPr>
        <w:t xml:space="preserve">Louis-Pier Théberge leads the operational programme. Francis provides the engineering basis for new procedures and qualification evidence required by OPG.</w:t>
      </w:r>
    </w:p>
    <w:p>
      <w:pPr>
        <w:spacing w:after="60" w:before="60"/>
      </w:pPr>
      <w:r>
        <w:rPr>
          <w:rFonts w:ascii="Arial" w:cs="Arial" w:eastAsia="Arial" w:hAnsi="Arial"/>
          <w:b/>
          <w:bCs/>
          <w:color w:val="000000"/>
          <w:sz w:val="22"/>
          <w:szCs w:val="22"/>
        </w:rPr>
        <w:t xml:space="preserve">3X Composite Repair — Technical Support</w:t>
      </w:r>
    </w:p>
    <w:p>
      <w:pPr>
        <w:pStyle w:val="ListParagraph"/>
        <w:numPr>
          <w:ilvl w:val="0"/>
          <w:numId w:val="2"/>
        </w:numPr>
        <w:spacing w:after="40" w:before="40"/>
      </w:pPr>
      <w:r>
        <w:rPr>
          <w:rFonts w:ascii="Arial" w:cs="Arial" w:eastAsia="Arial" w:hAnsi="Arial"/>
          <w:color w:val="000000"/>
          <w:sz w:val="20"/>
          <w:szCs w:val="20"/>
        </w:rPr>
        <w:t xml:space="preserve">Francis provides engineering procedures for repair qualification and supports Keith Reichenbach on the ABSA re-submission for pressure repair certification.</w:t>
      </w:r>
    </w:p>
    <w:p>
      <w:pPr>
        <w:pStyle w:val="ListParagraph"/>
        <w:numPr>
          <w:ilvl w:val="0"/>
          <w:numId w:val="2"/>
        </w:numPr>
        <w:spacing w:after="40" w:before="40"/>
      </w:pPr>
      <w:r>
        <w:rPr>
          <w:rFonts w:ascii="Arial" w:cs="Arial" w:eastAsia="Arial" w:hAnsi="Arial"/>
          <w:color w:val="000000"/>
          <w:sz w:val="20"/>
          <w:szCs w:val="20"/>
        </w:rPr>
        <w:t xml:space="preserve">Jean-François Martel leads ABSA-specific procedures. Francis provides overall technical oversight and repair engineering standards.</w:t>
      </w:r>
    </w:p>
    <w:p>
      <w:pPr>
        <w:spacing w:after="60" w:before="60"/>
      </w:pPr>
      <w:r>
        <w:rPr>
          <w:rFonts w:ascii="Arial" w:cs="Arial" w:eastAsia="Arial" w:hAnsi="Arial"/>
          <w:b/>
          <w:bCs/>
          <w:color w:val="000000"/>
          <w:sz w:val="22"/>
          <w:szCs w:val="22"/>
        </w:rPr>
        <w:t xml:space="preserve">Mining NDT — Technical Lead</w:t>
      </w:r>
    </w:p>
    <w:p>
      <w:pPr>
        <w:pStyle w:val="ListParagraph"/>
        <w:numPr>
          <w:ilvl w:val="0"/>
          <w:numId w:val="2"/>
        </w:numPr>
        <w:spacing w:after="40" w:before="40"/>
      </w:pPr>
      <w:r>
        <w:rPr>
          <w:rFonts w:ascii="Arial" w:cs="Arial" w:eastAsia="Arial" w:hAnsi="Arial"/>
          <w:color w:val="000000"/>
          <w:sz w:val="20"/>
          <w:szCs w:val="20"/>
        </w:rPr>
        <w:t xml:space="preserve">Francis's Engineering &amp; Technical team provides the technical oversight for the Mining NDT initiative alongside Sevan Bouchy — covering ECA grinding mill gear inspection procedures, robotic UT shell survey methods, and PAUT corrosion mapping protocols.</w:t>
      </w:r>
    </w:p>
    <w:p>
      <w:pPr>
        <w:pStyle w:val="ListParagraph"/>
        <w:numPr>
          <w:ilvl w:val="0"/>
          <w:numId w:val="2"/>
        </w:numPr>
        <w:spacing w:after="40" w:before="40"/>
      </w:pPr>
      <w:r>
        <w:rPr>
          <w:rFonts w:ascii="Arial" w:cs="Arial" w:eastAsia="Arial" w:hAnsi="Arial"/>
          <w:color w:val="000000"/>
          <w:sz w:val="20"/>
          <w:szCs w:val="20"/>
        </w:rPr>
        <w:t xml:space="preserve">Vinoth Tharma (East) and Max Aggrey (West) are the commercial leads. Francis ensures the technical work product meets client and regulatory requirements.</w:t>
      </w:r>
    </w:p>
    <w:p>
      <w:pPr>
        <w:pStyle w:val="ListParagraph"/>
        <w:numPr>
          <w:ilvl w:val="0"/>
          <w:numId w:val="2"/>
        </w:numPr>
        <w:spacing w:after="40" w:before="40"/>
      </w:pPr>
      <w:r>
        <w:rPr>
          <w:rFonts w:ascii="Arial" w:cs="Arial" w:eastAsia="Arial" w:hAnsi="Arial"/>
          <w:color w:val="000000"/>
          <w:sz w:val="20"/>
          <w:szCs w:val="20"/>
        </w:rPr>
        <w:t xml:space="preserve">Key deliverable: validated technical procedure set for ECA, PAUT, and robotic UT methods supporting new account acquisition and existing account expansion.</w:t>
      </w:r>
    </w:p>
    <w:p>
      <w:pPr>
        <w:pStyle w:val="Heading2"/>
        <w:spacing w:after="70" w:before="180"/>
      </w:pPr>
      <w:r>
        <w:rPr>
          <w:rFonts w:ascii="Arial" w:cs="Arial" w:eastAsia="Arial" w:hAnsi="Arial"/>
          <w:b/>
          <w:bCs/>
          <w:color w:val="6D28D9"/>
          <w:sz w:val="24"/>
          <w:szCs w:val="24"/>
        </w:rPr>
        <w:t xml:space="preserve">2.2  Engineering &amp; Technical Function</w:t>
      </w:r>
    </w:p>
    <w:p>
      <w:pPr>
        <w:pStyle w:val="ListParagraph"/>
        <w:numPr>
          <w:ilvl w:val="0"/>
          <w:numId w:val="2"/>
        </w:numPr>
        <w:spacing w:after="40" w:before="40"/>
      </w:pPr>
      <w:r>
        <w:rPr>
          <w:rFonts w:ascii="Arial" w:cs="Arial" w:eastAsia="Arial" w:hAnsi="Arial"/>
          <w:color w:val="000000"/>
          <w:sz w:val="20"/>
          <w:szCs w:val="20"/>
        </w:rPr>
        <w:t xml:space="preserve">Procedure development and technical documentation for all active BU Services initiatives.</w:t>
      </w:r>
    </w:p>
    <w:p>
      <w:pPr>
        <w:pStyle w:val="ListParagraph"/>
        <w:numPr>
          <w:ilvl w:val="0"/>
          <w:numId w:val="2"/>
        </w:numPr>
        <w:spacing w:after="40" w:before="40"/>
      </w:pPr>
      <w:r>
        <w:rPr>
          <w:rFonts w:ascii="Arial" w:cs="Arial" w:eastAsia="Arial" w:hAnsi="Arial"/>
          <w:color w:val="000000"/>
          <w:sz w:val="20"/>
          <w:szCs w:val="20"/>
        </w:rPr>
        <w:t xml:space="preserve">Technical qualification support for new inspection methods, tools, and service offerings.</w:t>
      </w:r>
    </w:p>
    <w:p>
      <w:pPr>
        <w:pStyle w:val="ListParagraph"/>
        <w:numPr>
          <w:ilvl w:val="0"/>
          <w:numId w:val="2"/>
        </w:numPr>
        <w:spacing w:after="40" w:before="40"/>
      </w:pPr>
      <w:r>
        <w:rPr>
          <w:rFonts w:ascii="Arial" w:cs="Arial" w:eastAsia="Arial" w:hAnsi="Arial"/>
          <w:color w:val="000000"/>
          <w:sz w:val="20"/>
          <w:szCs w:val="20"/>
        </w:rPr>
        <w:t xml:space="preserve">Engineering review of client technical specifications and QMS requirements before proposal submission.</w:t>
      </w:r>
    </w:p>
    <w:p>
      <w:pPr>
        <w:pStyle w:val="ListParagraph"/>
        <w:numPr>
          <w:ilvl w:val="0"/>
          <w:numId w:val="2"/>
        </w:numPr>
        <w:spacing w:after="40" w:before="40"/>
      </w:pPr>
      <w:r>
        <w:rPr>
          <w:rFonts w:ascii="Arial" w:cs="Arial" w:eastAsia="Arial" w:hAnsi="Arial"/>
          <w:color w:val="000000"/>
          <w:sz w:val="20"/>
          <w:szCs w:val="20"/>
        </w:rPr>
        <w:t xml:space="preserve">Technical input to Gate Reviews — confirming the engineering basis is solid before commercial milestones are approved.</w:t>
      </w:r>
    </w:p>
    <w:p>
      <w:pPr>
        <w:pStyle w:val="ListParagraph"/>
        <w:numPr>
          <w:ilvl w:val="0"/>
          <w:numId w:val="2"/>
        </w:numPr>
        <w:spacing w:after="40" w:before="40"/>
      </w:pPr>
      <w:r>
        <w:rPr>
          <w:rFonts w:ascii="Arial" w:cs="Arial" w:eastAsia="Arial" w:hAnsi="Arial"/>
          <w:color w:val="000000"/>
          <w:sz w:val="20"/>
          <w:szCs w:val="20"/>
        </w:rPr>
        <w:t xml:space="preserve">Regulatory compliance and certification tracking — CGSB, ABSA, CER, CSA standards as applicable per initiative.</w:t>
      </w:r>
    </w:p>
    <w:p>
      <w:pPr>
        <w:pStyle w:val="Heading1"/>
        <w:pBdr>
          <w:bottom w:val="single" w:color="00AEEF" w:sz="4"/>
        </w:pBdr>
        <w:spacing w:after="100" w:before="280"/>
      </w:pPr>
      <w:r>
        <w:rPr>
          <w:rFonts w:ascii="Arial" w:cs="Arial" w:eastAsia="Arial" w:hAnsi="Arial"/>
          <w:b/>
          <w:bCs/>
          <w:color w:val="0A1F5C"/>
          <w:sz w:val="28"/>
          <w:szCs w:val="28"/>
        </w:rPr>
        <w:t xml:space="preserve">3.  Reporting Structure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80"/>
        <w:gridCol w:w="6480"/>
      </w:tblGrid>
      <w:tr>
        <w:tc>
          <w:tcPr>
            <w:tcW w:type="dxa" w:w="2880"/>
            <w:tcBorders>
              <w:top w:val="none" w:color="FFFFFF" w:sz="0"/>
              <w:left w:val="none" w:color="FFFFFF" w:sz="0"/>
              <w:bottom w:val="none" w:color="FFFFFF" w:sz="0"/>
              <w:right w:val="none" w:color="FFFFFF" w:sz="0"/>
            </w:tcBorders>
            <w:shd w:fill="F4F8FC" w:val="clear"/>
          </w:tcPr>
          <w:p>
            <w:pPr>
              <w:spacing w:after="60" w:before="60"/>
            </w:pPr>
            <w:r>
              <w:rPr>
                <w:rFonts w:ascii="Arial" w:cs="Arial" w:eastAsia="Arial" w:hAnsi="Arial"/>
                <w:b/>
                <w:bCs/>
                <w:color w:val="000000"/>
                <w:sz w:val="20"/>
                <w:szCs w:val="20"/>
              </w:rPr>
              <w:t xml:space="preserve">Reports to</w:t>
            </w:r>
          </w:p>
        </w:tc>
        <w:tc>
          <w:tcPr>
            <w:tcW w:type="dxa" w:w="6480"/>
            <w:tcBorders>
              <w:top w:val="none" w:color="FFFFFF" w:sz="0"/>
              <w:left w:val="none" w:color="FFFFFF" w:sz="0"/>
              <w:bottom w:val="none" w:color="FFFFFF" w:sz="0"/>
              <w:right w:val="none" w:color="FFFFFF" w:sz="0"/>
            </w:tcBorders>
            <w:shd w:fill="F4F8FC" w:val="clear"/>
          </w:tcPr>
          <w:p>
            <w:pPr>
              <w:spacing w:after="60" w:before="60"/>
            </w:pPr>
            <w:r>
              <w:rPr>
                <w:rFonts w:ascii="Arial" w:cs="Arial" w:eastAsia="Arial" w:hAnsi="Arial"/>
                <w:color w:val="000000"/>
                <w:sz w:val="20"/>
                <w:szCs w:val="20"/>
              </w:rPr>
              <w:t xml:space="preserve">Mathieu Beauchesne — EVP</w:t>
            </w:r>
          </w:p>
        </w:tc>
      </w:tr>
      <w:tr>
        <w:tc>
          <w:tcPr>
            <w:tcW w:type="dxa" w:w="2880"/>
            <w:tcBorders>
              <w:top w:val="none" w:color="FFFFFF" w:sz="0"/>
              <w:left w:val="none" w:color="FFFFFF" w:sz="0"/>
              <w:bottom w:val="none" w:color="FFFFFF" w:sz="0"/>
              <w:right w:val="none" w:color="FFFFFF" w:sz="0"/>
            </w:tcBorders>
            <w:shd w:fill="FFFFFF" w:val="clear"/>
          </w:tcPr>
          <w:p>
            <w:pPr>
              <w:spacing w:after="60" w:before="60"/>
            </w:pPr>
            <w:r>
              <w:rPr>
                <w:rFonts w:ascii="Arial" w:cs="Arial" w:eastAsia="Arial" w:hAnsi="Arial"/>
                <w:b/>
                <w:bCs/>
                <w:color w:val="000000"/>
                <w:sz w:val="20"/>
                <w:szCs w:val="20"/>
              </w:rPr>
              <w:t xml:space="preserve">Mathieu's other direct reports</w:t>
            </w:r>
          </w:p>
        </w:tc>
        <w:tc>
          <w:tcPr>
            <w:tcW w:type="dxa" w:w="6480"/>
            <w:tcBorders>
              <w:top w:val="none" w:color="FFFFFF" w:sz="0"/>
              <w:left w:val="none" w:color="FFFFFF" w:sz="0"/>
              <w:bottom w:val="none" w:color="FFFFFF" w:sz="0"/>
              <w:right w:val="none" w:color="FFFFFF" w:sz="0"/>
            </w:tcBorders>
            <w:shd w:fill="FFFFFF" w:val="clear"/>
          </w:tcPr>
          <w:p>
            <w:pPr>
              <w:spacing w:after="60" w:before="60"/>
            </w:pPr>
            <w:r>
              <w:rPr>
                <w:rFonts w:ascii="Arial" w:cs="Arial" w:eastAsia="Arial" w:hAnsi="Arial"/>
                <w:color w:val="000000"/>
                <w:sz w:val="20"/>
                <w:szCs w:val="20"/>
              </w:rPr>
              <w:t xml:space="preserve">Alex Cyr (Sr. Operations Director), Louis-Pier Théberge (Nuclear Sector)</w:t>
            </w:r>
          </w:p>
        </w:tc>
      </w:tr>
      <w:tr>
        <w:tc>
          <w:tcPr>
            <w:tcW w:type="dxa" w:w="2880"/>
            <w:tcBorders>
              <w:top w:val="none" w:color="FFFFFF" w:sz="0"/>
              <w:left w:val="none" w:color="FFFFFF" w:sz="0"/>
              <w:bottom w:val="none" w:color="FFFFFF" w:sz="0"/>
              <w:right w:val="none" w:color="FFFFFF" w:sz="0"/>
            </w:tcBorders>
            <w:shd w:fill="F4F8FC" w:val="clear"/>
          </w:tcPr>
          <w:p>
            <w:pPr>
              <w:spacing w:after="60" w:before="60"/>
            </w:pPr>
            <w:r>
              <w:rPr>
                <w:rFonts w:ascii="Arial" w:cs="Arial" w:eastAsia="Arial" w:hAnsi="Arial"/>
                <w:b/>
                <w:bCs/>
                <w:color w:val="000000"/>
                <w:sz w:val="20"/>
                <w:szCs w:val="20"/>
              </w:rPr>
              <w:t xml:space="preserve">Cross-functional</w:t>
            </w:r>
          </w:p>
        </w:tc>
        <w:tc>
          <w:tcPr>
            <w:tcW w:type="dxa" w:w="6480"/>
            <w:tcBorders>
              <w:top w:val="none" w:color="FFFFFF" w:sz="0"/>
              <w:left w:val="none" w:color="FFFFFF" w:sz="0"/>
              <w:bottom w:val="none" w:color="FFFFFF" w:sz="0"/>
              <w:right w:val="none" w:color="FFFFFF" w:sz="0"/>
            </w:tcBorders>
            <w:shd w:fill="F4F8FC" w:val="clear"/>
          </w:tcPr>
          <w:p>
            <w:pPr>
              <w:spacing w:after="60" w:before="60"/>
            </w:pPr>
            <w:r>
              <w:rPr>
                <w:rFonts w:ascii="Arial" w:cs="Arial" w:eastAsia="Arial" w:hAnsi="Arial"/>
                <w:color w:val="000000"/>
                <w:sz w:val="20"/>
                <w:szCs w:val="20"/>
              </w:rPr>
              <w:t xml:space="preserve">Works across all 5 initiatives as technical authority — commercial leads and ops directors engage Francis for technical input, not vice versa</w:t>
            </w:r>
          </w:p>
        </w:tc>
      </w:tr>
      <w:tr>
        <w:tc>
          <w:tcPr>
            <w:tcW w:type="dxa" w:w="2880"/>
            <w:tcBorders>
              <w:top w:val="none" w:color="FFFFFF" w:sz="0"/>
              <w:left w:val="none" w:color="FFFFFF" w:sz="0"/>
              <w:bottom w:val="none" w:color="FFFFFF" w:sz="0"/>
              <w:right w:val="none" w:color="FFFFFF" w:sz="0"/>
            </w:tcBorders>
            <w:shd w:fill="FFFFFF" w:val="clear"/>
          </w:tcPr>
          <w:p>
            <w:pPr>
              <w:spacing w:after="60" w:before="60"/>
            </w:pPr>
            <w:r>
              <w:rPr>
                <w:rFonts w:ascii="Arial" w:cs="Arial" w:eastAsia="Arial" w:hAnsi="Arial"/>
                <w:b/>
                <w:bCs/>
                <w:color w:val="000000"/>
                <w:sz w:val="20"/>
                <w:szCs w:val="20"/>
              </w:rPr>
              <w:t xml:space="preserve">Commercial team</w:t>
            </w:r>
          </w:p>
        </w:tc>
        <w:tc>
          <w:tcPr>
            <w:tcW w:type="dxa" w:w="6480"/>
            <w:tcBorders>
              <w:top w:val="none" w:color="FFFFFF" w:sz="0"/>
              <w:left w:val="none" w:color="FFFFFF" w:sz="0"/>
              <w:bottom w:val="none" w:color="FFFFFF" w:sz="0"/>
              <w:right w:val="none" w:color="FFFFFF" w:sz="0"/>
            </w:tcBorders>
            <w:shd w:fill="FFFFFF" w:val="clear"/>
          </w:tcPr>
          <w:p>
            <w:pPr>
              <w:spacing w:after="60" w:before="60"/>
            </w:pPr>
            <w:r>
              <w:rPr>
                <w:rFonts w:ascii="Arial" w:cs="Arial" w:eastAsia="Arial" w:hAnsi="Arial"/>
                <w:color w:val="000000"/>
                <w:sz w:val="20"/>
                <w:szCs w:val="20"/>
              </w:rPr>
              <w:t xml:space="preserve">Does not report to or manage commercial team. Engages on technical content only.</w:t>
            </w:r>
          </w:p>
        </w:tc>
      </w:tr>
    </w:tbl>
    <w:p>
      <w:pPr>
        <w:pStyle w:val="Heading1"/>
        <w:pBdr>
          <w:bottom w:val="single" w:color="00AEEF" w:sz="4"/>
        </w:pBdr>
        <w:spacing w:after="100" w:before="280"/>
      </w:pPr>
      <w:r>
        <w:rPr>
          <w:rFonts w:ascii="Arial" w:cs="Arial" w:eastAsia="Arial" w:hAnsi="Arial"/>
          <w:b/>
          <w:bCs/>
          <w:color w:val="0A1F5C"/>
          <w:sz w:val="28"/>
          <w:szCs w:val="28"/>
        </w:rPr>
        <w:t xml:space="preserve">4.  Weekly Rhythm</w:t>
      </w:r>
    </w:p>
    <w:p>
      <w:pPr>
        <w:pStyle w:val="Heading2"/>
        <w:spacing w:after="70" w:before="180"/>
      </w:pPr>
      <w:r>
        <w:rPr>
          <w:rFonts w:ascii="Arial" w:cs="Arial" w:eastAsia="Arial" w:hAnsi="Arial"/>
          <w:b/>
          <w:bCs/>
          <w:color w:val="6D28D9"/>
          <w:sz w:val="24"/>
          <w:szCs w:val="24"/>
        </w:rPr>
        <w:t xml:space="preserve">Standing commitments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80"/>
        <w:gridCol w:w="6480"/>
      </w:tblGrid>
      <w:tr>
        <w:tc>
          <w:tcPr>
            <w:tcW w:type="dxa" w:w="2880"/>
            <w:tcBorders>
              <w:top w:val="none" w:color="FFFFFF" w:sz="0"/>
              <w:left w:val="none" w:color="FFFFFF" w:sz="0"/>
              <w:bottom w:val="none" w:color="FFFFFF" w:sz="0"/>
              <w:right w:val="none" w:color="FFFFFF" w:sz="0"/>
            </w:tcBorders>
            <w:shd w:fill="F4F8FC" w:val="clear"/>
          </w:tcPr>
          <w:p>
            <w:pPr>
              <w:spacing w:after="60" w:before="60"/>
            </w:pPr>
            <w:r>
              <w:rPr>
                <w:rFonts w:ascii="Arial" w:cs="Arial" w:eastAsia="Arial" w:hAnsi="Arial"/>
                <w:b/>
                <w:bCs/>
                <w:color w:val="000000"/>
                <w:sz w:val="20"/>
                <w:szCs w:val="20"/>
              </w:rPr>
              <w:t xml:space="preserve">Weekly</w:t>
            </w:r>
          </w:p>
        </w:tc>
        <w:tc>
          <w:tcPr>
            <w:tcW w:type="dxa" w:w="6480"/>
            <w:tcBorders>
              <w:top w:val="none" w:color="FFFFFF" w:sz="0"/>
              <w:left w:val="none" w:color="FFFFFF" w:sz="0"/>
              <w:bottom w:val="none" w:color="FFFFFF" w:sz="0"/>
              <w:right w:val="none" w:color="FFFFFF" w:sz="0"/>
            </w:tcBorders>
            <w:shd w:fill="F4F8FC" w:val="clear"/>
          </w:tcPr>
          <w:p>
            <w:pPr>
              <w:spacing w:after="60" w:before="60"/>
            </w:pPr>
            <w:r>
              <w:rPr>
                <w:rFonts w:ascii="Arial" w:cs="Arial" w:eastAsia="Arial" w:hAnsi="Arial"/>
                <w:color w:val="000000"/>
                <w:sz w:val="20"/>
                <w:szCs w:val="20"/>
              </w:rPr>
              <w:t xml:space="preserve">Technical review with ops directors on active initiative delivery — confirm procedures are being followed, flag any field technical deviations</w:t>
            </w:r>
          </w:p>
        </w:tc>
      </w:tr>
      <w:tr>
        <w:tc>
          <w:tcPr>
            <w:tcW w:type="dxa" w:w="2880"/>
            <w:tcBorders>
              <w:top w:val="none" w:color="FFFFFF" w:sz="0"/>
              <w:left w:val="none" w:color="FFFFFF" w:sz="0"/>
              <w:bottom w:val="none" w:color="FFFFFF" w:sz="0"/>
              <w:right w:val="none" w:color="FFFFFF" w:sz="0"/>
            </w:tcBorders>
            <w:shd w:fill="FFFFFF" w:val="clear"/>
          </w:tcPr>
          <w:p>
            <w:pPr>
              <w:spacing w:after="60" w:before="60"/>
            </w:pPr>
            <w:r>
              <w:rPr>
                <w:rFonts w:ascii="Arial" w:cs="Arial" w:eastAsia="Arial" w:hAnsi="Arial"/>
                <w:b/>
                <w:bCs/>
                <w:color w:val="000000"/>
                <w:sz w:val="20"/>
                <w:szCs w:val="20"/>
              </w:rPr>
              <w:t xml:space="preserve">Bi-weekly</w:t>
            </w:r>
          </w:p>
        </w:tc>
        <w:tc>
          <w:tcPr>
            <w:tcW w:type="dxa" w:w="6480"/>
            <w:tcBorders>
              <w:top w:val="none" w:color="FFFFFF" w:sz="0"/>
              <w:left w:val="none" w:color="FFFFFF" w:sz="0"/>
              <w:bottom w:val="none" w:color="FFFFFF" w:sz="0"/>
              <w:right w:val="none" w:color="FFFFFF" w:sz="0"/>
            </w:tcBorders>
            <w:shd w:fill="FFFFFF" w:val="clear"/>
          </w:tcPr>
          <w:p>
            <w:pPr>
              <w:spacing w:after="60" w:before="60"/>
            </w:pPr>
            <w:r>
              <w:rPr>
                <w:rFonts w:ascii="Arial" w:cs="Arial" w:eastAsia="Arial" w:hAnsi="Arial"/>
                <w:color w:val="000000"/>
                <w:sz w:val="20"/>
                <w:szCs w:val="20"/>
              </w:rPr>
              <w:t xml:space="preserve">Initiative technical milestone check with Mathieu B — Pipeline DA and Powerline gate readiness</w:t>
            </w:r>
          </w:p>
        </w:tc>
      </w:tr>
      <w:tr>
        <w:tc>
          <w:tcPr>
            <w:tcW w:type="dxa" w:w="2880"/>
            <w:tcBorders>
              <w:top w:val="none" w:color="FFFFFF" w:sz="0"/>
              <w:left w:val="none" w:color="FFFFFF" w:sz="0"/>
              <w:bottom w:val="none" w:color="FFFFFF" w:sz="0"/>
              <w:right w:val="none" w:color="FFFFFF" w:sz="0"/>
            </w:tcBorders>
            <w:shd w:fill="F4F8FC" w:val="clear"/>
          </w:tcPr>
          <w:p>
            <w:pPr>
              <w:spacing w:after="60" w:before="60"/>
            </w:pPr>
            <w:r>
              <w:rPr>
                <w:rFonts w:ascii="Arial" w:cs="Arial" w:eastAsia="Arial" w:hAnsi="Arial"/>
                <w:b/>
                <w:bCs/>
                <w:color w:val="000000"/>
                <w:sz w:val="20"/>
                <w:szCs w:val="20"/>
              </w:rPr>
              <w:t xml:space="preserve">Monthly</w:t>
            </w:r>
          </w:p>
        </w:tc>
        <w:tc>
          <w:tcPr>
            <w:tcW w:type="dxa" w:w="6480"/>
            <w:tcBorders>
              <w:top w:val="none" w:color="FFFFFF" w:sz="0"/>
              <w:left w:val="none" w:color="FFFFFF" w:sz="0"/>
              <w:bottom w:val="none" w:color="FFFFFF" w:sz="0"/>
              <w:right w:val="none" w:color="FFFFFF" w:sz="0"/>
            </w:tcBorders>
            <w:shd w:fill="F4F8FC" w:val="clear"/>
          </w:tcPr>
          <w:p>
            <w:pPr>
              <w:spacing w:after="60" w:before="60"/>
            </w:pPr>
            <w:r>
              <w:rPr>
                <w:rFonts w:ascii="Arial" w:cs="Arial" w:eastAsia="Arial" w:hAnsi="Arial"/>
                <w:color w:val="000000"/>
                <w:sz w:val="20"/>
                <w:szCs w:val="20"/>
              </w:rPr>
              <w:t xml:space="preserve">Engineering procedures update — review and update active procedure sets for any scope changes in active initiatives</w:t>
            </w:r>
          </w:p>
        </w:tc>
      </w:tr>
      <w:tr>
        <w:tc>
          <w:tcPr>
            <w:tcW w:type="dxa" w:w="2880"/>
            <w:tcBorders>
              <w:top w:val="none" w:color="FFFFFF" w:sz="0"/>
              <w:left w:val="none" w:color="FFFFFF" w:sz="0"/>
              <w:bottom w:val="none" w:color="FFFFFF" w:sz="0"/>
              <w:right w:val="none" w:color="FFFFFF" w:sz="0"/>
            </w:tcBorders>
            <w:shd w:fill="FFFFFF" w:val="clear"/>
          </w:tcPr>
          <w:p>
            <w:pPr>
              <w:spacing w:after="60" w:before="60"/>
            </w:pPr>
            <w:r>
              <w:rPr>
                <w:rFonts w:ascii="Arial" w:cs="Arial" w:eastAsia="Arial" w:hAnsi="Arial"/>
                <w:b/>
                <w:bCs/>
                <w:color w:val="000000"/>
                <w:sz w:val="20"/>
                <w:szCs w:val="20"/>
              </w:rPr>
              <w:t xml:space="preserve">Gate Reviews (last Fri)</w:t>
            </w:r>
          </w:p>
        </w:tc>
        <w:tc>
          <w:tcPr>
            <w:tcW w:type="dxa" w:w="6480"/>
            <w:tcBorders>
              <w:top w:val="none" w:color="FFFFFF" w:sz="0"/>
              <w:left w:val="none" w:color="FFFFFF" w:sz="0"/>
              <w:bottom w:val="none" w:color="FFFFFF" w:sz="0"/>
              <w:right w:val="none" w:color="FFFFFF" w:sz="0"/>
            </w:tcBorders>
            <w:shd w:fill="FFFFFF" w:val="clear"/>
          </w:tcPr>
          <w:p>
            <w:pPr>
              <w:spacing w:after="60" w:before="60"/>
            </w:pPr>
            <w:r>
              <w:rPr>
                <w:rFonts w:ascii="Arial" w:cs="Arial" w:eastAsia="Arial" w:hAnsi="Arial"/>
                <w:color w:val="000000"/>
                <w:sz w:val="20"/>
                <w:szCs w:val="20"/>
              </w:rPr>
              <w:t xml:space="preserve">Attend all Gate Reviews. Provide technical readiness assessment for each initiative milestone.</w:t>
            </w:r>
          </w:p>
        </w:tc>
      </w:tr>
      <w:tr>
        <w:tc>
          <w:tcPr>
            <w:tcW w:type="dxa" w:w="2880"/>
            <w:tcBorders>
              <w:top w:val="none" w:color="FFFFFF" w:sz="0"/>
              <w:left w:val="none" w:color="FFFFFF" w:sz="0"/>
              <w:bottom w:val="none" w:color="FFFFFF" w:sz="0"/>
              <w:right w:val="none" w:color="FFFFFF" w:sz="0"/>
            </w:tcBorders>
            <w:shd w:fill="F4F8FC" w:val="clear"/>
          </w:tcPr>
          <w:p>
            <w:pPr>
              <w:spacing w:after="60" w:before="60"/>
            </w:pPr>
            <w:r>
              <w:rPr>
                <w:rFonts w:ascii="Arial" w:cs="Arial" w:eastAsia="Arial" w:hAnsi="Arial"/>
                <w:b/>
                <w:bCs/>
                <w:color w:val="000000"/>
                <w:sz w:val="20"/>
                <w:szCs w:val="20"/>
              </w:rPr>
              <w:t xml:space="preserve">As needed</w:t>
            </w:r>
          </w:p>
        </w:tc>
        <w:tc>
          <w:tcPr>
            <w:tcW w:type="dxa" w:w="6480"/>
            <w:tcBorders>
              <w:top w:val="none" w:color="FFFFFF" w:sz="0"/>
              <w:left w:val="none" w:color="FFFFFF" w:sz="0"/>
              <w:bottom w:val="none" w:color="FFFFFF" w:sz="0"/>
              <w:right w:val="none" w:color="FFFFFF" w:sz="0"/>
            </w:tcBorders>
            <w:shd w:fill="F4F8FC" w:val="clear"/>
          </w:tcPr>
          <w:p>
            <w:pPr>
              <w:spacing w:after="60" w:before="60"/>
            </w:pPr>
            <w:r>
              <w:rPr>
                <w:rFonts w:ascii="Arial" w:cs="Arial" w:eastAsia="Arial" w:hAnsi="Arial"/>
                <w:color w:val="000000"/>
                <w:sz w:val="20"/>
                <w:szCs w:val="20"/>
              </w:rPr>
              <w:t xml:space="preserve">Proposal technical review before commercial submission — ensures technical content is accurate and supportable</w:t>
            </w:r>
          </w:p>
        </w:tc>
      </w:tr>
    </w:tbl>
    <w:p>
      <w:pPr>
        <w:pStyle w:val="Heading2"/>
        <w:spacing w:after="70" w:before="180"/>
      </w:pPr>
      <w:r>
        <w:rPr>
          <w:rFonts w:ascii="Arial" w:cs="Arial" w:eastAsia="Arial" w:hAnsi="Arial"/>
          <w:b/>
          <w:bCs/>
          <w:color w:val="6D28D9"/>
          <w:sz w:val="24"/>
          <w:szCs w:val="24"/>
        </w:rPr>
        <w:t xml:space="preserve">Key protocols</w:t>
      </w:r>
    </w:p>
    <w:p>
      <w:pPr>
        <w:pStyle w:val="ListParagraph"/>
        <w:numPr>
          <w:ilvl w:val="0"/>
          <w:numId w:val="2"/>
        </w:numPr>
        <w:spacing w:after="40" w:before="40"/>
      </w:pPr>
      <w:r>
        <w:rPr>
          <w:rFonts w:ascii="Arial" w:cs="Arial" w:eastAsia="Arial" w:hAnsi="Arial"/>
          <w:color w:val="000000"/>
          <w:sz w:val="20"/>
          <w:szCs w:val="20"/>
        </w:rPr>
        <w:t xml:space="preserve">Commercial team submits proposal technical sections to Francis for review before client submission.</w:t>
      </w:r>
    </w:p>
    <w:p>
      <w:pPr>
        <w:pStyle w:val="ListParagraph"/>
        <w:numPr>
          <w:ilvl w:val="0"/>
          <w:numId w:val="2"/>
        </w:numPr>
        <w:spacing w:after="40" w:before="40"/>
      </w:pPr>
      <w:r>
        <w:rPr>
          <w:rFonts w:ascii="Arial" w:cs="Arial" w:eastAsia="Arial" w:hAnsi="Arial"/>
          <w:color w:val="000000"/>
          <w:sz w:val="20"/>
          <w:szCs w:val="20"/>
        </w:rPr>
        <w:t xml:space="preserve">Ops directors flag field technical deviations to Francis the same day — not after the job closes.</w:t>
      </w:r>
    </w:p>
    <w:p>
      <w:pPr>
        <w:pStyle w:val="ListParagraph"/>
        <w:numPr>
          <w:ilvl w:val="0"/>
          <w:numId w:val="2"/>
        </w:numPr>
        <w:spacing w:after="40" w:before="40"/>
      </w:pPr>
      <w:r>
        <w:rPr>
          <w:rFonts w:ascii="Arial" w:cs="Arial" w:eastAsia="Arial" w:hAnsi="Arial"/>
          <w:color w:val="000000"/>
          <w:sz w:val="20"/>
          <w:szCs w:val="20"/>
        </w:rPr>
        <w:t xml:space="preserve">Any new tool or inspection method requires Francis sign-off on the technical procedure before first field deployment.</w:t>
      </w:r>
    </w:p>
    <w:p>
      <w:pPr>
        <w:pStyle w:val="ListParagraph"/>
        <w:numPr>
          <w:ilvl w:val="0"/>
          <w:numId w:val="2"/>
        </w:numPr>
        <w:spacing w:after="40" w:before="40"/>
      </w:pPr>
      <w:r>
        <w:rPr>
          <w:rFonts w:ascii="Arial" w:cs="Arial" w:eastAsia="Arial" w:hAnsi="Arial"/>
          <w:color w:val="000000"/>
          <w:sz w:val="20"/>
          <w:szCs w:val="20"/>
        </w:rPr>
        <w:t xml:space="preserve">CGSB and other qualification gaps must be tracked and reported at Gate Reviews — Francis owns this tracker across all initiatives.</w:t>
      </w:r>
    </w:p>
    <w:p>
      <w:pPr>
        <w:pStyle w:val="Heading1"/>
        <w:pBdr>
          <w:bottom w:val="single" w:color="00AEEF" w:sz="4"/>
        </w:pBdr>
        <w:spacing w:after="100" w:before="280"/>
      </w:pPr>
      <w:r>
        <w:rPr>
          <w:rFonts w:ascii="Arial" w:cs="Arial" w:eastAsia="Arial" w:hAnsi="Arial"/>
          <w:b/>
          <w:bCs/>
          <w:color w:val="0A1F5C"/>
          <w:sz w:val="28"/>
          <w:szCs w:val="28"/>
        </w:rPr>
        <w:t xml:space="preserve">5.  What Francis Is Not Responsible For</w:t>
      </w:r>
    </w:p>
    <w:p>
      <w:pPr>
        <w:pStyle w:val="ListParagraph"/>
        <w:numPr>
          <w:ilvl w:val="0"/>
          <w:numId w:val="2"/>
        </w:numPr>
        <w:spacing w:after="40" w:before="40"/>
      </w:pPr>
      <w:r>
        <w:rPr>
          <w:rFonts w:ascii="Arial" w:cs="Arial" w:eastAsia="Arial" w:hAnsi="Arial"/>
          <w:color w:val="000000"/>
          <w:sz w:val="20"/>
          <w:szCs w:val="20"/>
        </w:rPr>
        <w:t xml:space="preserve">Commercial relationships — those belong to Vinoth, Max, Rick, Olivier, and Mathieu. Francis does not engage clients on commercial terms.</w:t>
      </w:r>
    </w:p>
    <w:p>
      <w:pPr>
        <w:pStyle w:val="ListParagraph"/>
        <w:numPr>
          <w:ilvl w:val="0"/>
          <w:numId w:val="2"/>
        </w:numPr>
        <w:spacing w:after="40" w:before="40"/>
      </w:pPr>
      <w:r>
        <w:rPr>
          <w:rFonts w:ascii="Arial" w:cs="Arial" w:eastAsia="Arial" w:hAnsi="Arial"/>
          <w:color w:val="000000"/>
          <w:sz w:val="20"/>
          <w:szCs w:val="20"/>
        </w:rPr>
        <w:t xml:space="preserve">Crew scheduling and ops delivery — that is Alex Cyr's domain and the ops directors' responsibility.</w:t>
      </w:r>
    </w:p>
    <w:p>
      <w:pPr>
        <w:pStyle w:val="ListParagraph"/>
        <w:numPr>
          <w:ilvl w:val="0"/>
          <w:numId w:val="2"/>
        </w:numPr>
        <w:spacing w:after="40" w:before="40"/>
      </w:pPr>
      <w:r>
        <w:rPr>
          <w:rFonts w:ascii="Arial" w:cs="Arial" w:eastAsia="Arial" w:hAnsi="Arial"/>
          <w:color w:val="000000"/>
          <w:sz w:val="20"/>
          <w:szCs w:val="20"/>
        </w:rPr>
        <w:t xml:space="preserve">Financial planning, CAPEX approval, or budget management — Jeremy Irwin and Mathieu Beauchesne handle those.</w:t>
      </w:r>
    </w:p>
    <w:p>
      <w:pPr>
        <w:pStyle w:val="ListParagraph"/>
        <w:numPr>
          <w:ilvl w:val="0"/>
          <w:numId w:val="2"/>
        </w:numPr>
        <w:spacing w:after="40" w:before="40"/>
      </w:pPr>
      <w:r>
        <w:rPr>
          <w:rFonts w:ascii="Arial" w:cs="Arial" w:eastAsia="Arial" w:hAnsi="Arial"/>
          <w:color w:val="000000"/>
          <w:sz w:val="20"/>
          <w:szCs w:val="20"/>
        </w:rPr>
        <w:t xml:space="preserve">Salesforce data entry — commercial team responsibility.</w:t>
      </w:r>
    </w:p>
    <w:p>
      <w:pPr>
        <w:pStyle w:val="Heading1"/>
        <w:pBdr>
          <w:bottom w:val="single" w:color="00AEEF" w:sz="4"/>
        </w:pBdr>
        <w:spacing w:after="100" w:before="280"/>
      </w:pPr>
      <w:r>
        <w:rPr>
          <w:rFonts w:ascii="Arial" w:cs="Arial" w:eastAsia="Arial" w:hAnsi="Arial"/>
          <w:b/>
          <w:bCs/>
          <w:color w:val="0A1F5C"/>
          <w:sz w:val="28"/>
          <w:szCs w:val="28"/>
        </w:rPr>
        <w:t xml:space="preserve">6.  Success Metrics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80"/>
        <w:gridCol w:w="6480"/>
      </w:tblGrid>
      <w:tr>
        <w:tc>
          <w:tcPr>
            <w:tcW w:type="dxa" w:w="2880"/>
            <w:tcBorders>
              <w:top w:val="none" w:color="FFFFFF" w:sz="0"/>
              <w:left w:val="none" w:color="FFFFFF" w:sz="0"/>
              <w:bottom w:val="none" w:color="FFFFFF" w:sz="0"/>
              <w:right w:val="none" w:color="FFFFFF" w:sz="0"/>
            </w:tcBorders>
            <w:shd w:fill="F4F8FC" w:val="clear"/>
          </w:tcPr>
          <w:p>
            <w:pPr>
              <w:spacing w:after="60" w:before="60"/>
            </w:pPr>
            <w:r>
              <w:rPr>
                <w:rFonts w:ascii="Arial" w:cs="Arial" w:eastAsia="Arial" w:hAnsi="Arial"/>
                <w:b/>
                <w:bCs/>
                <w:color w:val="000000"/>
                <w:sz w:val="20"/>
                <w:szCs w:val="20"/>
              </w:rPr>
              <w:t xml:space="preserve">Pipeline DA</w:t>
            </w:r>
          </w:p>
        </w:tc>
        <w:tc>
          <w:tcPr>
            <w:tcW w:type="dxa" w:w="6480"/>
            <w:tcBorders>
              <w:top w:val="none" w:color="FFFFFF" w:sz="0"/>
              <w:left w:val="none" w:color="FFFFFF" w:sz="0"/>
              <w:bottom w:val="none" w:color="FFFFFF" w:sz="0"/>
              <w:right w:val="none" w:color="FFFFFF" w:sz="0"/>
            </w:tcBorders>
            <w:shd w:fill="F4F8FC" w:val="clear"/>
          </w:tcPr>
          <w:p>
            <w:pPr>
              <w:spacing w:after="60" w:before="60"/>
            </w:pPr>
            <w:r>
              <w:rPr>
                <w:rFonts w:ascii="Arial" w:cs="Arial" w:eastAsia="Arial" w:hAnsi="Arial"/>
                <w:color w:val="000000"/>
                <w:sz w:val="20"/>
                <w:szCs w:val="20"/>
              </w:rPr>
              <w:t xml:space="preserve">Validated FFS + DA procedure set ready for MSA qualification at Pembina and Tidewater — Q2 2026</w:t>
            </w:r>
          </w:p>
        </w:tc>
      </w:tr>
      <w:tr>
        <w:tc>
          <w:tcPr>
            <w:tcW w:type="dxa" w:w="2880"/>
            <w:tcBorders>
              <w:top w:val="none" w:color="FFFFFF" w:sz="0"/>
              <w:left w:val="none" w:color="FFFFFF" w:sz="0"/>
              <w:bottom w:val="none" w:color="FFFFFF" w:sz="0"/>
              <w:right w:val="none" w:color="FFFFFF" w:sz="0"/>
            </w:tcBorders>
            <w:shd w:fill="FFFFFF" w:val="clear"/>
          </w:tcPr>
          <w:p>
            <w:pPr>
              <w:spacing w:after="60" w:before="60"/>
            </w:pPr>
            <w:r>
              <w:rPr>
                <w:rFonts w:ascii="Arial" w:cs="Arial" w:eastAsia="Arial" w:hAnsi="Arial"/>
                <w:b/>
                <w:bCs/>
                <w:color w:val="000000"/>
                <w:sz w:val="20"/>
                <w:szCs w:val="20"/>
              </w:rPr>
              <w:t xml:space="preserve">Powerline</w:t>
            </w:r>
          </w:p>
        </w:tc>
        <w:tc>
          <w:tcPr>
            <w:tcW w:type="dxa" w:w="6480"/>
            <w:tcBorders>
              <w:top w:val="none" w:color="FFFFFF" w:sz="0"/>
              <w:left w:val="none" w:color="FFFFFF" w:sz="0"/>
              <w:bottom w:val="none" w:color="FFFFFF" w:sz="0"/>
              <w:right w:val="none" w:color="FFFFFF" w:sz="0"/>
            </w:tcBorders>
            <w:shd w:fill="FFFFFF" w:val="clear"/>
          </w:tcPr>
          <w:p>
            <w:pPr>
              <w:spacing w:after="60" w:before="60"/>
            </w:pPr>
            <w:r>
              <w:rPr>
                <w:rFonts w:ascii="Arial" w:cs="Arial" w:eastAsia="Arial" w:hAnsi="Arial"/>
                <w:color w:val="000000"/>
                <w:sz w:val="20"/>
                <w:szCs w:val="20"/>
              </w:rPr>
              <w:t xml:space="preserve">Complete technical procedure set for LineCore/LineOhm/LineRay enabling first utility client qualification — Q2 2026</w:t>
            </w:r>
          </w:p>
        </w:tc>
      </w:tr>
      <w:tr>
        <w:tc>
          <w:tcPr>
            <w:tcW w:type="dxa" w:w="2880"/>
            <w:tcBorders>
              <w:top w:val="none" w:color="FFFFFF" w:sz="0"/>
              <w:left w:val="none" w:color="FFFFFF" w:sz="0"/>
              <w:bottom w:val="none" w:color="FFFFFF" w:sz="0"/>
              <w:right w:val="none" w:color="FFFFFF" w:sz="0"/>
            </w:tcBorders>
            <w:shd w:fill="F4F8FC" w:val="clear"/>
          </w:tcPr>
          <w:p>
            <w:pPr>
              <w:spacing w:after="60" w:before="60"/>
            </w:pPr>
            <w:r>
              <w:rPr>
                <w:rFonts w:ascii="Arial" w:cs="Arial" w:eastAsia="Arial" w:hAnsi="Arial"/>
                <w:b/>
                <w:bCs/>
                <w:color w:val="000000"/>
                <w:sz w:val="20"/>
                <w:szCs w:val="20"/>
              </w:rPr>
              <w:t xml:space="preserve">Nuclear tender</w:t>
            </w:r>
          </w:p>
        </w:tc>
        <w:tc>
          <w:tcPr>
            <w:tcW w:type="dxa" w:w="6480"/>
            <w:tcBorders>
              <w:top w:val="none" w:color="FFFFFF" w:sz="0"/>
              <w:left w:val="none" w:color="FFFFFF" w:sz="0"/>
              <w:bottom w:val="none" w:color="FFFFFF" w:sz="0"/>
              <w:right w:val="none" w:color="FFFFFF" w:sz="0"/>
            </w:tcBorders>
            <w:shd w:fill="F4F8FC" w:val="clear"/>
          </w:tcPr>
          <w:p>
            <w:pPr>
              <w:spacing w:after="60" w:before="60"/>
            </w:pPr>
            <w:r>
              <w:rPr>
                <w:rFonts w:ascii="Arial" w:cs="Arial" w:eastAsia="Arial" w:hAnsi="Arial"/>
                <w:color w:val="000000"/>
                <w:sz w:val="20"/>
                <w:szCs w:val="20"/>
              </w:rPr>
              <w:t xml:space="preserve">CGSB qualification gaps resolved — zero outstanding gaps by August 2026</w:t>
            </w:r>
          </w:p>
        </w:tc>
      </w:tr>
      <w:tr>
        <w:tc>
          <w:tcPr>
            <w:tcW w:type="dxa" w:w="2880"/>
            <w:tcBorders>
              <w:top w:val="none" w:color="FFFFFF" w:sz="0"/>
              <w:left w:val="none" w:color="FFFFFF" w:sz="0"/>
              <w:bottom w:val="none" w:color="FFFFFF" w:sz="0"/>
              <w:right w:val="none" w:color="FFFFFF" w:sz="0"/>
            </w:tcBorders>
            <w:shd w:fill="FFFFFF" w:val="clear"/>
          </w:tcPr>
          <w:p>
            <w:pPr>
              <w:spacing w:after="60" w:before="60"/>
            </w:pPr>
            <w:r>
              <w:rPr>
                <w:rFonts w:ascii="Arial" w:cs="Arial" w:eastAsia="Arial" w:hAnsi="Arial"/>
                <w:b/>
                <w:bCs/>
                <w:color w:val="000000"/>
                <w:sz w:val="20"/>
                <w:szCs w:val="20"/>
              </w:rPr>
              <w:t xml:space="preserve">3X Composite</w:t>
            </w:r>
          </w:p>
        </w:tc>
        <w:tc>
          <w:tcPr>
            <w:tcW w:type="dxa" w:w="6480"/>
            <w:tcBorders>
              <w:top w:val="none" w:color="FFFFFF" w:sz="0"/>
              <w:left w:val="none" w:color="FFFFFF" w:sz="0"/>
              <w:bottom w:val="none" w:color="FFFFFF" w:sz="0"/>
              <w:right w:val="none" w:color="FFFFFF" w:sz="0"/>
            </w:tcBorders>
            <w:shd w:fill="FFFFFF" w:val="clear"/>
          </w:tcPr>
          <w:p>
            <w:pPr>
              <w:spacing w:after="60" w:before="60"/>
            </w:pPr>
            <w:r>
              <w:rPr>
                <w:rFonts w:ascii="Arial" w:cs="Arial" w:eastAsia="Arial" w:hAnsi="Arial"/>
                <w:color w:val="000000"/>
                <w:sz w:val="20"/>
                <w:szCs w:val="20"/>
              </w:rPr>
              <w:t xml:space="preserve">ABSA re-submission technical package complete — Q2 2026 target</w:t>
            </w:r>
          </w:p>
        </w:tc>
      </w:tr>
      <w:tr>
        <w:tc>
          <w:tcPr>
            <w:tcW w:type="dxa" w:w="2880"/>
            <w:tcBorders>
              <w:top w:val="none" w:color="FFFFFF" w:sz="0"/>
              <w:left w:val="none" w:color="FFFFFF" w:sz="0"/>
              <w:bottom w:val="none" w:color="FFFFFF" w:sz="0"/>
              <w:right w:val="none" w:color="FFFFFF" w:sz="0"/>
            </w:tcBorders>
            <w:shd w:fill="F4F8FC" w:val="clear"/>
          </w:tcPr>
          <w:p>
            <w:pPr>
              <w:spacing w:after="60" w:before="60"/>
            </w:pPr>
            <w:r>
              <w:rPr>
                <w:rFonts w:ascii="Arial" w:cs="Arial" w:eastAsia="Arial" w:hAnsi="Arial"/>
                <w:b/>
                <w:bCs/>
                <w:color w:val="000000"/>
                <w:sz w:val="20"/>
                <w:szCs w:val="20"/>
              </w:rPr>
              <w:t xml:space="preserve">Gate Reviews</w:t>
            </w:r>
          </w:p>
        </w:tc>
        <w:tc>
          <w:tcPr>
            <w:tcW w:type="dxa" w:w="6480"/>
            <w:tcBorders>
              <w:top w:val="none" w:color="FFFFFF" w:sz="0"/>
              <w:left w:val="none" w:color="FFFFFF" w:sz="0"/>
              <w:bottom w:val="none" w:color="FFFFFF" w:sz="0"/>
              <w:right w:val="none" w:color="FFFFFF" w:sz="0"/>
            </w:tcBorders>
            <w:shd w:fill="F4F8FC" w:val="clear"/>
          </w:tcPr>
          <w:p>
            <w:pPr>
              <w:spacing w:after="60" w:before="60"/>
            </w:pPr>
            <w:r>
              <w:rPr>
                <w:rFonts w:ascii="Arial" w:cs="Arial" w:eastAsia="Arial" w:hAnsi="Arial"/>
                <w:color w:val="000000"/>
                <w:sz w:val="20"/>
                <w:szCs w:val="20"/>
              </w:rPr>
              <w:t xml:space="preserve">Technical readiness confirmed at every Gate Review — no gate should fail for lack of technical documentation</w:t>
            </w:r>
          </w:p>
        </w:tc>
      </w:tr>
    </w:tbl>
    <w:p>
      <w:pPr>
        <w:spacing w:after="60" w:before="60"/>
      </w:pPr>
      <w:r>
        <w:rPr>
          <w:sz w:val="16"/>
          <w:szCs w:val="16"/>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F5C" w:val="clear"/>
          </w:tcPr>
          <w:p>
            <w:pPr>
              <w:spacing w:after="80" w:before="80"/>
              <w:ind w:left="200" w:right="200"/>
            </w:pPr>
            <w:r>
              <w:rPr>
                <w:rFonts w:ascii="Arial" w:cs="Arial" w:eastAsia="Arial" w:hAnsi="Arial"/>
                <w:b/>
                <w:bCs/>
                <w:color w:val="FFFFFF"/>
                <w:sz w:val="20"/>
                <w:szCs w:val="20"/>
              </w:rPr>
              <w:t xml:space="preserve">DISTRIBUTION</w:t>
            </w:r>
          </w:p>
          <w:p>
            <w:pPr>
              <w:spacing w:after="80" w:before="80"/>
              <w:ind w:left="200" w:right="200"/>
            </w:pPr>
            <w:r>
              <w:rPr>
                <w:rFonts w:ascii="Arial" w:cs="Arial" w:eastAsia="Arial" w:hAnsi="Arial"/>
                <w:color w:val="D0DCF0"/>
                <w:sz w:val="18"/>
                <w:szCs w:val="18"/>
              </w:rPr>
              <w:t xml:space="preserve">For: Francis Boudreault-Leclerc  ·  Mathieu Beauchesne  ·  Jon Eustace</w:t>
            </w:r>
          </w:p>
          <w:p>
            <w:pPr>
              <w:spacing w:after="80" w:before="80"/>
              <w:ind w:left="200" w:right="200"/>
            </w:pPr>
            <w:r>
              <w:rPr>
                <w:rFonts w:ascii="Arial" w:cs="Arial" w:eastAsia="Arial" w:hAnsi="Arial"/>
                <w:color w:val="D0DCF0"/>
                <w:sz w:val="18"/>
                <w:szCs w:val="18"/>
              </w:rPr>
              <w:t xml:space="preserve">Prepared by: Jon Eustace  ·  Confidential — Internal Use Only  ·  April 2026</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78A0"/>
        <w:sz w:val="18"/>
        <w:szCs w:val="18"/>
      </w:rPr>
      <w:t xml:space="preserve">Page </w:t>
      <w:fldChar w:fldCharType="begin"/>
      <w:instrText xml:space="preserve">PAGE</w:instrText>
      <w:fldChar w:fldCharType="separate"/>
      <w:fldChar w:fldCharType="end"/>
    </w:r>
    <w:r>
      <w:rPr>
        <w:rFonts w:ascii="Arial" w:cs="Arial" w:eastAsia="Arial" w:hAnsi="Arial"/>
        <w:color w:val="6678A0"/>
        <w:sz w:val="18"/>
        <w:szCs w:val="18"/>
      </w:rPr>
      <w:t xml:space="preserve"> of </w:t>
    </w:r>
    <w:r>
      <w:rPr>
        <w:rFonts w:ascii="Arial" w:cs="Arial" w:eastAsia="Arial" w:hAnsi="Arial"/>
        <w:color w:val="6678A0"/>
        <w:sz w:val="18"/>
        <w:szCs w:val="18"/>
      </w:rPr>
      <w:fldChar w:fldCharType="begin"/>
      <w:instrText xml:space="preserve">NUMPAGES</w:instrText>
      <w:fldChar w:fldCharType="separate"/>
      <w:fldChar w:fldCharType="end"/>
    </w:r>
    <w:r>
      <w:rPr>
        <w:rFonts w:ascii="Arial" w:cs="Arial" w:eastAsia="Arial" w:hAnsi="Arial"/>
        <w:color w:val="6678A0"/>
        <w:sz w:val="18"/>
        <w:szCs w:val="18"/>
      </w:rPr>
      <w:t xml:space="preserve">  ·  Ekoscan Integrity Group  ·  BU Services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AEEF" w:sz="4"/>
      </w:pBdr>
      <w:spacing w:after="60" w:before="0"/>
    </w:pPr>
    <w:r>
      <w:rPr>
        <w:rFonts w:ascii="Arial" w:cs="Arial" w:eastAsia="Arial" w:hAnsi="Arial"/>
        <w:b/>
        <w:bCs/>
        <w:color w:val="0A1F5C"/>
        <w:sz w:val="20"/>
        <w:szCs w:val="20"/>
      </w:rPr>
      <w:t xml:space="preserve">Role Brief · Francis Boudreault-Leclerc</w:t>
    </w:r>
    <w:r>
      <w:rPr>
        <w:rFonts w:ascii="Arial" w:cs="Arial" w:eastAsia="Arial" w:hAnsi="Arial"/>
        <w:color w:val="6678A0"/>
        <w:sz w:val="20"/>
        <w:szCs w:val="20"/>
      </w:rPr>
      <w:t xml:space="preserve">  ·  BU Services  ·  Engineering &amp; Technical Manager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00" w:before="280"/>
    </w:pPr>
    <w:rPr>
      <w:rFonts w:ascii="Arial" w:cs="Arial" w:eastAsia="Arial" w:hAnsi="Arial"/>
      <w:b/>
      <w:bCs/>
      <w:color w:val="0A1F5C"/>
      <w:sz w:val="28"/>
      <w:szCs w:val="28"/>
    </w:rPr>
  </w:style>
  <w:style w:type="paragraph" w:styleId="Heading2">
    <w:name w:val="Heading 2"/>
    <w:basedOn w:val="Normal"/>
    <w:next w:val="Normal"/>
    <w:pPr>
      <w:spacing w:after="70" w:before="180"/>
    </w:pPr>
    <w:rPr>
      <w:rFonts w:ascii="Arial" w:cs="Arial" w:eastAsia="Arial" w:hAnsi="Arial"/>
      <w:b/>
      <w:bCs/>
      <w:color w:val="6D28D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2026-04-20T00:29:22.905Z</dcterms:created>
  <dcterms:modified xsi:type="dcterms:W3CDTF">2026-04-20T00:29:22.905Z</dcterms:modified>
</cp:coreProperties>
</file>

<file path=docProps/custom.xml><?xml version="1.0" encoding="utf-8"?>
<Properties xmlns="http://schemas.openxmlformats.org/officeDocument/2006/custom-properties" xmlns:vt="http://schemas.openxmlformats.org/officeDocument/2006/docPropsVTypes"/>
</file>