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bCs/>
          <w:caps/>
          <w:color w:val="161C60"/>
          <w:sz w:val="52"/>
          <w:szCs w:val="52"/>
        </w:rPr>
        <w:t xml:space="preserve">BU SERVICES</w:t>
      </w:r>
    </w:p>
    <w:p>
      <w:pPr>
        <w:spacing w:after="0" w:before="0"/>
      </w:pPr>
      <w:r>
        <w:rPr>
          <w:rFonts w:ascii="Arial" w:cs="Arial" w:eastAsia="Arial" w:hAnsi="Arial"/>
          <w:b/>
          <w:bCs/>
          <w:color w:val="384660"/>
          <w:sz w:val="34"/>
          <w:szCs w:val="34"/>
        </w:rPr>
        <w:t xml:space="preserve">COMMAND CENTRE &amp; DOCUMENT SUITE</w:t>
      </w:r>
    </w:p>
    <w:p>
      <w:pPr>
        <w:pBdr>
          <w:bottom w:val="single" w:color="22882F" w:sz="16" w:space="1"/>
        </w:pBdr>
        <w:spacing w:after="400" w:before="80"/>
      </w:pPr>
      <w:r>
        <w:rPr>
          <w:rFonts w:ascii="Arial" w:cs="Arial" w:eastAsia="Arial" w:hAnsi="Arial"/>
          <w:b/>
          <w:bCs/>
          <w:caps/>
          <w:color w:val="22882F"/>
          <w:sz w:val="26"/>
          <w:szCs w:val="26"/>
        </w:rPr>
        <w:t xml:space="preserve">HOW TO USE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61C60" w:val="clear"/>
            <w:tcMar>
              <w:top w:type="dxa" w:w="160"/>
              <w:left w:type="dxa" w:w="200"/>
              <w:bottom w:type="dxa" w:w="160"/>
              <w:right w:type="dxa" w:w="200"/>
            </w:tcMar>
          </w:tcPr>
          <w:p>
            <w:pPr>
              <w:spacing w:after="40" w:before="0"/>
            </w:pPr>
            <w:r>
              <w:rPr>
                <w:rFonts w:ascii="Arial" w:cs="Arial" w:eastAsia="Arial" w:hAnsi="Arial"/>
                <w:color w:val="AAAAAA"/>
                <w:sz w:val="18"/>
                <w:szCs w:val="18"/>
              </w:rPr>
              <w:t xml:space="preserve">Document</w:t>
            </w:r>
          </w:p>
          <w:p>
            <w:pPr>
              <w:spacing w:after="0" w:before="0"/>
            </w:pPr>
            <w:r>
              <w:rPr>
                <w:rFonts w:ascii="Arial" w:cs="Arial" w:eastAsia="Arial" w:hAnsi="Arial"/>
                <w:b/>
                <w:bCs/>
                <w:color w:val="FFFFFF"/>
                <w:sz w:val="22"/>
                <w:szCs w:val="22"/>
              </w:rPr>
              <w:t xml:space="preserve">BU Services How to Use Guide</w:t>
            </w:r>
          </w:p>
        </w:tc>
        <w:tc>
          <w:tcPr>
            <w:tcW w:type="dxa" w:w="4680"/>
            <w:tcBorders>
              <w:top w:val="none" w:color="FFFFFF" w:sz="0"/>
              <w:left w:val="none" w:color="FFFFFF" w:sz="0"/>
              <w:bottom w:val="none" w:color="FFFFFF" w:sz="0"/>
              <w:right w:val="none" w:color="FFFFFF" w:sz="0"/>
            </w:tcBorders>
            <w:shd w:fill="0D1040" w:val="clear"/>
            <w:tcMar>
              <w:top w:type="dxa" w:w="160"/>
              <w:left w:type="dxa" w:w="200"/>
              <w:bottom w:type="dxa" w:w="160"/>
              <w:right w:type="dxa" w:w="200"/>
            </w:tcMar>
          </w:tcPr>
          <w:p>
            <w:pPr>
              <w:spacing w:after="40" w:before="0"/>
            </w:pPr>
            <w:r>
              <w:rPr>
                <w:rFonts w:ascii="Arial" w:cs="Arial" w:eastAsia="Arial" w:hAnsi="Arial"/>
                <w:color w:val="AAAAAA"/>
                <w:sz w:val="18"/>
                <w:szCs w:val="18"/>
              </w:rPr>
              <w:t xml:space="preserve">Prepared by</w:t>
            </w:r>
          </w:p>
          <w:p>
            <w:pPr>
              <w:spacing w:after="0" w:before="0"/>
            </w:pPr>
            <w:r>
              <w:rPr>
                <w:rFonts w:ascii="Arial" w:cs="Arial" w:eastAsia="Arial" w:hAnsi="Arial"/>
                <w:b/>
                <w:bCs/>
                <w:color w:val="FFFFFF"/>
                <w:sz w:val="22"/>
                <w:szCs w:val="22"/>
              </w:rPr>
              <w:t xml:space="preserve">Jon Eustace, CEO North America</w:t>
            </w:r>
          </w:p>
        </w:tc>
      </w:tr>
      <w:tr>
        <w:tc>
          <w:tcPr>
            <w:tcW w:type="dxa" w:w="4680"/>
            <w:tcBorders>
              <w:top w:val="none" w:color="FFFFFF" w:sz="0"/>
              <w:left w:val="none" w:color="FFFFFF" w:sz="0"/>
              <w:bottom w:val="none" w:color="FFFFFF" w:sz="0"/>
              <w:right w:val="none" w:color="FFFFFF" w:sz="0"/>
            </w:tcBorders>
            <w:shd w:fill="0B0F2A" w:val="clear"/>
            <w:tcMar>
              <w:top w:type="dxa" w:w="160"/>
              <w:left w:type="dxa" w:w="200"/>
              <w:bottom w:type="dxa" w:w="160"/>
              <w:right w:type="dxa" w:w="200"/>
            </w:tcMar>
          </w:tcPr>
          <w:p>
            <w:pPr>
              <w:spacing w:after="40" w:before="0"/>
            </w:pPr>
            <w:r>
              <w:rPr>
                <w:rFonts w:ascii="Arial" w:cs="Arial" w:eastAsia="Arial" w:hAnsi="Arial"/>
                <w:color w:val="AAAAAA"/>
                <w:sz w:val="18"/>
                <w:szCs w:val="18"/>
              </w:rPr>
              <w:t xml:space="preserve">Version</w:t>
            </w:r>
          </w:p>
          <w:p>
            <w:pPr>
              <w:spacing w:after="0" w:before="0"/>
            </w:pPr>
            <w:r>
              <w:rPr>
                <w:rFonts w:ascii="Arial" w:cs="Arial" w:eastAsia="Arial" w:hAnsi="Arial"/>
                <w:b/>
                <w:bCs/>
                <w:color w:val="FFFFFF"/>
                <w:sz w:val="22"/>
                <w:szCs w:val="22"/>
              </w:rPr>
              <w:t xml:space="preserve">v1.0 — May 2026</w:t>
            </w:r>
          </w:p>
        </w:tc>
        <w:tc>
          <w:tcPr>
            <w:tcW w:type="dxa" w:w="4680"/>
            <w:tcBorders>
              <w:top w:val="none" w:color="FFFFFF" w:sz="0"/>
              <w:left w:val="none" w:color="FFFFFF" w:sz="0"/>
              <w:bottom w:val="none" w:color="FFFFFF" w:sz="0"/>
              <w:right w:val="none" w:color="FFFFFF" w:sz="0"/>
            </w:tcBorders>
            <w:shd w:fill="0D1A0D" w:val="clear"/>
            <w:tcMar>
              <w:top w:type="dxa" w:w="160"/>
              <w:left w:type="dxa" w:w="200"/>
              <w:bottom w:type="dxa" w:w="160"/>
              <w:right w:type="dxa" w:w="200"/>
            </w:tcMar>
          </w:tcPr>
          <w:p>
            <w:pPr>
              <w:spacing w:after="40" w:before="0"/>
            </w:pPr>
            <w:r>
              <w:rPr>
                <w:rFonts w:ascii="Arial" w:cs="Arial" w:eastAsia="Arial" w:hAnsi="Arial"/>
                <w:color w:val="AAAAAA"/>
                <w:sz w:val="18"/>
                <w:szCs w:val="18"/>
              </w:rPr>
              <w:t xml:space="preserve">Audience</w:t>
            </w:r>
          </w:p>
          <w:p>
            <w:pPr>
              <w:spacing w:after="0" w:before="0"/>
            </w:pPr>
            <w:r>
              <w:rPr>
                <w:rFonts w:ascii="Arial" w:cs="Arial" w:eastAsia="Arial" w:hAnsi="Arial"/>
                <w:b/>
                <w:bCs/>
                <w:color w:val="FFFFFF"/>
                <w:sz w:val="22"/>
                <w:szCs w:val="22"/>
              </w:rPr>
              <w:t xml:space="preserve">Jon Eustace — keep with Command Centre files</w:t>
            </w:r>
          </w:p>
        </w:tc>
      </w:tr>
    </w:tbl>
    <w:p>
      <w:pPr>
        <w:spacing w:after="0" w:before="400"/>
      </w:pPr>
      <w:r>
        <w:t xml:space="preserve"/>
      </w:r>
    </w:p>
    <w:p>
      <w:pPr>
        <w:spacing w:after="80" w:before="0"/>
      </w:pPr>
      <w:r>
        <w:rPr>
          <w:rFonts w:ascii="Arial" w:cs="Arial" w:eastAsia="Arial" w:hAnsi="Arial"/>
          <w:b/>
          <w:bCs/>
          <w:color w:val="161C60"/>
          <w:sz w:val="22"/>
          <w:szCs w:val="22"/>
        </w:rPr>
        <w:t xml:space="preserve">What this guide covers:  </w:t>
      </w:r>
      <w:r>
        <w:rPr>
          <w:rFonts w:ascii="Arial" w:cs="Arial" w:eastAsia="Arial" w:hAnsi="Arial"/>
          <w:color w:val="384660"/>
          <w:sz w:val="22"/>
          <w:szCs w:val="22"/>
        </w:rPr>
        <w:t xml:space="preserve">The BU Services Command Centre is a single HTML portal that connects all 11 plan documents, tracks initiative progress, displays gate milestones and risk status, and generates the weekly email digest for Eurazeo. This guide explains how to open it, how to update it when data changes, how to add it to SharePoint or Teams, and how to use each of the 11 associated documents.</w:t>
      </w:r>
    </w:p>
    <w:p>
      <w:pPr>
        <w:spacing w:after="0" w:before="80"/>
      </w:pPr>
      <w:r>
        <w:t xml:space="preserve"/>
      </w:r>
    </w:p>
    <w:p>
      <w:pPr>
        <w:pStyle w:val="Heading1"/>
        <w:spacing w:after="160" w:before="480"/>
      </w:pPr>
      <w:r>
        <w:rPr>
          <w:rFonts w:ascii="Arial" w:cs="Arial" w:eastAsia="Arial" w:hAnsi="Arial"/>
          <w:color w:val="161C60"/>
        </w:rPr>
        <w:t xml:space="preserve">1.  The File Structure — What Goes Where</w:t>
      </w:r>
    </w:p>
    <w:p>
      <w:pPr>
        <w:pBdr>
          <w:bottom w:val="single" w:color="DDE3F0" w:sz="6" w:space="1"/>
        </w:pBdr>
        <w:spacing w:after="0" w:before="0"/>
      </w:pPr>
      <w:r>
        <w:t xml:space="preserve"/>
      </w:r>
    </w:p>
    <w:p>
      <w:pPr>
        <w:spacing w:after="0" w:before="80"/>
      </w:pPr>
      <w:r>
        <w:t xml:space="preserve"/>
      </w:r>
    </w:p>
    <w:p>
      <w:pPr>
        <w:spacing w:after="120" w:before="0"/>
      </w:pPr>
      <w:r>
        <w:rPr>
          <w:rFonts w:ascii="Arial" w:cs="Arial" w:eastAsia="Arial" w:hAnsi="Arial"/>
          <w:color w:val="384660"/>
          <w:sz w:val="22"/>
          <w:szCs w:val="22"/>
        </w:rPr>
        <w:t xml:space="preserve">All files must stay in the same folder. The Command Centre uses relative links — if the files are separated, the document links and the email digest links will break. The structure is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File</w:t>
            </w:r>
          </w:p>
        </w:tc>
        <w:tc>
          <w:tcPr>
            <w:tcW w:type="dxa" w:w="16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Type</w:t>
            </w:r>
          </w:p>
        </w:tc>
        <w:tc>
          <w:tcPr>
            <w:tcW w:type="dxa" w:w="4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Purpose</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BU_Services_Command_Centre.html</w:t>
            </w:r>
          </w:p>
        </w:tc>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Portal</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The main hub — open this first</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Master_Commercial_Plan_v8.html</w:t>
            </w:r>
          </w:p>
        </w:tc>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Master plan — Internal (full)</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Master_Commercial_Plan_v8_External.html</w:t>
            </w:r>
          </w:p>
        </w:tc>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Master plan — External (numbered employees)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Master_Commercial_Plan_v8_NoStage2.html</w:t>
            </w:r>
          </w:p>
        </w:tc>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Master plan — No Stage 2 (broader distribution)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Execution_Attack_Plan_v1.html</w:t>
            </w:r>
          </w:p>
        </w:tc>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Full execution plan — sprint tables, risks, contingencies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NDT_Mining_Commercial_Plan_v4.html</w:t>
            </w:r>
          </w:p>
        </w:tc>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Mining NDT initiative plan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PI_Commercial_Plan_v2.html</w:t>
            </w:r>
          </w:p>
        </w:tc>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Pipeline DA initiative plan</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Powerline_Commercial_Plan.html</w:t>
            </w:r>
          </w:p>
        </w:tc>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Powerline inspection initiative plan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Nuclear_OPG_Commercial_Plan_v2.html</w:t>
            </w:r>
          </w:p>
        </w:tc>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Nuclear / OPG initiative plan</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3X_Composite_Repair_Commercial_Plan.html</w:t>
            </w:r>
          </w:p>
        </w:tc>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3X Composite Repair initiative plan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BU_Services_Meeting_Schedule.html</w:t>
            </w:r>
          </w:p>
        </w:tc>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HTML Doc</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All 7 recurring meetings with Teams invite buttons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BU_Services_Review_Comments.xlsx</w:t>
            </w:r>
          </w:p>
        </w:tc>
        <w:tc>
          <w:tcPr>
            <w:tcW w:type="dxa" w:w="1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Excel</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Review and comments tracker for collecting feedback</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Courier New" w:cs="Courier New" w:eastAsia="Courier New" w:hAnsi="Courier New"/>
                <w:color w:val="161C60"/>
                <w:sz w:val="18"/>
                <w:szCs w:val="18"/>
              </w:rPr>
              <w:t xml:space="preserve">consolidate_reviews.py</w:t>
            </w:r>
          </w:p>
        </w:tc>
        <w:tc>
          <w:tcPr>
            <w:tcW w:type="dxa" w:w="1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Script</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color w:val="384660"/>
                <w:sz w:val="21"/>
                <w:szCs w:val="21"/>
              </w:rPr>
              <w:t xml:space="preserve">Merges multiple reviewer Excel files into one master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7132" w:sz="4"/>
              <w:left w:val="none" w:color="FFFFFF" w:sz="0"/>
              <w:bottom w:val="none" w:color="FFFFFF" w:sz="0"/>
              <w:right w:val="none" w:color="FFFFFF" w:sz="0"/>
            </w:tcBorders>
            <w:shd w:fill="FFF3EC" w:val="clear"/>
            <w:tcMar>
              <w:top w:type="dxa" w:w="120"/>
              <w:left w:type="dxa" w:w="180"/>
              <w:bottom w:type="dxa" w:w="20"/>
              <w:right w:type="dxa" w:w="120"/>
            </w:tcMar>
          </w:tcPr>
          <w:p>
            <w:pPr>
              <w:spacing w:after="0" w:before="0"/>
            </w:pPr>
            <w:r>
              <w:rPr>
                <w:rFonts w:ascii="Arial" w:cs="Arial" w:eastAsia="Arial" w:hAnsi="Arial"/>
                <w:b/>
                <w:bCs/>
                <w:color w:val="E97132"/>
                <w:sz w:val="20"/>
                <w:szCs w:val="20"/>
              </w:rPr>
              <w:t xml:space="preserve">IMPORTANT — Keep everything in one folder</w:t>
            </w:r>
          </w:p>
        </w:tc>
      </w:tr>
      <w:tr>
        <w:tc>
          <w:tcPr>
            <w:tcW w:type="dxa" w:w="9360"/>
            <w:tcBorders>
              <w:top w:val="none" w:color="FFFFFF" w:sz="0"/>
              <w:left w:val="none" w:color="FFFFFF" w:sz="0"/>
              <w:bottom w:val="single" w:color="E97132" w:sz="4"/>
              <w:right w:val="none" w:color="FFFFFF" w:sz="0"/>
            </w:tcBorders>
            <w:shd w:fill="FFF3EC" w:val="clear"/>
            <w:tcMar>
              <w:top w:type="dxa" w:w="20"/>
              <w:left w:type="dxa" w:w="180"/>
              <w:bottom w:type="dxa" w:w="120"/>
              <w:right w:type="dxa" w:w="120"/>
            </w:tcMar>
          </w:tcPr>
          <w:p>
            <w:pPr>
              <w:spacing w:after="0" w:before="0"/>
            </w:pPr>
            <w:r>
              <w:rPr>
                <w:rFonts w:ascii="Arial" w:cs="Arial" w:eastAsia="Arial" w:hAnsi="Arial"/>
                <w:color w:val="384660"/>
                <w:sz w:val="21"/>
                <w:szCs w:val="21"/>
              </w:rPr>
              <w:t xml:space="preserve">The Command Centre uses relative paths. All 13 files above must be in the same folder on your computer, SharePoint, or server. If you move any file out of the folder, the links will break.</w:t>
            </w:r>
          </w:p>
        </w:tc>
      </w:tr>
    </w:tbl>
    <w:p>
      <w:pPr>
        <w:pStyle w:val="Heading1"/>
        <w:spacing w:after="160" w:before="480"/>
      </w:pPr>
      <w:r>
        <w:rPr>
          <w:rFonts w:ascii="Arial" w:cs="Arial" w:eastAsia="Arial" w:hAnsi="Arial"/>
          <w:color w:val="161C60"/>
        </w:rPr>
        <w:t xml:space="preserve">2.  Opening the Command Centre</w:t>
      </w:r>
    </w:p>
    <w:p>
      <w:pPr>
        <w:pBdr>
          <w:bottom w:val="single" w:color="DDE3F0" w:sz="6" w:space="1"/>
        </w:pBdr>
        <w:spacing w:after="0" w:before="0"/>
      </w:pPr>
      <w:r>
        <w:t xml:space="preserve"/>
      </w:r>
    </w:p>
    <w:p>
      <w:pPr>
        <w:spacing w:after="0" w:before="80"/>
      </w:pPr>
      <w:r>
        <w:t xml:space="preserve"/>
      </w:r>
    </w:p>
    <w:p>
      <w:pPr>
        <w:pStyle w:val="Heading2"/>
        <w:spacing w:after="120" w:before="320"/>
      </w:pPr>
      <w:r>
        <w:rPr>
          <w:rFonts w:ascii="Arial" w:cs="Arial" w:eastAsia="Arial" w:hAnsi="Arial"/>
          <w:color w:val="161C60"/>
        </w:rPr>
        <w:t xml:space="preserve">From your computer (local files)</w:t>
      </w:r>
    </w:p>
    <w:p>
      <w:pPr>
        <w:spacing w:after="100" w:before="0"/>
      </w:pPr>
      <w:r>
        <w:rPr>
          <w:rFonts w:ascii="Arial" w:cs="Arial" w:eastAsia="Arial" w:hAnsi="Arial"/>
          <w:color w:val="384660"/>
          <w:sz w:val="22"/>
          <w:szCs w:val="22"/>
        </w:rPr>
        <w:t xml:space="preserve">Double-click </w:t>
      </w:r>
      <w:r>
        <w:rPr>
          <w:rFonts w:ascii="Courier New" w:cs="Courier New" w:eastAsia="Courier New" w:hAnsi="Courier New"/>
          <w:color w:val="161C60"/>
          <w:sz w:val="20"/>
          <w:szCs w:val="20"/>
        </w:rPr>
        <w:t xml:space="preserve">BU_Services_Command_Centre.html</w:t>
      </w:r>
      <w:r>
        <w:rPr>
          <w:rFonts w:ascii="Arial" w:cs="Arial" w:eastAsia="Arial" w:hAnsi="Arial"/>
          <w:color w:val="384660"/>
          <w:sz w:val="22"/>
          <w:szCs w:val="22"/>
        </w:rPr>
        <w:t xml:space="preserve"> — it opens in your default browser. Chrome or Edge recommended. All 6 sections are immediately visible: Overview, Initiatives, Gates, Risks, Documents, and Email Digest.</w:t>
      </w:r>
    </w:p>
    <w:p>
      <w:pPr>
        <w:spacing w:after="0" w:before="80"/>
      </w:pPr>
      <w:r>
        <w:t xml:space="preserve"/>
      </w:r>
    </w:p>
    <w:p>
      <w:pPr>
        <w:pStyle w:val="Heading2"/>
        <w:spacing w:after="120" w:before="320"/>
      </w:pPr>
      <w:r>
        <w:rPr>
          <w:rFonts w:ascii="Arial" w:cs="Arial" w:eastAsia="Arial" w:hAnsi="Arial"/>
          <w:color w:val="161C60"/>
        </w:rPr>
        <w:t xml:space="preserve">From SharePoint (recommended for team access)</w:t>
      </w:r>
    </w:p>
    <w:p>
      <w:pPr>
        <w:spacing w:after="100" w:before="0"/>
      </w:pPr>
      <w:r>
        <w:rPr>
          <w:rFonts w:ascii="Arial" w:cs="Arial" w:eastAsia="Arial" w:hAnsi="Arial"/>
          <w:color w:val="384660"/>
          <w:sz w:val="22"/>
          <w:szCs w:val="22"/>
        </w:rPr>
        <w:t xml:space="preserve">Upload the entire folder to a SharePoint document library. Right-click </w:t>
      </w:r>
      <w:r>
        <w:rPr>
          <w:rFonts w:ascii="Courier New" w:cs="Courier New" w:eastAsia="Courier New" w:hAnsi="Courier New"/>
          <w:color w:val="161C60"/>
          <w:sz w:val="20"/>
          <w:szCs w:val="20"/>
        </w:rPr>
        <w:t xml:space="preserve">BU_Services_Command_Centre.html</w:t>
      </w:r>
      <w:r>
        <w:rPr>
          <w:rFonts w:ascii="Arial" w:cs="Arial" w:eastAsia="Arial" w:hAnsi="Arial"/>
          <w:color w:val="384660"/>
          <w:sz w:val="22"/>
          <w:szCs w:val="22"/>
        </w:rPr>
        <w:t xml:space="preserve"> → Share → Copy link. Anyone with the link can open it in their browser and all 11 document links will work, provided the files are in the same library.</w:t>
      </w:r>
    </w:p>
    <w:p>
      <w:pPr>
        <w:spacing w:after="0" w:before="80"/>
      </w:pPr>
      <w:r>
        <w:t xml:space="preserve"/>
      </w:r>
    </w:p>
    <w:p>
      <w:pPr>
        <w:pStyle w:val="Heading2"/>
        <w:spacing w:after="120" w:before="320"/>
      </w:pPr>
      <w:r>
        <w:rPr>
          <w:rFonts w:ascii="Arial" w:cs="Arial" w:eastAsia="Arial" w:hAnsi="Arial"/>
          <w:color w:val="161C60"/>
        </w:rPr>
        <w:t xml:space="preserve">As a Microsoft Teams tab</w:t>
      </w:r>
    </w:p>
    <w:p>
      <w:pPr>
        <w:pStyle w:val="ListParagraph"/>
        <w:numPr>
          <w:ilvl w:val="0"/>
          <w:numId w:val="2"/>
        </w:numPr>
        <w:spacing w:after="60" w:before="60"/>
      </w:pPr>
      <w:r>
        <w:rPr>
          <w:rFonts w:ascii="Arial" w:cs="Arial" w:eastAsia="Arial" w:hAnsi="Arial"/>
          <w:color w:val="384660"/>
          <w:sz w:val="22"/>
          <w:szCs w:val="22"/>
        </w:rPr>
        <w:t xml:space="preserve">Upload the folder to a SharePoint library connected to your Teams channel</w:t>
      </w:r>
    </w:p>
    <w:p>
      <w:pPr>
        <w:pStyle w:val="ListParagraph"/>
        <w:numPr>
          <w:ilvl w:val="0"/>
          <w:numId w:val="2"/>
        </w:numPr>
        <w:spacing w:after="60" w:before="60"/>
      </w:pPr>
      <w:r>
        <w:rPr>
          <w:rFonts w:ascii="Arial" w:cs="Arial" w:eastAsia="Arial" w:hAnsi="Arial"/>
          <w:color w:val="384660"/>
          <w:sz w:val="22"/>
          <w:szCs w:val="22"/>
        </w:rPr>
        <w:t xml:space="preserve">In Teams, go to the channel → click the + tab button at the top</w:t>
      </w:r>
    </w:p>
    <w:p>
      <w:pPr>
        <w:pStyle w:val="ListParagraph"/>
        <w:numPr>
          <w:ilvl w:val="0"/>
          <w:numId w:val="2"/>
        </w:numPr>
        <w:spacing w:after="60" w:before="60"/>
      </w:pPr>
      <w:r>
        <w:rPr>
          <w:rFonts w:ascii="Arial" w:cs="Arial" w:eastAsia="Arial" w:hAnsi="Arial"/>
          <w:color w:val="384660"/>
          <w:sz w:val="22"/>
          <w:szCs w:val="22"/>
        </w:rPr>
        <w:t xml:space="preserve">Select "Website" from the tab options</w:t>
      </w:r>
    </w:p>
    <w:p>
      <w:pPr>
        <w:pStyle w:val="ListParagraph"/>
        <w:numPr>
          <w:ilvl w:val="0"/>
          <w:numId w:val="2"/>
        </w:numPr>
        <w:spacing w:after="60" w:before="60"/>
      </w:pPr>
      <w:r>
        <w:rPr>
          <w:rFonts w:ascii="Arial" w:cs="Arial" w:eastAsia="Arial" w:hAnsi="Arial"/>
          <w:color w:val="384660"/>
          <w:sz w:val="22"/>
          <w:szCs w:val="22"/>
        </w:rPr>
        <w:t xml:space="preserve">Paste the SharePoint URL of the Command Centre HTML file</w:t>
      </w:r>
    </w:p>
    <w:p>
      <w:pPr>
        <w:pStyle w:val="ListParagraph"/>
        <w:numPr>
          <w:ilvl w:val="0"/>
          <w:numId w:val="2"/>
        </w:numPr>
        <w:spacing w:after="60" w:before="60"/>
      </w:pPr>
      <w:r>
        <w:rPr>
          <w:rFonts w:ascii="Arial" w:cs="Arial" w:eastAsia="Arial" w:hAnsi="Arial"/>
          <w:color w:val="384660"/>
          <w:sz w:val="22"/>
          <w:szCs w:val="22"/>
        </w:rPr>
        <w:t xml:space="preserve">Name the tab "BU Services Command Centre" — it will appear pinned at the top of the channel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4"/>
              <w:left w:val="none" w:color="FFFFFF" w:sz="0"/>
              <w:bottom w:val="none" w:color="FFFFFF" w:sz="0"/>
              <w:right w:val="none" w:color="FFFFFF" w:sz="0"/>
            </w:tcBorders>
            <w:shd w:fill="E8F4FD" w:val="clear"/>
            <w:tcMar>
              <w:top w:type="dxa" w:w="120"/>
              <w:left w:type="dxa" w:w="180"/>
              <w:bottom w:type="dxa" w:w="20"/>
              <w:right w:type="dxa" w:w="120"/>
            </w:tcMar>
          </w:tcPr>
          <w:p>
            <w:pPr>
              <w:spacing w:after="0" w:before="0"/>
            </w:pPr>
            <w:r>
              <w:rPr>
                <w:rFonts w:ascii="Arial" w:cs="Arial" w:eastAsia="Arial" w:hAnsi="Arial"/>
                <w:b/>
                <w:bCs/>
                <w:color w:val="1A3A6B"/>
                <w:sz w:val="20"/>
                <w:szCs w:val="20"/>
              </w:rPr>
              <w:t xml:space="preserve">Note — Internet connection</w:t>
            </w:r>
          </w:p>
        </w:tc>
      </w:tr>
      <w:tr>
        <w:tc>
          <w:tcPr>
            <w:tcW w:type="dxa" w:w="9360"/>
            <w:tcBorders>
              <w:top w:val="none" w:color="FFFFFF" w:sz="0"/>
              <w:left w:val="none" w:color="FFFFFF" w:sz="0"/>
              <w:bottom w:val="single" w:color="1A3A6B" w:sz="4"/>
              <w:right w:val="none" w:color="FFFFFF" w:sz="0"/>
            </w:tcBorders>
            <w:shd w:fill="E8F4FD" w:val="clear"/>
            <w:tcMar>
              <w:top w:type="dxa" w:w="20"/>
              <w:left w:type="dxa" w:w="180"/>
              <w:bottom w:type="dxa" w:w="120"/>
              <w:right w:type="dxa" w:w="120"/>
            </w:tcMar>
          </w:tcPr>
          <w:p>
            <w:pPr>
              <w:spacing w:after="0" w:before="0"/>
            </w:pPr>
            <w:r>
              <w:rPr>
                <w:rFonts w:ascii="Arial" w:cs="Arial" w:eastAsia="Arial" w:hAnsi="Arial"/>
                <w:color w:val="384660"/>
                <w:sz w:val="21"/>
                <w:szCs w:val="21"/>
              </w:rPr>
              <w:t xml:space="preserve">The Command Centre needs an internet connection once when it first loads to download the Barlow and IBM Plex Mono fonts from Google Fonts. After that, fonts are cached and it works offline. All document links are local and work without internet.</w:t>
            </w:r>
          </w:p>
        </w:tc>
      </w:tr>
    </w:tbl>
    <w:p>
      <w:pPr>
        <w:pStyle w:val="Heading1"/>
        <w:spacing w:after="160" w:before="480"/>
      </w:pPr>
      <w:r>
        <w:rPr>
          <w:rFonts w:ascii="Arial" w:cs="Arial" w:eastAsia="Arial" w:hAnsi="Arial"/>
          <w:color w:val="161C60"/>
        </w:rPr>
        <w:t xml:space="preserve">3.  Updating the Command Centre</w:t>
      </w:r>
    </w:p>
    <w:p>
      <w:pPr>
        <w:pBdr>
          <w:bottom w:val="single" w:color="DDE3F0" w:sz="6" w:space="1"/>
        </w:pBdr>
        <w:spacing w:after="0" w:before="0"/>
      </w:pPr>
      <w:r>
        <w:t xml:space="preserve"/>
      </w:r>
    </w:p>
    <w:p>
      <w:pPr>
        <w:spacing w:after="0" w:before="80"/>
      </w:pPr>
      <w:r>
        <w:t xml:space="preserve"/>
      </w:r>
    </w:p>
    <w:p>
      <w:pPr>
        <w:spacing w:after="120" w:before="0"/>
      </w:pPr>
      <w:r>
        <w:rPr>
          <w:rFonts w:ascii="Arial" w:cs="Arial" w:eastAsia="Arial" w:hAnsi="Arial"/>
          <w:color w:val="384660"/>
          <w:sz w:val="22"/>
          <w:szCs w:val="22"/>
        </w:rPr>
        <w:t xml:space="preserve">Everything on the portal — every number, status dot, and name — comes from a single CONFIG block at the very top of the HTML file. You never need to touch the design or code. Open the file in any text editor (Notepad, VS Code, Notepad++) and edit the CONFIG values.</w:t>
      </w:r>
    </w:p>
    <w:p>
      <w:pPr>
        <w:pStyle w:val="Heading2"/>
        <w:spacing w:after="120" w:before="320"/>
      </w:pPr>
      <w:r>
        <w:rPr>
          <w:rFonts w:ascii="Arial" w:cs="Arial" w:eastAsia="Arial" w:hAnsi="Arial"/>
          <w:color w:val="161C60"/>
        </w:rPr>
        <w:t xml:space="preserve">Step-by-step: updating a value</w:t>
      </w:r>
    </w:p>
    <w:p>
      <w:pPr>
        <w:pStyle w:val="ListParagraph"/>
        <w:numPr>
          <w:ilvl w:val="0"/>
          <w:numId w:val="2"/>
        </w:numPr>
        <w:spacing w:after="60" w:before="60"/>
      </w:pPr>
      <w:r>
        <w:rPr>
          <w:rFonts w:ascii="Arial" w:cs="Arial" w:eastAsia="Arial" w:hAnsi="Arial"/>
          <w:color w:val="384660"/>
          <w:sz w:val="22"/>
          <w:szCs w:val="22"/>
        </w:rPr>
        <w:t xml:space="preserve">Right-click </w:t>
      </w:r>
      <w:r>
        <w:rPr>
          <w:rFonts w:ascii="Courier New" w:cs="Courier New" w:eastAsia="Courier New" w:hAnsi="Courier New"/>
          <w:color w:val="161C60"/>
          <w:sz w:val="20"/>
          <w:szCs w:val="20"/>
        </w:rPr>
        <w:t xml:space="preserve">BU_Services_Command_Centre.html</w:t>
      </w:r>
      <w:r>
        <w:rPr>
          <w:rFonts w:ascii="Arial" w:cs="Arial" w:eastAsia="Arial" w:hAnsi="Arial"/>
          <w:color w:val="384660"/>
          <w:sz w:val="22"/>
          <w:szCs w:val="22"/>
        </w:rPr>
        <w:t xml:space="preserve"> → Open with → Notepad (or VS Code)</w:t>
      </w:r>
    </w:p>
    <w:p>
      <w:pPr>
        <w:pStyle w:val="ListParagraph"/>
        <w:numPr>
          <w:ilvl w:val="0"/>
          <w:numId w:val="2"/>
        </w:numPr>
        <w:spacing w:after="60" w:before="60"/>
      </w:pPr>
      <w:r>
        <w:rPr>
          <w:rFonts w:ascii="Arial" w:cs="Arial" w:eastAsia="Arial" w:hAnsi="Arial"/>
          <w:color w:val="384660"/>
          <w:sz w:val="22"/>
          <w:szCs w:val="22"/>
        </w:rPr>
        <w:t xml:space="preserve">Press Ctrl+F and search for </w:t>
      </w:r>
      <w:r>
        <w:rPr>
          <w:rFonts w:ascii="Courier New" w:cs="Courier New" w:eastAsia="Courier New" w:hAnsi="Courier New"/>
          <w:color w:val="161C60"/>
          <w:sz w:val="20"/>
          <w:szCs w:val="20"/>
        </w:rPr>
        <w:t xml:space="preserve">CONFIG</w:t>
      </w:r>
      <w:r>
        <w:rPr>
          <w:rFonts w:ascii="Arial" w:cs="Arial" w:eastAsia="Arial" w:hAnsi="Arial"/>
          <w:color w:val="384660"/>
          <w:sz w:val="22"/>
          <w:szCs w:val="22"/>
        </w:rPr>
        <w:t xml:space="preserve"> — it is the very first block of code</w:t>
      </w:r>
    </w:p>
    <w:p>
      <w:pPr>
        <w:pStyle w:val="ListParagraph"/>
        <w:numPr>
          <w:ilvl w:val="0"/>
          <w:numId w:val="2"/>
        </w:numPr>
        <w:spacing w:after="60" w:before="60"/>
      </w:pPr>
      <w:r>
        <w:rPr>
          <w:rFonts w:ascii="Arial" w:cs="Arial" w:eastAsia="Arial" w:hAnsi="Arial"/>
          <w:color w:val="384660"/>
          <w:sz w:val="22"/>
          <w:szCs w:val="22"/>
        </w:rPr>
        <w:t xml:space="preserve">Find the value you want to change (see the reference table below)</w:t>
      </w:r>
    </w:p>
    <w:p>
      <w:pPr>
        <w:pStyle w:val="ListParagraph"/>
        <w:numPr>
          <w:ilvl w:val="0"/>
          <w:numId w:val="2"/>
        </w:numPr>
        <w:spacing w:after="60" w:before="60"/>
      </w:pPr>
      <w:r>
        <w:rPr>
          <w:rFonts w:ascii="Arial" w:cs="Arial" w:eastAsia="Arial" w:hAnsi="Arial"/>
          <w:color w:val="384660"/>
          <w:sz w:val="22"/>
          <w:szCs w:val="22"/>
        </w:rPr>
        <w:t xml:space="preserve">Edit the number, label, or status — stay within the quote marks</w:t>
      </w:r>
    </w:p>
    <w:p>
      <w:pPr>
        <w:pStyle w:val="ListParagraph"/>
        <w:numPr>
          <w:ilvl w:val="0"/>
          <w:numId w:val="2"/>
        </w:numPr>
        <w:spacing w:after="60" w:before="60"/>
      </w:pPr>
      <w:r>
        <w:rPr>
          <w:rFonts w:ascii="Arial" w:cs="Arial" w:eastAsia="Arial" w:hAnsi="Arial"/>
          <w:color w:val="384660"/>
          <w:sz w:val="22"/>
          <w:szCs w:val="22"/>
        </w:rPr>
        <w:t xml:space="preserve">Save the file (Ctrl+S)</w:t>
      </w:r>
    </w:p>
    <w:p>
      <w:pPr>
        <w:pStyle w:val="ListParagraph"/>
        <w:numPr>
          <w:ilvl w:val="0"/>
          <w:numId w:val="2"/>
        </w:numPr>
        <w:spacing w:after="60" w:before="60"/>
      </w:pPr>
      <w:r>
        <w:rPr>
          <w:rFonts w:ascii="Arial" w:cs="Arial" w:eastAsia="Arial" w:hAnsi="Arial"/>
          <w:color w:val="384660"/>
          <w:sz w:val="22"/>
          <w:szCs w:val="22"/>
        </w:rPr>
        <w:t xml:space="preserve">Refresh the browser — the portal updates instantly. No build step, no server restart.</w:t>
      </w:r>
    </w:p>
    <w:p>
      <w:pPr>
        <w:spacing w:after="0" w:before="120"/>
      </w:pPr>
      <w:r>
        <w:t xml:space="preserve"/>
      </w:r>
    </w:p>
    <w:p>
      <w:pPr>
        <w:pStyle w:val="Heading2"/>
        <w:spacing w:after="120" w:before="320"/>
      </w:pPr>
      <w:r>
        <w:rPr>
          <w:rFonts w:ascii="Arial" w:cs="Arial" w:eastAsia="Arial" w:hAnsi="Arial"/>
          <w:color w:val="161C60"/>
        </w:rPr>
        <w:t xml:space="preserve">What to update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When</w:t>
            </w:r>
          </w:p>
        </w:tc>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What to change</w:t>
            </w:r>
          </w:p>
        </w:tc>
        <w:tc>
          <w:tcPr>
            <w:tcW w:type="dxa" w:w="43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How</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Monthly — revenue actuals in</w:t>
            </w:r>
          </w:p>
        </w:tc>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actual2026 for each initiative</w:t>
            </w:r>
          </w:p>
        </w:tc>
        <w:tc>
          <w:tcPr>
            <w:tcW w:type="dxa" w:w="4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Change the number, e.g. 0.36</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Gate hit or completed</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status in the gates array</w:t>
            </w:r>
          </w:p>
        </w:tc>
        <w:tc>
          <w:tcPr>
            <w:tcW w:type="dxa" w:w="4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Change "amber" to "green"</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Risk triggered</w:t>
            </w:r>
          </w:p>
        </w:tc>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status in the risks array</w:t>
            </w:r>
          </w:p>
        </w:tc>
        <w:tc>
          <w:tcPr>
            <w:tcW w:type="dxa" w:w="4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Change "monitoring" to "triggered"</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Risk resolved</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status in the risks array</w:t>
            </w:r>
          </w:p>
        </w:tc>
        <w:tc>
          <w:tcPr>
            <w:tcW w:type="dxa" w:w="4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Change to "resolved"</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New version of a document</w:t>
            </w:r>
          </w:p>
        </w:tc>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version in the documents array</w:t>
            </w:r>
          </w:p>
        </w:tc>
        <w:tc>
          <w:tcPr>
            <w:tcW w:type="dxa" w:w="4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Change "v2.0" to "v3.0"</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Ownership change</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owner field in the initiatives array</w:t>
            </w:r>
          </w:p>
        </w:tc>
        <w:tc>
          <w:tcPr>
            <w:tcW w:type="dxa" w:w="4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Update the name(s)</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Plan updated</w:t>
            </w:r>
          </w:p>
        </w:tc>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lastUpdated and updatedBy at the top</w:t>
            </w:r>
          </w:p>
        </w:tc>
        <w:tc>
          <w:tcPr>
            <w:tcW w:type="dxa" w:w="4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Enter new date and your name</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Initiative status change</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status in the initiatives array</w:t>
            </w:r>
          </w:p>
        </w:tc>
        <w:tc>
          <w:tcPr>
            <w:tcW w:type="dxa" w:w="4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active, at-risk, gate, or complete</w:t>
            </w:r>
          </w:p>
        </w:tc>
      </w:tr>
    </w:tbl>
    <w:p>
      <w:pPr>
        <w:spacing w:after="0" w:before="120"/>
      </w:pPr>
      <w:r>
        <w:t xml:space="preserve"/>
      </w:r>
    </w:p>
    <w:p>
      <w:pPr>
        <w:pStyle w:val="Heading2"/>
        <w:spacing w:after="120" w:before="320"/>
      </w:pPr>
      <w:r>
        <w:rPr>
          <w:rFonts w:ascii="Arial" w:cs="Arial" w:eastAsia="Arial" w:hAnsi="Arial"/>
          <w:color w:val="161C60"/>
        </w:rPr>
        <w:t xml:space="preserve">Status values — exact text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Gate status value</w:t>
            </w:r>
          </w:p>
        </w:tc>
        <w:tc>
          <w:tcPr>
            <w:tcW w:type="dxa" w:w="63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What it shows on the portal</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"green"</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Filled green dot — milestone complete</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"amber"</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Amber dot — in progress or at risk</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"grey"</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Grey dot — upcoming, not yet started</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"red"</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Red dot — overdue or blocked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Initiative status value</w:t>
            </w:r>
          </w:p>
        </w:tc>
        <w:tc>
          <w:tcPr>
            <w:tcW w:type="dxa" w:w="63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What it shows on the portal</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"active"</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Green chip — On Track</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"at-risk"</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Red chip — At Risk</w:t>
            </w:r>
          </w:p>
        </w:tc>
      </w:tr>
      <w:tr>
        <w:tc>
          <w:tcPr>
            <w:tcW w:type="dxa" w:w="3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"gate"</w:t>
            </w:r>
          </w:p>
        </w:tc>
        <w:tc>
          <w:tcPr>
            <w:tcW w:type="dxa" w:w="63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Amber chip — Gate decision pending</w:t>
            </w:r>
          </w:p>
        </w:tc>
      </w:tr>
      <w:tr>
        <w:tc>
          <w:tcPr>
            <w:tcW w:type="dxa" w:w="3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"complete"</w:t>
            </w:r>
          </w:p>
        </w:tc>
        <w:tc>
          <w:tcPr>
            <w:tcW w:type="dxa" w:w="6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Green chip — Complete</w:t>
            </w:r>
          </w:p>
        </w:tc>
      </w:tr>
    </w:tbl>
    <w:p>
      <w:pPr>
        <w:pStyle w:val="Heading1"/>
        <w:spacing w:after="160" w:before="480"/>
      </w:pPr>
      <w:r>
        <w:rPr>
          <w:rFonts w:ascii="Arial" w:cs="Arial" w:eastAsia="Arial" w:hAnsi="Arial"/>
          <w:color w:val="161C60"/>
        </w:rPr>
        <w:t xml:space="preserve">4.  The Weekly Email Digest</w:t>
      </w:r>
    </w:p>
    <w:p>
      <w:pPr>
        <w:pBdr>
          <w:bottom w:val="single" w:color="DDE3F0" w:sz="6" w:space="1"/>
        </w:pBdr>
        <w:spacing w:after="0" w:before="0"/>
      </w:pPr>
      <w:r>
        <w:t xml:space="preserve"/>
      </w:r>
    </w:p>
    <w:p>
      <w:pPr>
        <w:spacing w:after="0" w:before="80"/>
      </w:pPr>
      <w:r>
        <w:t xml:space="preserve"/>
      </w:r>
    </w:p>
    <w:p>
      <w:pPr>
        <w:spacing w:after="100" w:before="0"/>
      </w:pPr>
      <w:r>
        <w:rPr>
          <w:rFonts w:ascii="Arial" w:cs="Arial" w:eastAsia="Arial" w:hAnsi="Arial"/>
          <w:color w:val="384660"/>
          <w:sz w:val="22"/>
          <w:szCs w:val="22"/>
        </w:rPr>
        <w:t xml:space="preserve">The Email Digest section at the bottom of the Command Centre auto-generates a formatted HTML email from the live CONFIG data — the same numbers, gate statuses, and risk flags that power the portal. It is designed to be sent every Monday morning before the 9AM Commercial Leadership meeting.</w:t>
      </w:r>
    </w:p>
    <w:p>
      <w:pPr>
        <w:spacing w:after="0" w:before="80"/>
      </w:pPr>
      <w:r>
        <w:t xml:space="preserve"/>
      </w:r>
    </w:p>
    <w:p>
      <w:pPr>
        <w:pStyle w:val="Heading2"/>
        <w:spacing w:after="120" w:before="320"/>
      </w:pPr>
      <w:r>
        <w:rPr>
          <w:rFonts w:ascii="Arial" w:cs="Arial" w:eastAsia="Arial" w:hAnsi="Arial"/>
          <w:color w:val="161C60"/>
        </w:rPr>
        <w:t xml:space="preserve">Sending the digest via Outlook / Office 365</w:t>
      </w:r>
    </w:p>
    <w:p>
      <w:pPr>
        <w:pStyle w:val="ListParagraph"/>
        <w:numPr>
          <w:ilvl w:val="0"/>
          <w:numId w:val="2"/>
        </w:numPr>
        <w:spacing w:after="80" w:before="80"/>
      </w:pPr>
      <w:r>
        <w:rPr>
          <w:rFonts w:ascii="Arial" w:cs="Arial" w:eastAsia="Arial" w:hAnsi="Arial"/>
          <w:color w:val="384660"/>
          <w:sz w:val="22"/>
          <w:szCs w:val="22"/>
        </w:rPr>
        <w:t xml:space="preserve">Open the Command Centre in your browser and scroll to the Email Digest section at the bottom</w:t>
      </w:r>
    </w:p>
    <w:p>
      <w:pPr>
        <w:pStyle w:val="ListParagraph"/>
        <w:numPr>
          <w:ilvl w:val="0"/>
          <w:numId w:val="2"/>
        </w:numPr>
        <w:spacing w:after="80" w:before="80"/>
      </w:pPr>
      <w:r>
        <w:rPr>
          <w:rFonts w:ascii="Arial" w:cs="Arial" w:eastAsia="Arial" w:hAnsi="Arial"/>
          <w:color w:val="384660"/>
          <w:sz w:val="22"/>
          <w:szCs w:val="22"/>
        </w:rPr>
        <w:t xml:space="preserve">Click the green </w:t>
      </w:r>
      <w:r>
        <w:rPr>
          <w:rFonts w:ascii="Arial" w:cs="Arial" w:eastAsia="Arial" w:hAnsi="Arial"/>
          <w:b/>
          <w:bCs/>
          <w:color w:val="22882F"/>
          <w:sz w:val="22"/>
          <w:szCs w:val="22"/>
        </w:rPr>
        <w:t xml:space="preserve">"Copy HTML for Outlook →"</w:t>
      </w:r>
      <w:r>
        <w:rPr>
          <w:rFonts w:ascii="Arial" w:cs="Arial" w:eastAsia="Arial" w:hAnsi="Arial"/>
          <w:color w:val="384660"/>
          <w:sz w:val="22"/>
          <w:szCs w:val="22"/>
        </w:rPr>
        <w:t xml:space="preserve"> button — the formatted email HTML is now on your clipboard</w:t>
      </w:r>
    </w:p>
    <w:p>
      <w:pPr>
        <w:pStyle w:val="ListParagraph"/>
        <w:numPr>
          <w:ilvl w:val="0"/>
          <w:numId w:val="2"/>
        </w:numPr>
        <w:spacing w:after="80" w:before="80"/>
      </w:pPr>
      <w:r>
        <w:rPr>
          <w:rFonts w:ascii="Arial" w:cs="Arial" w:eastAsia="Arial" w:hAnsi="Arial"/>
          <w:color w:val="384660"/>
          <w:sz w:val="22"/>
          <w:szCs w:val="22"/>
        </w:rPr>
        <w:t xml:space="preserve">Open Outlook (desktop app or Outlook Web)</w:t>
      </w:r>
    </w:p>
    <w:p>
      <w:pPr>
        <w:pStyle w:val="ListParagraph"/>
        <w:numPr>
          <w:ilvl w:val="0"/>
          <w:numId w:val="2"/>
        </w:numPr>
        <w:spacing w:after="80" w:before="80"/>
      </w:pPr>
      <w:r>
        <w:rPr>
          <w:rFonts w:ascii="Arial" w:cs="Arial" w:eastAsia="Arial" w:hAnsi="Arial"/>
          <w:color w:val="384660"/>
          <w:sz w:val="22"/>
          <w:szCs w:val="22"/>
        </w:rPr>
        <w:t xml:space="preserve">Click New Email</w:t>
      </w:r>
    </w:p>
    <w:p>
      <w:pPr>
        <w:pStyle w:val="ListParagraph"/>
        <w:numPr>
          <w:ilvl w:val="0"/>
          <w:numId w:val="2"/>
        </w:numPr>
        <w:spacing w:after="80" w:before="80"/>
      </w:pPr>
      <w:r>
        <w:rPr>
          <w:rFonts w:ascii="Arial" w:cs="Arial" w:eastAsia="Arial" w:hAnsi="Arial"/>
          <w:color w:val="384660"/>
          <w:sz w:val="22"/>
          <w:szCs w:val="22"/>
        </w:rPr>
        <w:t xml:space="preserve">In the email body, press </w:t>
      </w:r>
      <w:r>
        <w:rPr>
          <w:rFonts w:ascii="Arial" w:cs="Arial" w:eastAsia="Arial" w:hAnsi="Arial"/>
          <w:b/>
          <w:bCs/>
          <w:color w:val="161C60"/>
          <w:sz w:val="22"/>
          <w:szCs w:val="22"/>
        </w:rPr>
        <w:t xml:space="preserve">Ctrl+Shift+X</w:t>
      </w:r>
      <w:r>
        <w:rPr>
          <w:rFonts w:ascii="Arial" w:cs="Arial" w:eastAsia="Arial" w:hAnsi="Arial"/>
          <w:color w:val="384660"/>
          <w:sz w:val="22"/>
          <w:szCs w:val="22"/>
        </w:rPr>
        <w:t xml:space="preserve"> to open the HTML source editor (Outlook Web: Format → HTML in the ribbon)</w:t>
      </w:r>
    </w:p>
    <w:p>
      <w:pPr>
        <w:pStyle w:val="ListParagraph"/>
        <w:numPr>
          <w:ilvl w:val="0"/>
          <w:numId w:val="2"/>
        </w:numPr>
        <w:spacing w:after="80" w:before="80"/>
      </w:pPr>
      <w:r>
        <w:rPr>
          <w:rFonts w:ascii="Arial" w:cs="Arial" w:eastAsia="Arial" w:hAnsi="Arial"/>
          <w:color w:val="384660"/>
          <w:sz w:val="22"/>
          <w:szCs w:val="22"/>
        </w:rPr>
        <w:t xml:space="preserve">Press Ctrl+A to select all, then Ctrl+V to paste the copied HTML — the email renders with the navy header, KPI tiles, and progress bars</w:t>
      </w:r>
    </w:p>
    <w:p>
      <w:pPr>
        <w:pStyle w:val="ListParagraph"/>
        <w:numPr>
          <w:ilvl w:val="0"/>
          <w:numId w:val="2"/>
        </w:numPr>
        <w:spacing w:after="80" w:before="80"/>
      </w:pPr>
      <w:r>
        <w:rPr>
          <w:rFonts w:ascii="Arial" w:cs="Arial" w:eastAsia="Arial" w:hAnsi="Arial"/>
          <w:color w:val="384660"/>
          <w:sz w:val="22"/>
          <w:szCs w:val="22"/>
        </w:rPr>
        <w:t xml:space="preserve">Add recipients, subject line: </w:t>
      </w:r>
      <w:r>
        <w:rPr>
          <w:rFonts w:ascii="Arial" w:cs="Arial" w:eastAsia="Arial" w:hAnsi="Arial"/>
          <w:b/>
          <w:bCs/>
          <w:color w:val="161C60"/>
          <w:sz w:val="22"/>
          <w:szCs w:val="22"/>
        </w:rPr>
        <w:t xml:space="preserve">"BU Services — Commercial Update [Date]"</w:t>
      </w:r>
      <w:r>
        <w:rPr>
          <w:rFonts w:ascii="Arial" w:cs="Arial" w:eastAsia="Arial" w:hAnsi="Arial"/>
          <w:color w:val="384660"/>
          <w:sz w:val="22"/>
          <w:szCs w:val="22"/>
        </w:rPr>
        <w:t xml:space="preserve">, and send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B24" w:sz="4"/>
              <w:left w:val="none" w:color="FFFFFF" w:sz="0"/>
              <w:bottom w:val="none" w:color="FFFFFF" w:sz="0"/>
              <w:right w:val="none" w:color="FFFFFF" w:sz="0"/>
            </w:tcBorders>
            <w:shd w:fill="E8F5E9" w:val="clear"/>
            <w:tcMar>
              <w:top w:type="dxa" w:w="120"/>
              <w:left w:type="dxa" w:w="180"/>
              <w:bottom w:type="dxa" w:w="20"/>
              <w:right w:type="dxa" w:w="120"/>
            </w:tcMar>
          </w:tcPr>
          <w:p>
            <w:pPr>
              <w:spacing w:after="0" w:before="0"/>
            </w:pPr>
            <w:r>
              <w:rPr>
                <w:rFonts w:ascii="Arial" w:cs="Arial" w:eastAsia="Arial" w:hAnsi="Arial"/>
                <w:b/>
                <w:bCs/>
                <w:color w:val="196B24"/>
                <w:sz w:val="20"/>
                <w:szCs w:val="20"/>
              </w:rPr>
              <w:t xml:space="preserve">Tip — Add recipients to a Contact Group</w:t>
            </w:r>
          </w:p>
        </w:tc>
      </w:tr>
      <w:tr>
        <w:tc>
          <w:tcPr>
            <w:tcW w:type="dxa" w:w="9360"/>
            <w:tcBorders>
              <w:top w:val="none" w:color="FFFFFF" w:sz="0"/>
              <w:left w:val="none" w:color="FFFFFF" w:sz="0"/>
              <w:bottom w:val="single" w:color="196B24" w:sz="4"/>
              <w:right w:val="none" w:color="FFFFFF" w:sz="0"/>
            </w:tcBorders>
            <w:shd w:fill="E8F5E9" w:val="clear"/>
            <w:tcMar>
              <w:top w:type="dxa" w:w="20"/>
              <w:left w:type="dxa" w:w="180"/>
              <w:bottom w:type="dxa" w:w="120"/>
              <w:right w:type="dxa" w:w="120"/>
            </w:tcMar>
          </w:tcPr>
          <w:p>
            <w:pPr>
              <w:spacing w:after="0" w:before="0"/>
            </w:pPr>
            <w:r>
              <w:rPr>
                <w:rFonts w:ascii="Arial" w:cs="Arial" w:eastAsia="Arial" w:hAnsi="Arial"/>
                <w:color w:val="384660"/>
                <w:sz w:val="21"/>
                <w:szCs w:val="21"/>
              </w:rPr>
              <w:t xml:space="preserve">Create an Outlook Contact Group called "BU Services Commercial Team" with Olivier Marcotte, Jon Eustace, Vinoth Tharma, Max Aggrey, Rick Carlton, Alex Cyr, Jeremy Irwin, and Mathieu Beauchesne. Then each Monday you type the group name and send. Takes 30 seconds.</w:t>
            </w:r>
          </w:p>
        </w:tc>
      </w:tr>
    </w:tbl>
    <w:p>
      <w:pPr>
        <w:spacing w:after="0" w:before="80"/>
      </w:pPr>
      <w:r>
        <w:t xml:space="preserve"/>
      </w:r>
    </w:p>
    <w:p>
      <w:pPr>
        <w:pStyle w:val="Heading2"/>
        <w:spacing w:after="120" w:before="320"/>
      </w:pPr>
      <w:r>
        <w:rPr>
          <w:rFonts w:ascii="Arial" w:cs="Arial" w:eastAsia="Arial" w:hAnsi="Arial"/>
          <w:color w:val="161C60"/>
        </w:rPr>
        <w:t xml:space="preserve">What the digest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Section</w:t>
            </w:r>
          </w:p>
        </w:tc>
        <w:tc>
          <w:tcPr>
            <w:tcW w:type="dxa" w:w="69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Content</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Plan Status</w:t>
            </w:r>
          </w:p>
        </w:tc>
        <w:tc>
          <w:tcPr>
            <w:tcW w:type="dxa" w:w="6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2026 base forecast, initiative actuals YTD, and gates complete count — three KPI tiles</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Initiative Progress</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All 5 initiatives with actual vs. target revenue and a colour-coded progress bar</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Gates This Week</w:t>
            </w:r>
          </w:p>
        </w:tc>
        <w:tc>
          <w:tcPr>
            <w:tcW w:type="dxa" w:w="6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Amber gates (in progress) shown first, then completed green gates</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Triggered Risks</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Only appears if a risk has been set to 'triggered' in the CONFIG — otherwise hidden</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Action buttons</w:t>
            </w:r>
          </w:p>
        </w:tc>
        <w:tc>
          <w:tcPr>
            <w:tcW w:type="dxa" w:w="6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Link to Command Centre and Execution Attack Plan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4"/>
              <w:left w:val="none" w:color="FFFFFF" w:sz="0"/>
              <w:bottom w:val="none" w:color="FFFFFF" w:sz="0"/>
              <w:right w:val="none" w:color="FFFFFF" w:sz="0"/>
            </w:tcBorders>
            <w:shd w:fill="E8F4FD" w:val="clear"/>
            <w:tcMar>
              <w:top w:type="dxa" w:w="120"/>
              <w:left w:type="dxa" w:w="180"/>
              <w:bottom w:type="dxa" w:w="20"/>
              <w:right w:type="dxa" w:w="120"/>
            </w:tcMar>
          </w:tcPr>
          <w:p>
            <w:pPr>
              <w:spacing w:after="0" w:before="0"/>
            </w:pPr>
            <w:r>
              <w:rPr>
                <w:rFonts w:ascii="Arial" w:cs="Arial" w:eastAsia="Arial" w:hAnsi="Arial"/>
                <w:b/>
                <w:bCs/>
                <w:color w:val="1A3A6B"/>
                <w:sz w:val="20"/>
                <w:szCs w:val="20"/>
              </w:rPr>
              <w:t xml:space="preserve">When to send the digest</w:t>
            </w:r>
          </w:p>
        </w:tc>
      </w:tr>
      <w:tr>
        <w:tc>
          <w:tcPr>
            <w:tcW w:type="dxa" w:w="9360"/>
            <w:tcBorders>
              <w:top w:val="none" w:color="FFFFFF" w:sz="0"/>
              <w:left w:val="none" w:color="FFFFFF" w:sz="0"/>
              <w:bottom w:val="single" w:color="1A3A6B" w:sz="4"/>
              <w:right w:val="none" w:color="FFFFFF" w:sz="0"/>
            </w:tcBorders>
            <w:shd w:fill="E8F4FD" w:val="clear"/>
            <w:tcMar>
              <w:top w:type="dxa" w:w="20"/>
              <w:left w:type="dxa" w:w="180"/>
              <w:bottom w:type="dxa" w:w="120"/>
              <w:right w:type="dxa" w:w="120"/>
            </w:tcMar>
          </w:tcPr>
          <w:p>
            <w:pPr>
              <w:spacing w:after="0" w:before="0"/>
            </w:pPr>
            <w:r>
              <w:rPr>
                <w:rFonts w:ascii="Arial" w:cs="Arial" w:eastAsia="Arial" w:hAnsi="Arial"/>
                <w:color w:val="384660"/>
                <w:sz w:val="21"/>
                <w:szCs w:val="21"/>
              </w:rPr>
              <w:t xml:space="preserve">Every Monday by 8AM ET — before the 9AM Commercial Leadership meeting chaired by Olivier Marcotte. The digest ensures all five commercial owners walk into the meeting already aware of the current gate status and any triggered risks. No surprises, no recap needed.</w:t>
            </w:r>
          </w:p>
        </w:tc>
      </w:tr>
    </w:tbl>
    <w:p>
      <w:pPr>
        <w:pStyle w:val="Heading1"/>
        <w:spacing w:after="160" w:before="480"/>
      </w:pPr>
      <w:r>
        <w:rPr>
          <w:rFonts w:ascii="Arial" w:cs="Arial" w:eastAsia="Arial" w:hAnsi="Arial"/>
          <w:color w:val="161C60"/>
        </w:rPr>
        <w:t xml:space="preserve">5.  The Review &amp; Comments Spreadsheet</w:t>
      </w:r>
    </w:p>
    <w:p>
      <w:pPr>
        <w:pBdr>
          <w:bottom w:val="single" w:color="DDE3F0" w:sz="6" w:space="1"/>
        </w:pBdr>
        <w:spacing w:after="0" w:before="0"/>
      </w:pPr>
      <w:r>
        <w:t xml:space="preserve"/>
      </w:r>
    </w:p>
    <w:p>
      <w:pPr>
        <w:spacing w:after="0" w:before="80"/>
      </w:pPr>
      <w:r>
        <w:t xml:space="preserve"/>
      </w:r>
    </w:p>
    <w:p>
      <w:pPr>
        <w:spacing w:after="100" w:before="0"/>
      </w:pPr>
      <w:r>
        <w:rPr>
          <w:rFonts w:ascii="Arial" w:cs="Arial" w:eastAsia="Arial" w:hAnsi="Arial"/>
          <w:color w:val="384660"/>
          <w:sz w:val="22"/>
          <w:szCs w:val="22"/>
        </w:rPr>
        <w:t xml:space="preserve">The Excel file </w:t>
      </w:r>
      <w:r>
        <w:rPr>
          <w:rFonts w:ascii="Courier New" w:cs="Courier New" w:eastAsia="Courier New" w:hAnsi="Courier New"/>
          <w:color w:val="161C60"/>
          <w:sz w:val="20"/>
          <w:szCs w:val="20"/>
        </w:rPr>
        <w:t xml:space="preserve">BU_Services_Review_Comments.xlsx</w:t>
      </w:r>
      <w:r>
        <w:rPr>
          <w:rFonts w:ascii="Arial" w:cs="Arial" w:eastAsia="Arial" w:hAnsi="Arial"/>
          <w:color w:val="384660"/>
          <w:sz w:val="22"/>
          <w:szCs w:val="22"/>
        </w:rPr>
        <w:t xml:space="preserve"> is the formal review tool for collecting feedback on all 11 documents before distribution. It has five tabs: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Tab</w:t>
            </w:r>
          </w:p>
        </w:tc>
        <w:tc>
          <w:tcPr>
            <w:tcW w:type="dxa" w:w="65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Purpose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Cover (navy)</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Instructions and reviewer information — fill in your name and role before starting</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Review Tracker (red)</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One row per comment. All dropdowns are pre-configured. Column D section list updates automatically based on the document you selected in column C</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Summary Dashboard (green)</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Live counts — shows Open, In Review, Agreed, Rejected, Resolved totals by document and severity. Check this before distribution.</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Document Index (blue)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Lists all 11 documents with filename, audience, and version notes</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Rating Guide (gold)</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Definitions for every dropdown value — severity levels, comment types, priority labels, status labels, and column-by-column field guide</w:t>
            </w:r>
          </w:p>
        </w:tc>
      </w:tr>
    </w:tbl>
    <w:p>
      <w:pPr>
        <w:spacing w:after="0" w:before="120"/>
      </w:pPr>
      <w:r>
        <w:t xml:space="preserve"/>
      </w:r>
    </w:p>
    <w:p>
      <w:pPr>
        <w:pStyle w:val="Heading2"/>
        <w:spacing w:after="120" w:before="320"/>
      </w:pPr>
      <w:r>
        <w:rPr>
          <w:rFonts w:ascii="Arial" w:cs="Arial" w:eastAsia="Arial" w:hAnsi="Arial"/>
          <w:color w:val="161C60"/>
        </w:rPr>
        <w:t xml:space="preserve">Distributing for multi-reviewer feedback</w:t>
      </w:r>
    </w:p>
    <w:p>
      <w:pPr>
        <w:spacing w:after="60" w:before="0"/>
      </w:pPr>
      <w:r>
        <w:rPr>
          <w:rFonts w:ascii="Arial" w:cs="Arial" w:eastAsia="Arial" w:hAnsi="Arial"/>
          <w:color w:val="384660"/>
          <w:sz w:val="22"/>
          <w:szCs w:val="22"/>
        </w:rPr>
        <w:t xml:space="preserve">When multiple people need to review:</w:t>
      </w:r>
    </w:p>
    <w:p>
      <w:pPr>
        <w:pStyle w:val="ListParagraph"/>
        <w:numPr>
          <w:ilvl w:val="0"/>
          <w:numId w:val="3"/>
        </w:numPr>
        <w:spacing w:after="40" w:before="40"/>
      </w:pPr>
      <w:r>
        <w:rPr>
          <w:rFonts w:ascii="Arial" w:cs="Arial" w:eastAsia="Arial" w:hAnsi="Arial"/>
          <w:color w:val="384660"/>
          <w:sz w:val="22"/>
          <w:szCs w:val="22"/>
        </w:rPr>
        <w:t xml:space="preserve">Copy the Excel file for each reviewer — rename it with their name, e.g. </w:t>
      </w:r>
    </w:p>
    <w:p>
      <w:pPr>
        <w:pStyle w:val="ListParagraph"/>
        <w:numPr>
          <w:ilvl w:val="1"/>
          <w:numId w:val="3"/>
        </w:numPr>
        <w:spacing w:after="40" w:before="40"/>
      </w:pPr>
      <w:r>
        <w:rPr>
          <w:rFonts w:ascii="Courier New" w:cs="Courier New" w:eastAsia="Courier New" w:hAnsi="Courier New"/>
          <w:color w:val="161C60"/>
          <w:sz w:val="20"/>
          <w:szCs w:val="20"/>
        </w:rPr>
        <w:t xml:space="preserve">BU_Services_Review_Olivier_Marcotte.xlsx</w:t>
      </w:r>
    </w:p>
    <w:p>
      <w:pPr>
        <w:pStyle w:val="ListParagraph"/>
        <w:numPr>
          <w:ilvl w:val="0"/>
          <w:numId w:val="3"/>
        </w:numPr>
        <w:spacing w:after="40" w:before="40"/>
      </w:pPr>
      <w:r>
        <w:rPr>
          <w:rFonts w:ascii="Arial" w:cs="Arial" w:eastAsia="Arial" w:hAnsi="Arial"/>
          <w:color w:val="384660"/>
          <w:sz w:val="22"/>
          <w:szCs w:val="22"/>
        </w:rPr>
        <w:t xml:space="preserve">Each reviewer fills in their name in the Cover tab "Reviewer Name" field</w:t>
      </w:r>
    </w:p>
    <w:p>
      <w:pPr>
        <w:pStyle w:val="ListParagraph"/>
        <w:numPr>
          <w:ilvl w:val="0"/>
          <w:numId w:val="3"/>
        </w:numPr>
        <w:spacing w:after="40" w:before="40"/>
      </w:pPr>
      <w:r>
        <w:rPr>
          <w:rFonts w:ascii="Arial" w:cs="Arial" w:eastAsia="Arial" w:hAnsi="Arial"/>
          <w:color w:val="384660"/>
          <w:sz w:val="22"/>
          <w:szCs w:val="22"/>
        </w:rPr>
        <w:t xml:space="preserve">Reviewers fill in the Review Tracker — all dropdowns work, column D sections are document-specific</w:t>
      </w:r>
    </w:p>
    <w:p>
      <w:pPr>
        <w:pStyle w:val="ListParagraph"/>
        <w:numPr>
          <w:ilvl w:val="0"/>
          <w:numId w:val="3"/>
        </w:numPr>
        <w:spacing w:after="40" w:before="40"/>
      </w:pPr>
      <w:r>
        <w:rPr>
          <w:rFonts w:ascii="Arial" w:cs="Arial" w:eastAsia="Arial" w:hAnsi="Arial"/>
          <w:color w:val="384660"/>
          <w:sz w:val="22"/>
          <w:szCs w:val="22"/>
        </w:rPr>
        <w:t xml:space="preserve">Collect all completed files and place them in one folder with the original</w:t>
      </w:r>
    </w:p>
    <w:p>
      <w:pPr>
        <w:spacing w:after="0" w:before="80"/>
      </w:pPr>
      <w:r>
        <w:t xml:space="preserve"/>
      </w:r>
    </w:p>
    <w:p>
      <w:pPr>
        <w:pStyle w:val="Heading2"/>
        <w:spacing w:after="120" w:before="320"/>
      </w:pPr>
      <w:r>
        <w:rPr>
          <w:rFonts w:ascii="Arial" w:cs="Arial" w:eastAsia="Arial" w:hAnsi="Arial"/>
          <w:color w:val="161C60"/>
        </w:rPr>
        <w:t xml:space="preserve">Consolidating feedback from multiple reviewers</w:t>
      </w:r>
    </w:p>
    <w:p>
      <w:pPr>
        <w:spacing w:after="80" w:before="0"/>
      </w:pPr>
      <w:r>
        <w:rPr>
          <w:rFonts w:ascii="Arial" w:cs="Arial" w:eastAsia="Arial" w:hAnsi="Arial"/>
          <w:color w:val="384660"/>
          <w:sz w:val="22"/>
          <w:szCs w:val="22"/>
        </w:rPr>
        <w:t xml:space="preserve">When all reviewer files are returned, run the Python consolidation script:</w:t>
      </w:r>
    </w:p>
    <w:p>
      <w:pPr>
        <w:shd w:fill="0B0F2A" w:val="clear"/>
        <w:spacing w:after="60" w:before="60"/>
      </w:pPr>
      <w:r>
        <w:rPr>
          <w:rFonts w:ascii="Courier New" w:cs="Courier New" w:eastAsia="Courier New" w:hAnsi="Courier New"/>
          <w:color w:val="22BB44"/>
          <w:sz w:val="20"/>
          <w:szCs w:val="20"/>
        </w:rPr>
        <w:t xml:space="preserve">  python consolidate_reviews.py file1.xlsx file2.xlsx file3.xlsx</w:t>
      </w:r>
    </w:p>
    <w:p>
      <w:pPr>
        <w:spacing w:after="0" w:before="40"/>
      </w:pPr>
      <w:r>
        <w:t xml:space="preserve"/>
      </w:r>
    </w:p>
    <w:p>
      <w:pPr>
        <w:spacing w:after="60" w:before="0"/>
      </w:pPr>
      <w:r>
        <w:rPr>
          <w:rFonts w:ascii="Arial" w:cs="Arial" w:eastAsia="Arial" w:hAnsi="Arial"/>
          <w:color w:val="384660"/>
          <w:sz w:val="22"/>
          <w:szCs w:val="22"/>
        </w:rPr>
        <w:t xml:space="preserve">Or point at a folder:</w:t>
      </w:r>
    </w:p>
    <w:p>
      <w:pPr>
        <w:shd w:fill="0B0F2A" w:val="clear"/>
        <w:spacing w:after="60" w:before="60"/>
      </w:pPr>
      <w:r>
        <w:rPr>
          <w:rFonts w:ascii="Courier New" w:cs="Courier New" w:eastAsia="Courier New" w:hAnsi="Courier New"/>
          <w:color w:val="22BB44"/>
          <w:sz w:val="20"/>
          <w:szCs w:val="20"/>
        </w:rPr>
        <w:t xml:space="preserve">  python consolidate_reviews.py --folder ./reviews/</w:t>
      </w:r>
    </w:p>
    <w:p>
      <w:pPr>
        <w:spacing w:after="0" w:before="80"/>
      </w:pPr>
      <w:r>
        <w:t xml:space="preserve"/>
      </w:r>
    </w:p>
    <w:p>
      <w:pPr>
        <w:spacing w:after="100" w:before="0"/>
      </w:pPr>
      <w:r>
        <w:rPr>
          <w:rFonts w:ascii="Arial" w:cs="Arial" w:eastAsia="Arial" w:hAnsi="Arial"/>
          <w:color w:val="384660"/>
          <w:sz w:val="22"/>
          <w:szCs w:val="22"/>
        </w:rPr>
        <w:t xml:space="preserve">The script reads the reviewer name from each file's Cover tab, merges all comments into one master file sorted by Document → Severity → Reviewer, adds a colour-coded Reviewer column, builds a By Reviewer summary tab, and saves a timestamped consolidated file. It requires Python 3 and the openpyxl library (</w:t>
      </w:r>
      <w:r>
        <w:rPr>
          <w:rFonts w:ascii="Courier New" w:cs="Courier New" w:eastAsia="Courier New" w:hAnsi="Courier New"/>
          <w:color w:val="161C60"/>
          <w:sz w:val="20"/>
          <w:szCs w:val="20"/>
        </w:rPr>
        <w:t xml:space="preserve">pip install openpyxl</w:t>
      </w:r>
      <w:r>
        <w:rPr>
          <w:rFonts w:ascii="Arial" w:cs="Arial" w:eastAsia="Arial" w:hAnsi="Arial"/>
          <w:color w:val="384660"/>
          <w:sz w:val="22"/>
          <w:szCs w:val="22"/>
        </w:rPr>
        <w:t xml:space="preserv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4"/>
              <w:left w:val="none" w:color="FFFFFF" w:sz="0"/>
              <w:bottom w:val="none" w:color="FFFFFF" w:sz="0"/>
              <w:right w:val="none" w:color="FFFFFF" w:sz="0"/>
            </w:tcBorders>
            <w:shd w:fill="FFEBEE" w:val="clear"/>
            <w:tcMar>
              <w:top w:type="dxa" w:w="120"/>
              <w:left w:type="dxa" w:w="180"/>
              <w:bottom w:type="dxa" w:w="20"/>
              <w:right w:type="dxa" w:w="120"/>
            </w:tcMar>
          </w:tcPr>
          <w:p>
            <w:pPr>
              <w:spacing w:after="0" w:before="0"/>
            </w:pPr>
            <w:r>
              <w:rPr>
                <w:rFonts w:ascii="Arial" w:cs="Arial" w:eastAsia="Arial" w:hAnsi="Arial"/>
                <w:b/>
                <w:bCs/>
                <w:color w:val="CC2222"/>
                <w:sz w:val="20"/>
                <w:szCs w:val="20"/>
              </w:rPr>
              <w:t xml:space="preserve">When a document is ready to distribute</w:t>
            </w:r>
          </w:p>
        </w:tc>
      </w:tr>
      <w:tr>
        <w:tc>
          <w:tcPr>
            <w:tcW w:type="dxa" w:w="9360"/>
            <w:tcBorders>
              <w:top w:val="none" w:color="FFFFFF" w:sz="0"/>
              <w:left w:val="none" w:color="FFFFFF" w:sz="0"/>
              <w:bottom w:val="single" w:color="CC2222" w:sz="4"/>
              <w:right w:val="none" w:color="FFFFFF" w:sz="0"/>
            </w:tcBorders>
            <w:shd w:fill="FFEBEE" w:val="clear"/>
            <w:tcMar>
              <w:top w:type="dxa" w:w="20"/>
              <w:left w:type="dxa" w:w="180"/>
              <w:bottom w:type="dxa" w:w="120"/>
              <w:right w:type="dxa" w:w="120"/>
            </w:tcMar>
          </w:tcPr>
          <w:p>
            <w:pPr>
              <w:spacing w:after="0" w:before="0"/>
            </w:pPr>
            <w:r>
              <w:rPr>
                <w:rFonts w:ascii="Arial" w:cs="Arial" w:eastAsia="Arial" w:hAnsi="Arial"/>
                <w:color w:val="384660"/>
                <w:sz w:val="21"/>
                <w:szCs w:val="21"/>
              </w:rPr>
              <w:t xml:space="preserve">A document is ready when its 'Open' and 'In Review' counts on the Summary Dashboard are both zero. Do not send any document to Eurazeo while Critical or High severity comments remain Open.</w:t>
            </w:r>
          </w:p>
        </w:tc>
      </w:tr>
    </w:tbl>
    <w:p>
      <w:pPr>
        <w:pStyle w:val="Heading1"/>
        <w:spacing w:after="160" w:before="480"/>
      </w:pPr>
      <w:r>
        <w:rPr>
          <w:rFonts w:ascii="Arial" w:cs="Arial" w:eastAsia="Arial" w:hAnsi="Arial"/>
          <w:color w:val="161C60"/>
        </w:rPr>
        <w:t xml:space="preserve">6.  The 11 HTML Documents — Quick Reference</w:t>
      </w:r>
    </w:p>
    <w:p>
      <w:pPr>
        <w:pBdr>
          <w:bottom w:val="single" w:color="DDE3F0" w:sz="6" w:space="1"/>
        </w:pBdr>
        <w:spacing w:after="0" w:before="0"/>
      </w:pPr>
      <w:r>
        <w:t xml:space="preserve"/>
      </w:r>
    </w:p>
    <w:p>
      <w:pPr>
        <w:spacing w:after="0" w:before="80"/>
      </w:pPr>
      <w:r>
        <w:t xml:space="preserve"/>
      </w:r>
    </w:p>
    <w:p>
      <w:pPr>
        <w:spacing w:after="100" w:before="0"/>
      </w:pPr>
      <w:r>
        <w:rPr>
          <w:rFonts w:ascii="Arial" w:cs="Arial" w:eastAsia="Arial" w:hAnsi="Arial"/>
          <w:color w:val="384660"/>
          <w:sz w:val="22"/>
          <w:szCs w:val="22"/>
        </w:rPr>
        <w:t xml:space="preserve">Each document opens in a browser. They all have a sticky navigation bar at the top for jumping between sections, and hover effects on cards and tables. Click any link in the Command Centre Documents section to open the relevant file.</w:t>
      </w:r>
    </w:p>
    <w:p>
      <w:pPr>
        <w:spacing w:after="0" w:before="120"/>
      </w:pPr>
      <w:r>
        <w:t xml:space="preserve"/>
      </w:r>
    </w:p>
    <w:p>
      <w:pPr>
        <w:pStyle w:val="Heading2"/>
        <w:spacing w:after="120" w:before="320"/>
      </w:pPr>
      <w:r>
        <w:rPr>
          <w:rFonts w:ascii="Arial" w:cs="Arial" w:eastAsia="Arial" w:hAnsi="Arial"/>
          <w:color w:val="161C60"/>
        </w:rPr>
        <w:t xml:space="preserve">Master Commercial Plan (three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Version</w:t>
            </w:r>
          </w:p>
        </w:tc>
        <w:tc>
          <w:tcPr>
            <w:tcW w:type="dxa" w:w="67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Use when</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Internal (v8)</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Sharing with Jon Eustace, Olivier Marcotte, Mathieu Beauchesne, EIG, and Eurazeo. Contains Stage 2 (margin / workforce restructuring) with all named employees.</w:t>
            </w:r>
          </w:p>
        </w:tc>
      </w:tr>
      <w:tr>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External (v8)</w:t>
            </w:r>
          </w:p>
        </w:tc>
        <w:tc>
          <w:tcPr>
            <w:tcW w:type="dxa" w:w="67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Sharing with lower managers and commercial team. Stage 2 included but employees are numbered 1–28 (names and HR details redacted).</w:t>
            </w:r>
          </w:p>
        </w:tc>
      </w:tr>
      <w:tr>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No Stage 2 (v8)</w:t>
            </w:r>
          </w:p>
        </w:tc>
        <w:tc>
          <w:tcPr>
            <w:tcW w:type="dxa" w:w="67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Broader distribution to commercial team and potential partners where Stage 2 content is not appropriate. Identical to Internal except Section 12 is omitted entirely.</w:t>
            </w:r>
          </w:p>
        </w:tc>
      </w:tr>
    </w:tbl>
    <w:p>
      <w:pPr>
        <w:spacing w:after="0" w:before="120"/>
      </w:pPr>
      <w:r>
        <w:t xml:space="preserve"/>
      </w:r>
    </w:p>
    <w:p>
      <w:pPr>
        <w:pStyle w:val="Heading2"/>
        <w:spacing w:after="120" w:before="320"/>
      </w:pPr>
      <w:r>
        <w:rPr>
          <w:rFonts w:ascii="Arial" w:cs="Arial" w:eastAsia="Arial" w:hAnsi="Arial"/>
          <w:color w:val="161C60"/>
        </w:rPr>
        <w:t xml:space="preserve">Execution Attack Plan</w:t>
      </w:r>
    </w:p>
    <w:p>
      <w:pPr>
        <w:spacing w:after="100" w:before="0"/>
      </w:pPr>
      <w:r>
        <w:rPr>
          <w:rFonts w:ascii="Arial" w:cs="Arial" w:eastAsia="Arial" w:hAnsi="Arial"/>
          <w:color w:val="384660"/>
          <w:sz w:val="22"/>
          <w:szCs w:val="22"/>
        </w:rPr>
        <w:t xml:space="preserve">The standalone operational document for the commercial and ops team. Contains the full weekly sprint tables (all 5 initiatives), the complete 6-risk register with trigger conditions, all 3 contingency plans with pivot actions, and the governance cadence. This is the working document for Olivier Marcotte's Monday meeting and Alex Cyr's Wednesday meeting.</w:t>
      </w:r>
    </w:p>
    <w:p>
      <w:pPr>
        <w:spacing w:after="0" w:before="80"/>
      </w:pPr>
      <w:r>
        <w:t xml:space="preserve"/>
      </w:r>
    </w:p>
    <w:p>
      <w:pPr>
        <w:spacing w:after="100" w:before="0"/>
      </w:pPr>
      <w:r>
        <w:rPr>
          <w:rFonts w:ascii="Arial" w:cs="Arial" w:eastAsia="Arial" w:hAnsi="Arial"/>
          <w:color w:val="384660"/>
          <w:sz w:val="22"/>
          <w:szCs w:val="22"/>
        </w:rPr>
        <w:t xml:space="preserve">The master plan Section 11 links directly to this document via the </w:t>
      </w:r>
      <w:r>
        <w:rPr>
          <w:rFonts w:ascii="Arial" w:cs="Arial" w:eastAsia="Arial" w:hAnsi="Arial"/>
          <w:b/>
          <w:bCs/>
          <w:color w:val="161C60"/>
          <w:sz w:val="22"/>
          <w:szCs w:val="22"/>
        </w:rPr>
        <w:t xml:space="preserve">"Open Execution Plan →"</w:t>
      </w:r>
      <w:r>
        <w:rPr>
          <w:rFonts w:ascii="Arial" w:cs="Arial" w:eastAsia="Arial" w:hAnsi="Arial"/>
          <w:color w:val="384660"/>
          <w:sz w:val="22"/>
          <w:szCs w:val="22"/>
        </w:rPr>
        <w:t xml:space="preserve"> button.</w:t>
      </w:r>
    </w:p>
    <w:p>
      <w:pPr>
        <w:spacing w:after="0" w:before="120"/>
      </w:pPr>
      <w:r>
        <w:t xml:space="preserve"/>
      </w:r>
    </w:p>
    <w:p>
      <w:pPr>
        <w:pStyle w:val="Heading2"/>
        <w:spacing w:after="120" w:before="320"/>
      </w:pPr>
      <w:r>
        <w:rPr>
          <w:rFonts w:ascii="Arial" w:cs="Arial" w:eastAsia="Arial" w:hAnsi="Arial"/>
          <w:color w:val="161C60"/>
        </w:rPr>
        <w:t xml:space="preserve">Initiative Plans — the five standalone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Plan</w:t>
            </w:r>
          </w:p>
        </w:tc>
        <w:tc>
          <w:tcPr>
            <w:tcW w:type="dxa" w:w="6960"/>
            <w:tcBorders>
              <w:top w:val="single" w:color="DDE3F0" w:sz="1"/>
              <w:left w:val="single" w:color="DDE3F0" w:sz="1"/>
              <w:bottom w:val="single" w:color="DDE3F0" w:sz="1"/>
              <w:right w:val="single" w:color="DDE3F0" w:sz="1"/>
            </w:tcBorders>
            <w:shd w:fill="161C6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Commercial owner / Key content</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Mining NDT (v4)</w:t>
            </w:r>
          </w:p>
        </w:tc>
        <w:tc>
          <w:tcPr>
            <w:tcW w:type="dxa" w:w="6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Vinoth Tharma (East) · Max Aggrey (West). 17 sections including ECA gear inspection service offering, 17 target accounts, cement sector opportunity, and detailed revenue by stream.</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Pipeline DA (v2)</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Rick Carlton (commercial) · Joel Carlton (ops). Carlton team background, PAUT/DA service offering, Pembina + Tidewater target strategy, 6-rig CAPEX plan.</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Powerline (v1)</w:t>
            </w:r>
          </w:p>
        </w:tc>
        <w:tc>
          <w:tcPr>
            <w:tcW w:type="dxa" w:w="6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Mathieu Beauchesne (overall) · Vinoth (East) · Max (West). LineCore/LineOhm/LineRay technology detail, Hydro-Québec IP partnership, phase-by-phase utility entry plan.</w:t>
            </w:r>
          </w:p>
        </w:tc>
      </w:tr>
      <w:tr>
        <w:tc>
          <w:tcPr>
            <w:tcW w:type="dxa" w:w="2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Nuclear / OPG (v2)</w:t>
            </w:r>
          </w:p>
        </w:tc>
        <w:tc>
          <w:tcPr>
            <w:tcW w:type="dxa" w:w="6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Olivier Marcotte (CRO) · Vinoth Tharma (outage). 2027 MSA renewal strategy, all 10 work packages, rate card, four MSA win scenarios, Aecon capital programme synergy.</w:t>
            </w:r>
          </w:p>
        </w:tc>
      </w:tr>
      <w:tr>
        <w:tc>
          <w:tcPr>
            <w:tcW w:type="dxa" w:w="2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3X Composite (v3)</w:t>
            </w:r>
          </w:p>
        </w:tc>
        <w:tc>
          <w:tcPr>
            <w:tcW w:type="dxa" w:w="6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Vinoth Tharma (East) · Max Aggrey (West) · Keith Reichenbach (ABSA lead). Full product suite, ABSA regulatory pathway, existing $450K track record, pricing model.</w:t>
            </w:r>
          </w:p>
        </w:tc>
      </w:tr>
    </w:tbl>
    <w:p>
      <w:pPr>
        <w:spacing w:after="0" w:before="120"/>
      </w:pPr>
      <w:r>
        <w:t xml:space="preserve"/>
      </w:r>
    </w:p>
    <w:p>
      <w:pPr>
        <w:pStyle w:val="Heading2"/>
        <w:spacing w:after="120" w:before="320"/>
      </w:pPr>
      <w:r>
        <w:rPr>
          <w:rFonts w:ascii="Arial" w:cs="Arial" w:eastAsia="Arial" w:hAnsi="Arial"/>
          <w:color w:val="161C60"/>
        </w:rPr>
        <w:t xml:space="preserve">Meeting Schedule</w:t>
      </w:r>
    </w:p>
    <w:p>
      <w:pPr>
        <w:spacing w:after="100" w:before="0"/>
      </w:pPr>
      <w:r>
        <w:rPr>
          <w:rFonts w:ascii="Arial" w:cs="Arial" w:eastAsia="Arial" w:hAnsi="Arial"/>
          <w:color w:val="384660"/>
          <w:sz w:val="22"/>
          <w:szCs w:val="22"/>
        </w:rPr>
        <w:t xml:space="preserve">All 7 recurring meetings with attendees, cadence, and standing agendas. Each meeting has a </w:t>
      </w:r>
      <w:r>
        <w:rPr>
          <w:rFonts w:ascii="Arial" w:cs="Arial" w:eastAsia="Arial" w:hAnsi="Arial"/>
          <w:b/>
          <w:bCs/>
          <w:color w:val="161C60"/>
          <w:sz w:val="22"/>
          <w:szCs w:val="22"/>
        </w:rPr>
        <w:t xml:space="preserve">"Copy invite"</w:t>
      </w:r>
      <w:r>
        <w:rPr>
          <w:rFonts w:ascii="Arial" w:cs="Arial" w:eastAsia="Arial" w:hAnsi="Arial"/>
          <w:color w:val="384660"/>
          <w:sz w:val="22"/>
          <w:szCs w:val="22"/>
        </w:rPr>
        <w:t xml:space="preserve"> button that copies the full meeting details (title, attendees, agenda) to clipboard — paste directly into a Teams or Outlook meeting invite. The </w:t>
      </w:r>
      <w:r>
        <w:rPr>
          <w:rFonts w:ascii="Arial" w:cs="Arial" w:eastAsia="Arial" w:hAnsi="Arial"/>
          <w:b/>
          <w:bCs/>
          <w:color w:val="161C60"/>
          <w:sz w:val="22"/>
          <w:szCs w:val="22"/>
        </w:rPr>
        <w:t xml:space="preserve">"Create in Teams →"</w:t>
      </w:r>
      <w:r>
        <w:rPr>
          <w:rFonts w:ascii="Arial" w:cs="Arial" w:eastAsia="Arial" w:hAnsi="Arial"/>
          <w:color w:val="384660"/>
          <w:sz w:val="22"/>
          <w:szCs w:val="22"/>
        </w:rPr>
        <w:t xml:space="preserve"> button opens the Teams new meeting form.</w:t>
      </w:r>
    </w:p>
    <w:p>
      <w:pPr>
        <w:pStyle w:val="Heading1"/>
        <w:spacing w:after="160" w:before="480"/>
      </w:pPr>
      <w:r>
        <w:rPr>
          <w:rFonts w:ascii="Arial" w:cs="Arial" w:eastAsia="Arial" w:hAnsi="Arial"/>
          <w:color w:val="161C60"/>
        </w:rPr>
        <w:t xml:space="preserve">7.  Going Live — Connecting to Real Data</w:t>
      </w:r>
    </w:p>
    <w:p>
      <w:pPr>
        <w:pBdr>
          <w:bottom w:val="single" w:color="DDE3F0" w:sz="6" w:space="1"/>
        </w:pBdr>
        <w:spacing w:after="0" w:before="0"/>
      </w:pPr>
      <w:r>
        <w:t xml:space="preserve"/>
      </w:r>
    </w:p>
    <w:p>
      <w:pPr>
        <w:spacing w:after="0" w:before="80"/>
      </w:pPr>
      <w:r>
        <w:t xml:space="preserve"/>
      </w:r>
    </w:p>
    <w:p>
      <w:pPr>
        <w:spacing w:after="100" w:before="0"/>
      </w:pPr>
      <w:r>
        <w:rPr>
          <w:rFonts w:ascii="Arial" w:cs="Arial" w:eastAsia="Arial" w:hAnsi="Arial"/>
          <w:color w:val="384660"/>
          <w:sz w:val="22"/>
          <w:szCs w:val="22"/>
        </w:rPr>
        <w:t xml:space="preserve">The Command Centre currently runs from the static CONFIG block — you update it manually. When BU Services is actively generating revenue (Q3 2026 onwards), the portal can be connected to live data so it updates automatically.</w:t>
      </w:r>
    </w:p>
    <w:p>
      <w:pPr>
        <w:spacing w:after="0" w:before="80"/>
      </w:pPr>
      <w:r>
        <w:t xml:space="preserve"/>
      </w:r>
    </w:p>
    <w:p>
      <w:pPr>
        <w:pStyle w:val="Heading2"/>
        <w:spacing w:after="120" w:before="320"/>
      </w:pPr>
      <w:r>
        <w:rPr>
          <w:rFonts w:ascii="Arial" w:cs="Arial" w:eastAsia="Arial" w:hAnsi="Arial"/>
          <w:color w:val="161C60"/>
        </w:rPr>
        <w:t xml:space="preserve">Phase 2 — SharePoint List connection (Q3 2026)</w:t>
      </w:r>
    </w:p>
    <w:p>
      <w:pPr>
        <w:spacing w:after="80" w:before="0"/>
      </w:pPr>
      <w:r>
        <w:rPr>
          <w:rFonts w:ascii="Arial" w:cs="Arial" w:eastAsia="Arial" w:hAnsi="Arial"/>
          <w:color w:val="384660"/>
          <w:sz w:val="22"/>
          <w:szCs w:val="22"/>
        </w:rPr>
        <w:t xml:space="preserve">When Pipeline rigs are billing and Mining invoices are going out:</w:t>
      </w:r>
    </w:p>
    <w:p>
      <w:pPr>
        <w:pStyle w:val="ListParagraph"/>
        <w:numPr>
          <w:ilvl w:val="0"/>
          <w:numId w:val="3"/>
        </w:numPr>
        <w:spacing w:after="40" w:before="40"/>
      </w:pPr>
      <w:r>
        <w:rPr>
          <w:rFonts w:ascii="Arial" w:cs="Arial" w:eastAsia="Arial" w:hAnsi="Arial"/>
          <w:color w:val="384660"/>
          <w:sz w:val="22"/>
          <w:szCs w:val="22"/>
        </w:rPr>
        <w:t xml:space="preserve">Create a SharePoint List called "BU Services Revenue Actuals" with columns: Initiative, Month, Actual_Revenue</w:t>
      </w:r>
    </w:p>
    <w:p>
      <w:pPr>
        <w:pStyle w:val="ListParagraph"/>
        <w:numPr>
          <w:ilvl w:val="0"/>
          <w:numId w:val="3"/>
        </w:numPr>
        <w:spacing w:after="40" w:before="40"/>
      </w:pPr>
      <w:r>
        <w:rPr>
          <w:rFonts w:ascii="Arial" w:cs="Arial" w:eastAsia="Arial" w:hAnsi="Arial"/>
          <w:color w:val="384660"/>
          <w:sz w:val="22"/>
          <w:szCs w:val="22"/>
        </w:rPr>
        <w:t xml:space="preserve">Jeremy Irwin or Renée Lachance updates the list monthly with actual invoiced revenue per initiative</w:t>
      </w:r>
    </w:p>
    <w:p>
      <w:pPr>
        <w:pStyle w:val="ListParagraph"/>
        <w:numPr>
          <w:ilvl w:val="0"/>
          <w:numId w:val="3"/>
        </w:numPr>
        <w:spacing w:after="40" w:before="40"/>
      </w:pPr>
      <w:r>
        <w:rPr>
          <w:rFonts w:ascii="Arial" w:cs="Arial" w:eastAsia="Arial" w:hAnsi="Arial"/>
          <w:color w:val="384660"/>
          <w:sz w:val="22"/>
          <w:szCs w:val="22"/>
        </w:rPr>
        <w:t xml:space="preserve">I can add a Power Automate flow that reads the list and writes the actuals into the CONFIG block automatically — the portal updates without anyone touching the HTML file</w:t>
      </w:r>
    </w:p>
    <w:p>
      <w:pPr>
        <w:spacing w:after="0" w:before="80"/>
      </w:pPr>
      <w:r>
        <w:t xml:space="preserve"/>
      </w:r>
    </w:p>
    <w:p>
      <w:pPr>
        <w:pStyle w:val="Heading2"/>
        <w:spacing w:after="120" w:before="320"/>
      </w:pPr>
      <w:r>
        <w:rPr>
          <w:rFonts w:ascii="Arial" w:cs="Arial" w:eastAsia="Arial" w:hAnsi="Arial"/>
          <w:color w:val="161C60"/>
        </w:rPr>
        <w:t xml:space="preserve">Phase 3 — Automated email digest (post-MSA award)</w:t>
      </w:r>
    </w:p>
    <w:p>
      <w:pPr>
        <w:spacing w:after="80" w:before="0"/>
      </w:pPr>
      <w:r>
        <w:rPr>
          <w:rFonts w:ascii="Arial" w:cs="Arial" w:eastAsia="Arial" w:hAnsi="Arial"/>
          <w:color w:val="384660"/>
          <w:sz w:val="22"/>
          <w:szCs w:val="22"/>
        </w:rPr>
        <w:t xml:space="preserve">When the plan is in steady-state execution:</w:t>
      </w:r>
    </w:p>
    <w:p>
      <w:pPr>
        <w:pStyle w:val="ListParagraph"/>
        <w:numPr>
          <w:ilvl w:val="0"/>
          <w:numId w:val="3"/>
        </w:numPr>
        <w:spacing w:after="40" w:before="40"/>
      </w:pPr>
      <w:r>
        <w:rPr>
          <w:rFonts w:ascii="Arial" w:cs="Arial" w:eastAsia="Arial" w:hAnsi="Arial"/>
          <w:color w:val="384660"/>
          <w:sz w:val="22"/>
          <w:szCs w:val="22"/>
        </w:rPr>
        <w:t xml:space="preserve">Power Automate scheduled flow — every Sunday at 7PM ET it reads the SharePoint data, generates the digest HTML, and sends it as an Outlook email to the Commercial Leadership group</w:t>
      </w:r>
    </w:p>
    <w:p>
      <w:pPr>
        <w:pStyle w:val="ListParagraph"/>
        <w:numPr>
          <w:ilvl w:val="0"/>
          <w:numId w:val="3"/>
        </w:numPr>
        <w:spacing w:after="40" w:before="40"/>
      </w:pPr>
      <w:r>
        <w:rPr>
          <w:rFonts w:ascii="Arial" w:cs="Arial" w:eastAsia="Arial" w:hAnsi="Arial"/>
          <w:color w:val="384660"/>
          <w:sz w:val="22"/>
          <w:szCs w:val="22"/>
        </w:rPr>
        <w:t xml:space="preserve">No manual copy-paste required — the email lands in everyone's inbox Monday morning automatically</w:t>
      </w:r>
    </w:p>
    <w:p>
      <w:pPr>
        <w:pStyle w:val="ListParagraph"/>
        <w:numPr>
          <w:ilvl w:val="0"/>
          <w:numId w:val="3"/>
        </w:numPr>
        <w:spacing w:after="40" w:before="40"/>
      </w:pPr>
      <w:r>
        <w:rPr>
          <w:rFonts w:ascii="Arial" w:cs="Arial" w:eastAsia="Arial" w:hAnsi="Arial"/>
          <w:color w:val="384660"/>
          <w:sz w:val="22"/>
          <w:szCs w:val="22"/>
        </w:rPr>
        <w:t xml:space="preserve">All of this runs within your existing Office 365 licence — no new tools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B24" w:sz="4"/>
              <w:left w:val="none" w:color="FFFFFF" w:sz="0"/>
              <w:bottom w:val="none" w:color="FFFFFF" w:sz="0"/>
              <w:right w:val="none" w:color="FFFFFF" w:sz="0"/>
            </w:tcBorders>
            <w:shd w:fill="E8F5E9" w:val="clear"/>
            <w:tcMar>
              <w:top w:type="dxa" w:w="120"/>
              <w:left w:type="dxa" w:w="180"/>
              <w:bottom w:type="dxa" w:w="20"/>
              <w:right w:type="dxa" w:w="120"/>
            </w:tcMar>
          </w:tcPr>
          <w:p>
            <w:pPr>
              <w:spacing w:after="0" w:before="0"/>
            </w:pPr>
            <w:r>
              <w:rPr>
                <w:rFonts w:ascii="Arial" w:cs="Arial" w:eastAsia="Arial" w:hAnsi="Arial"/>
                <w:b/>
                <w:bCs/>
                <w:color w:val="196B24"/>
                <w:sz w:val="20"/>
                <w:szCs w:val="20"/>
              </w:rPr>
              <w:t xml:space="preserve">Ready to build Phase 2 or 3 when you need it</w:t>
            </w:r>
          </w:p>
        </w:tc>
      </w:tr>
      <w:tr>
        <w:tc>
          <w:tcPr>
            <w:tcW w:type="dxa" w:w="9360"/>
            <w:tcBorders>
              <w:top w:val="none" w:color="FFFFFF" w:sz="0"/>
              <w:left w:val="none" w:color="FFFFFF" w:sz="0"/>
              <w:bottom w:val="single" w:color="196B24" w:sz="4"/>
              <w:right w:val="none" w:color="FFFFFF" w:sz="0"/>
            </w:tcBorders>
            <w:shd w:fill="E8F5E9" w:val="clear"/>
            <w:tcMar>
              <w:top w:type="dxa" w:w="20"/>
              <w:left w:type="dxa" w:w="180"/>
              <w:bottom w:type="dxa" w:w="120"/>
              <w:right w:type="dxa" w:w="120"/>
            </w:tcMar>
          </w:tcPr>
          <w:p>
            <w:pPr>
              <w:spacing w:after="0" w:before="0"/>
            </w:pPr>
            <w:r>
              <w:rPr>
                <w:rFonts w:ascii="Arial" w:cs="Arial" w:eastAsia="Arial" w:hAnsi="Arial"/>
                <w:color w:val="384660"/>
                <w:sz w:val="21"/>
                <w:szCs w:val="21"/>
              </w:rPr>
              <w:t xml:space="preserve">When the feedback review is complete and the plan is in active execution, come back to this conversation and say "Ready for Phase 2" — I will build the SharePoint List structure, the Power Automate flow, and the automated digest connection. Everything needed to make the portal fully live.</w:t>
            </w:r>
          </w:p>
        </w:tc>
      </w:tr>
    </w:tbl>
    <w:p>
      <w:pPr>
        <w:pStyle w:val="Heading1"/>
        <w:spacing w:after="160" w:before="480"/>
      </w:pPr>
      <w:r>
        <w:rPr>
          <w:rFonts w:ascii="Arial" w:cs="Arial" w:eastAsia="Arial" w:hAnsi="Arial"/>
          <w:color w:val="161C60"/>
        </w:rPr>
        <w:t xml:space="preserve">8.  Quick Reference Card</w:t>
      </w:r>
    </w:p>
    <w:p>
      <w:pPr>
        <w:pBdr>
          <w:bottom w:val="single" w:color="DDE3F0" w:sz="6"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Task</w:t>
            </w:r>
          </w:p>
        </w:tc>
        <w:tc>
          <w:tcPr>
            <w:tcW w:type="dxa" w:w="26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How</w:t>
            </w:r>
          </w:p>
        </w:tc>
        <w:tc>
          <w:tcPr>
            <w:tcW w:type="dxa" w:w="3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0" w:before="0"/>
            </w:pPr>
            <w:r>
              <w:rPr>
                <w:rFonts w:ascii="Arial" w:cs="Arial" w:eastAsia="Arial" w:hAnsi="Arial"/>
                <w:b/>
                <w:bCs/>
                <w:color w:val="FFFFFF"/>
                <w:sz w:val="21"/>
                <w:szCs w:val="21"/>
              </w:rPr>
              <w:t xml:space="preserve">Time</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Open Command Centre</w:t>
            </w:r>
          </w:p>
        </w:tc>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Double-click the HTML file</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&lt; 5 sec</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Update a revenue actual</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Edit CONFIG → actual2026</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&lt; 2 min</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Mark a gate complete</w:t>
            </w:r>
          </w:p>
        </w:tc>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Edit CONFIG → status: "green"</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&lt; 1 min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Trigger a risk</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Edit CONFIG → status: "triggered"</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&lt; 1 min</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Send Monday digest</w:t>
            </w:r>
          </w:p>
        </w:tc>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Copy HTML button → paste in Outlook</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3 min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Send review file to reviewer</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Copy &amp; rename the Excel file</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1 min</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Consolidate reviewer feedback</w:t>
            </w:r>
          </w:p>
        </w:tc>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Run consolidate_reviews.py</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&lt; 1 min</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Add to Teams tab</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Upload to SharePoint → + tab → Website</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5 min</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Update a document</w:t>
            </w:r>
          </w:p>
        </w:tc>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Edit the HTML file directly</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Varies</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161C60"/>
                <w:sz w:val="21"/>
                <w:szCs w:val="21"/>
              </w:rPr>
              <w:t xml:space="preserve">Check review progress</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Open Summary Dashboard tab in Excel</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0" w:before="0"/>
            </w:pPr>
            <w:r>
              <w:rPr>
                <w:rFonts w:ascii="Arial" w:cs="Arial" w:eastAsia="Arial" w:hAnsi="Arial"/>
                <w:b w:val="false"/>
                <w:bCs w:val="false"/>
                <w:color w:val="384660"/>
                <w:sz w:val="21"/>
                <w:szCs w:val="21"/>
              </w:rPr>
              <w:t xml:space="preserve">30 sec</w:t>
            </w:r>
          </w:p>
        </w:tc>
      </w:tr>
    </w:tbl>
    <w:p>
      <w:pPr>
        <w:spacing w:after="0" w:before="200"/>
      </w:pPr>
      <w:r>
        <w:t xml:space="preserve"/>
      </w:r>
    </w:p>
    <w:p>
      <w:pPr>
        <w:pBdr>
          <w:top w:val="single" w:color="22882F" w:sz="8" w:space="1"/>
        </w:pBdr>
        <w:spacing w:after="0" w:before="0"/>
      </w:pPr>
    </w:p>
    <w:p>
      <w:pPr>
        <w:spacing w:after="0" w:before="120"/>
      </w:pPr>
      <w:r>
        <w:t xml:space="preserve"/>
      </w:r>
    </w:p>
    <w:p>
      <w:pPr>
        <w:spacing w:after="0" w:before="0"/>
        <w:jc w:val="center"/>
      </w:pPr>
      <w:r>
        <w:rPr>
          <w:rFonts w:ascii="Arial" w:cs="Arial" w:eastAsia="Arial" w:hAnsi="Arial"/>
          <w:color w:val="AAAAAA"/>
          <w:sz w:val="18"/>
          <w:szCs w:val="18"/>
        </w:rPr>
        <w:t xml:space="preserve">BU Services Command Centre &amp; Document Suite  ·  How to Use Guide  ·  v1.0  ·  May 2026</w:t>
      </w:r>
    </w:p>
    <w:p>
      <w:pPr>
        <w:spacing w:after="0" w:before="40"/>
        <w:jc w:val="center"/>
      </w:pPr>
      <w:r>
        <w:rPr>
          <w:rFonts w:ascii="Arial" w:cs="Arial" w:eastAsia="Arial" w:hAnsi="Arial"/>
          <w:color w:val="CCCCCC"/>
          <w:sz w:val="18"/>
          <w:szCs w:val="18"/>
        </w:rPr>
        <w:t xml:space="preserve">Ekoscan Integrity Group  ·  Jon Eustace, CEO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space="1"/>
      </w:pBdr>
      <w:tabs>
        <w:tab w:val="center" w:pos="4680"/>
        <w:tab w:val="right" w:pos="9360"/>
      </w:tabs>
      <w:spacing w:after="0" w:before="0"/>
    </w:pPr>
    <w:r>
      <w:rPr>
        <w:rFonts w:ascii="Arial" w:cs="Arial" w:eastAsia="Arial" w:hAnsi="Arial"/>
        <w:color w:val="AAAAAA"/>
        <w:sz w:val="18"/>
        <w:szCs w:val="18"/>
      </w:rPr>
      <w:t xml:space="preserve">Confidential — Ekoscan Integrity Group</w:t>
    </w:r>
    <w:r>
      <w:rPr>
        <w:rFonts w:ascii="Arial" w:cs="Arial" w:eastAsia="Arial" w:hAnsi="Arial"/>
        <w:sz w:val="18"/>
        <w:szCs w:val="18"/>
      </w:rPr>
      <w:t xml:space="preserve">	</w:t>
    </w:r>
    <w:r>
      <w:rPr>
        <w:rFonts w:ascii="Arial" w:cs="Arial" w:eastAsia="Arial" w:hAnsi="Arial"/>
        <w:color w:val="AAAAAA"/>
        <w:sz w:val="18"/>
        <w:szCs w:val="18"/>
      </w:rPr>
      <w:t xml:space="preserve">May 2026</w:t>
    </w:r>
    <w:r>
      <w:rPr>
        <w:rFonts w:ascii="Arial" w:cs="Arial" w:eastAsia="Arial" w:hAnsi="Arial"/>
        <w:sz w:val="18"/>
        <w:szCs w:val="18"/>
      </w:rPr>
      <w:t xml:space="preserve">	</w:t>
    </w:r>
    <w:r>
      <w:rPr>
        <w:rFonts w:ascii="Arial" w:cs="Arial" w:eastAsia="Arial" w:hAnsi="Arial"/>
        <w:color w:val="AAAAAA"/>
        <w:sz w:val="18"/>
        <w:szCs w:val="18"/>
      </w:rPr>
      <w:t xml:space="preserve">Page </w:t>
    </w:r>
    <w:r>
      <w:rPr>
        <w:rFonts w:ascii="Arial" w:cs="Arial" w:hAnsi="Arial"/>
        <w:color w:val="AAAAAA"/>
        <w:sz w:val="18"/>
        <w:szCs w:val="18"/>
      </w:rPr>
      <w:fldChar w:fldCharType="begin"/>
    </w:r>
    <w:r>
      <w:rPr>
        <w:rFonts w:ascii="Arial" w:cs="Arial" w:hAnsi="Arial"/>
        <w:color w:val="AAAAAA"/>
        <w:sz w:val="18"/>
        <w:szCs w:val="18"/>
      </w:rPr>
      <w:instrText xml:space="preserve"> PAGE </w:instrText>
    </w:r>
    <w:r>
      <w:rPr>
        <w:rFonts w:ascii="Arial" w:cs="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space="1"/>
      </w:pBdr>
      <w:spacing w:after="0" w:before="0"/>
    </w:pPr>
    <w:r>
      <w:rPr>
        <w:rFonts w:ascii="Arial" w:cs="Arial" w:eastAsia="Arial" w:hAnsi="Arial"/>
        <w:color w:val="888888"/>
        <w:sz w:val="18"/>
        <w:szCs w:val="18"/>
      </w:rPr>
      <w:t xml:space="preserve">BU Services — Command Centre &amp; Document Suite</w:t>
    </w:r>
    <w:r>
      <w:rPr>
        <w:rFonts w:ascii="Arial" w:cs="Arial" w:eastAsia="Arial" w:hAnsi="Arial"/>
        <w:color w:val="AAAAAA"/>
        <w:sz w:val="18"/>
        <w:szCs w:val="18"/>
      </w:rPr>
      <w:t xml:space="preserve">   ·   How to Use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lvl w:ilvl="1" w15:tentative="1">
      <w:start w:val="1"/>
      <w:numFmt w:val="bullet"/>
      <w:lvlText w:val="–"/>
      <w:lvlJc w:val="left"/>
      <w:pPr>
        <w:ind w:left="90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846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1C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1C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2026-04-17T23:13:59.423Z</dcterms:created>
  <dcterms:modified xsi:type="dcterms:W3CDTF">2026-04-17T23:13:59.424Z</dcterms:modified>
</cp:coreProperties>
</file>

<file path=docProps/custom.xml><?xml version="1.0" encoding="utf-8"?>
<Properties xmlns="http://schemas.openxmlformats.org/officeDocument/2006/custom-properties" xmlns:vt="http://schemas.openxmlformats.org/officeDocument/2006/docPropsVTypes"/>
</file>