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4"/>
                <w:szCs w:val="24"/>
              </w:rPr>
              <w:t xml:space="preserve">EKOSCAN INTEGRITY GROUP — BU SERVICES</w:t>
            </w:r>
          </w:p>
        </w:tc>
      </w:tr>
    </w:tbl>
    <w:p>
      <w:pPr>
        <w:spacing w:after="0" w:before="40"/>
      </w:pPr>
    </w:p>
    <w:p>
      <w:pPr>
        <w:spacing w:after="40" w:before="40"/>
      </w:pPr>
      <w:r>
        <w:rPr>
          <w:rFonts w:ascii="Arial" w:cs="Arial" w:eastAsia="Arial" w:hAnsi="Arial"/>
          <w:b/>
          <w:bCs/>
          <w:color w:val="0A1F5C"/>
          <w:sz w:val="36"/>
          <w:szCs w:val="36"/>
        </w:rPr>
        <w:t xml:space="preserve">Jeremy Irwin</w:t>
      </w:r>
    </w:p>
    <w:p>
      <w:pPr>
        <w:spacing w:after="40" w:before="40"/>
      </w:pPr>
      <w:r>
        <w:rPr>
          <w:rFonts w:ascii="Arial" w:cs="Arial" w:eastAsia="Arial" w:hAnsi="Arial"/>
          <w:b/>
          <w:bCs/>
          <w:color w:val="1C2B4A"/>
          <w:sz w:val="28"/>
          <w:szCs w:val="28"/>
        </w:rPr>
        <w:t xml:space="preserve">Director of Finance, EIG NA</w:t>
      </w:r>
    </w:p>
    <w:p>
      <w:pPr>
        <w:spacing w:after="40" w:before="40"/>
      </w:pPr>
      <w:r>
        <w:rPr>
          <w:rFonts w:ascii="Arial" w:cs="Arial" w:eastAsia="Arial" w:hAnsi="Arial"/>
          <w:i/>
          <w:iCs/>
          <w:color w:val="6678A0"/>
          <w:sz w:val="20"/>
          <w:szCs w:val="20"/>
        </w:rPr>
        <w:t xml:space="preserve">Employer: Ekoscan Integrity Group (EIG)  ·  Level: EIG NA — financial oversight across BU Services</w:t>
      </w:r>
    </w:p>
    <w:p>
      <w:pPr>
        <w:spacing w:after="0" w:before="60"/>
      </w:pPr>
    </w:p>
    <w:p>
      <w:pPr>
        <w:spacing w:after="40" w:before="40"/>
      </w:pPr>
      <w:r>
        <w:rPr>
          <w:rFonts w:ascii="Arial" w:cs="Arial" w:eastAsia="Arial" w:hAnsi="Arial"/>
          <w:color w:val="000000"/>
          <w:sz w:val="22"/>
          <w:szCs w:val="22"/>
        </w:rPr>
        <w:t xml:space="preserve">You sit at EIG NA level, working alongside Jon Eustace. You are not in his reporting line — you are a peer at EIG NA level, providing the financial operating system for BU Services. Your mandate is the financial operating system for BU Services — monthly actuals, CAPEX tracking, budget inputs, and the Eurazeo / EIG reporting pack. You are the financial bridge between what the commercial and ops teams are doing on the ground and what Jon and Mathieu report to Eurazeo. Without your numbers, the Command Centre is blind and the Eurazeo reporting pack cannot be built. Your role is quiet, precise, and load-bearing.</w:t>
      </w:r>
    </w:p>
    <w:p>
      <w:pPr>
        <w:pStyle w:val="Heading1"/>
        <w:pBdr>
          <w:bottom w:val="single" w:color="00AEEF" w:sz="4"/>
        </w:pBdr>
        <w:spacing w:after="100" w:before="280"/>
      </w:pPr>
      <w:r>
        <w:rPr>
          <w:rFonts w:ascii="Arial" w:cs="Arial" w:eastAsia="Arial" w:hAnsi="Arial"/>
          <w:b/>
          <w:bCs/>
          <w:color w:val="0A1F5C"/>
          <w:sz w:val="28"/>
          <w:szCs w:val="28"/>
        </w:rPr>
        <w:t xml:space="preserve">1.  Your Position in the Org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2"/>
                <w:szCs w:val="22"/>
              </w:rPr>
              <w:t xml:space="preserve">EIG NA level — above the Nucleom / Nortech entity line</w:t>
            </w:r>
          </w:p>
          <w:p>
            <w:pPr>
              <w:spacing w:after="80" w:before="80"/>
              <w:ind w:left="200" w:right="200"/>
            </w:pPr>
            <w:r>
              <w:rPr>
                <w:rFonts w:ascii="Arial" w:cs="Arial" w:eastAsia="Arial" w:hAnsi="Arial"/>
                <w:color w:val="D0DCF0"/>
                <w:sz w:val="20"/>
                <w:szCs w:val="20"/>
              </w:rPr>
              <w:t xml:space="preserve">You are employed by EIG, not Nucleom or Nortech. Your financial remit covers both entities — Nucleom (incl. former Arcanite, now fully amalgamated) and Nortech + RockX. You work alongside Jon Eustace at EIG NA level — you are not in his reporting line. Mathieu Beauchesne (EVP) is your primary counterpart for financial review preparation and Eurazeo pack content.</w:t>
            </w:r>
          </w:p>
          <w:p>
            <w:pPr>
              <w:spacing w:after="80" w:before="80"/>
              <w:ind w:left="200" w:right="200"/>
            </w:pPr>
            <w:r>
              <w:rPr>
                <w:rFonts w:ascii="Arial" w:cs="Arial" w:eastAsia="Arial" w:hAnsi="Arial"/>
                <w:color w:val="FFFFFF"/>
                <w:sz w:val="18"/>
                <w:szCs w:val="18"/>
              </w:rPr>
              <w:t xml:space="preserve"> </w:t>
            </w:r>
          </w:p>
          <w:p>
            <w:pPr>
              <w:spacing w:after="80" w:before="80"/>
              <w:ind w:left="200" w:right="200"/>
            </w:pPr>
            <w:r>
              <w:rPr>
                <w:rFonts w:ascii="Arial" w:cs="Arial" w:eastAsia="Arial" w:hAnsi="Arial"/>
                <w:color w:val="D0DCF0"/>
                <w:sz w:val="20"/>
                <w:szCs w:val="20"/>
              </w:rPr>
              <w:t xml:space="preserve">You do not run the P&amp;L — that sits with Mathieu. You are the financial data steward: actuals accuracy, CAPEX tracking, budgets loaded into the system, and financial inputs assembled for reporting. The CFO function for the BU Services platform.</w:t>
            </w:r>
          </w:p>
        </w:tc>
      </w:tr>
    </w:tbl>
    <w:p>
      <w:pPr>
        <w:spacing w:after="0" w:before="120"/>
      </w:pPr>
    </w:p>
    <w:p>
      <w:pPr>
        <w:pStyle w:val="Heading1"/>
        <w:pBdr>
          <w:bottom w:val="single" w:color="00AEEF" w:sz="4"/>
        </w:pBdr>
        <w:spacing w:after="100" w:before="280"/>
      </w:pPr>
      <w:r>
        <w:rPr>
          <w:rFonts w:ascii="Arial" w:cs="Arial" w:eastAsia="Arial" w:hAnsi="Arial"/>
          <w:b/>
          <w:bCs/>
          <w:color w:val="0A1F5C"/>
          <w:sz w:val="28"/>
          <w:szCs w:val="28"/>
        </w:rPr>
        <w:t xml:space="preserve">2.  Your Weekly and Monthly Rhythm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Category</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Detail</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Action</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When</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Detail</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Enter Nortech actuals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 — by 5th of each month</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Nortech is not in Salesforce. You enter Nortech + RockX invoiced revenue into actuals.json manually each month. This is the only source of Nortech actual revenue in the Command Centre.</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Enter budget figures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Once per year — before Jan 31</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Annual budget by entity (NUC, NOR, INT, ARC NDT) and EUR/CAD exchange rate into actuals.json. This unlocks the Deck Report section of the Command Centre.</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CAPEX tracking update</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 — before Financial Review</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CAPEX actual vs. approved plan by initiative. Pipeline rig procurement, 3X tooling, Nuclear instrument upgrades. Presented at Financial Review monthly.</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Financial Review prep</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Monthly — 1st Thursday</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Prepare monthly actuals by initiative (Mining, Pipeline, Powerline, Nuclear, 3X) from the invoicing system. YTD actual vs. YTD plan. Presented to Jon at the Financial Review.</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Nuclear rate card review</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Ad hoc — when Nuclear Steering requires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Review proposed 2027 OPG rate card against 2020 MSA baseline and market benchmarks before any submission. Olivier Marcotte requests this from the Nuclear Steering cycle.</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Eurazeo pack support</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Quarterly — with Charles Recape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Work with Charles Recape to assemble the quarterly Eurazeo financial reporting pack (revenue, EBITDA, FCF vs. plan). Jon and Mathieu present; you and Charles build the pack.</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Gate Review numbers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 — last Friday</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Provide consolidated YTD actuals vs. initiative targets for the monthly Gate Review. Mathieu Beauchesne presents; you supply the numbers.</w:t>
            </w:r>
          </w:p>
        </w:tc>
      </w:tr>
    </w:tbl>
    <w:p>
      <w:pPr>
        <w:pStyle w:val="Heading1"/>
        <w:pBdr>
          <w:bottom w:val="single" w:color="00AEEF" w:sz="4"/>
        </w:pBdr>
        <w:spacing w:after="100" w:before="280"/>
      </w:pPr>
      <w:r>
        <w:rPr>
          <w:rFonts w:ascii="Arial" w:cs="Arial" w:eastAsia="Arial" w:hAnsi="Arial"/>
          <w:b/>
          <w:bCs/>
          <w:color w:val="0A1F5C"/>
          <w:sz w:val="28"/>
          <w:szCs w:val="28"/>
        </w:rPr>
        <w:t xml:space="preserve">3.  Your Role in the Command Centre</w:t>
      </w:r>
    </w:p>
    <w:p>
      <w:pPr>
        <w:spacing w:after="40" w:before="40"/>
      </w:pPr>
      <w:r>
        <w:rPr>
          <w:rFonts w:ascii="Arial" w:cs="Arial" w:eastAsia="Arial" w:hAnsi="Arial"/>
          <w:color w:val="000000"/>
          <w:sz w:val="22"/>
          <w:szCs w:val="22"/>
        </w:rPr>
        <w:t xml:space="preserve">You are the single human touchpoint for financial data entering the Command Centre. Power Automate handles Salesforce data automatically — but everything on the financial and budget side requires your action.</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Category</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Detail</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System / File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Your action</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Impact if missed</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actuals.json — nortech key</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Enter Nortech + RockX invoiced revenue monthly. File lives on SharePoint — open, update the nortech.actual field, save.</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Nortech revenue shows as $0 in the Command Centre and all Eurazeo reporting.</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actuals.json — budget_* keys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Enter NUC / NOR / INT / ARC NDT annual budgets once per year. Enter EUR/CAD rate (eur_rate field).</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The Deck Report section of the Command Centre shows dashes instead of budget vs. actuals. Eurazeo pack comparisons are not possible.</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actuals.json — bookings / commit / upside keys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Confirm with Mathieu each month whether Bookings, Commit, and Upside pipeline figures from Salesforce match the financial model. Flag any discrepancies before the Financial Review.</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The performance table in the Command Centre shows mismatches between SF and financial model.</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actuals.json — monthly object</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The monthly breakdown (January through December) by entity is populated by Power Automate for Nucleom. You add Nortech monthly actuals to the monthly object manually each month.</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Monthly Revenue chart in the Command Centre shows Nortech as zero in the bar chart and table.</w:t>
            </w:r>
          </w:p>
        </w:tc>
      </w:tr>
    </w:tbl>
    <w:p>
      <w:pPr>
        <w:pStyle w:val="Heading1"/>
        <w:pBdr>
          <w:bottom w:val="single" w:color="00AEEF" w:sz="4"/>
        </w:pBdr>
        <w:spacing w:after="100" w:before="280"/>
      </w:pPr>
      <w:r>
        <w:rPr>
          <w:rFonts w:ascii="Arial" w:cs="Arial" w:eastAsia="Arial" w:hAnsi="Arial"/>
          <w:b/>
          <w:bCs/>
          <w:color w:val="0A1F5C"/>
          <w:sz w:val="28"/>
          <w:szCs w:val="28"/>
        </w:rPr>
        <w:t xml:space="preserve">4.  Decision Authority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Category</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Detail</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Decision type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Your authority</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Who to bring it to</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Actuals entry</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Full authority — you own this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No approval needed. Enter and confirm with Jon at Financial Review.</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Budget figures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Enter figures as agreed — no independent revision</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Jon Eustace and Mathieu Beauchesne set the budget. You load it.</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CAPEX release under $200K</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Flag and track — no sign-off authority</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Mathieu Beauchesne or Jon Eustace signs off. You process and track.</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CAPEX release $200K–$500K</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Prepare the release document; present at Financial Review</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Jon Eustace approves.</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CAPEX release over $500K</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Prepare the business case</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Jon + EIG / Eurazeo approval required before commitment.</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Forecast revision</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No authority to revise independently</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Jon Eustace determines whether a revision is needed. You and Charles Recape build the revised numbers.</w:t>
            </w:r>
          </w:p>
        </w:tc>
      </w:tr>
    </w:tbl>
    <w:p>
      <w:pPr>
        <w:pStyle w:val="Heading1"/>
        <w:pBdr>
          <w:bottom w:val="single" w:color="00AEEF" w:sz="4"/>
        </w:pBdr>
        <w:spacing w:after="100" w:before="280"/>
      </w:pPr>
      <w:r>
        <w:rPr>
          <w:rFonts w:ascii="Arial" w:cs="Arial" w:eastAsia="Arial" w:hAnsi="Arial"/>
          <w:b/>
          <w:bCs/>
          <w:color w:val="0A1F5C"/>
          <w:sz w:val="28"/>
          <w:szCs w:val="28"/>
        </w:rPr>
        <w:t xml:space="preserve">5.  Key Relationships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40"/>
            <w:tcBorders>
              <w:top w:val="none" w:color="FFFFFF" w:sz="0"/>
              <w:left w:val="none" w:color="FFFFFF" w:sz="0"/>
              <w:bottom w:val="none" w:color="FFFFFF" w:sz="0"/>
              <w:right w:val="none" w:color="FFFFFF" w:sz="0"/>
            </w:tcBorders>
            <w:shd w:fill="00AEEF" w:val="clear"/>
            <w:vAlign w:val="top"/>
          </w:tcPr>
          <w:p>
            <w:pPr>
              <w:spacing w:after="60" w:before="60"/>
            </w:pPr>
            <w:r>
              <w:rPr>
                <w:sz w:val="20"/>
                <w:szCs w:val="20"/>
              </w:rPr>
              <w:t xml:space="preserve"/>
            </w:r>
          </w:p>
        </w:tc>
        <w:tc>
          <w:tcPr>
            <w:tcW w:type="dxa" w:w="8160"/>
            <w:tcBorders>
              <w:top w:val="none" w:color="FFFFFF" w:sz="0"/>
              <w:left w:val="none" w:color="FFFFFF" w:sz="0"/>
              <w:bottom w:val="none" w:color="FFFFFF" w:sz="0"/>
              <w:right w:val="none" w:color="FFFFFF" w:sz="0"/>
            </w:tcBorders>
          </w:tcPr>
          <w:p>
            <w:pPr>
              <w:spacing w:after="80" w:before="80"/>
              <w:ind w:left="180"/>
            </w:pPr>
            <w:r>
              <w:rPr>
                <w:rFonts w:ascii="Arial" w:cs="Arial" w:eastAsia="Arial" w:hAnsi="Arial"/>
                <w:b/>
                <w:bCs/>
                <w:color w:val="0A1F5C"/>
                <w:sz w:val="22"/>
                <w:szCs w:val="22"/>
              </w:rPr>
              <w:t xml:space="preserve">Jon Eustace — CEO North America, Ekoscan Integrity Group</w:t>
            </w:r>
            <w:r>
              <w:rPr>
                <w:rFonts w:ascii="Arial" w:cs="Arial" w:eastAsia="Arial" w:hAnsi="Arial"/>
                <w:color w:val="000000"/>
                <w:sz w:val="22"/>
                <w:szCs w:val="22"/>
              </w:rPr>
              <w:t xml:space="preserve">
You work alongside Jon at EIG NA level. He needs the financial picture to be accurate for every Commercial Meeting, Gate Review, Financial Review, and Eurazeo quarterly. When something is wrong with the numbers, you tell Jon first — before it surfaces in a meeting.</w:t>
            </w: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40"/>
            <w:tcBorders>
              <w:top w:val="none" w:color="FFFFFF" w:sz="0"/>
              <w:left w:val="none" w:color="FFFFFF" w:sz="0"/>
              <w:bottom w:val="none" w:color="FFFFFF" w:sz="0"/>
              <w:right w:val="none" w:color="FFFFFF" w:sz="0"/>
            </w:tcBorders>
            <w:shd w:fill="00AEEF" w:val="clear"/>
            <w:vAlign w:val="top"/>
          </w:tcPr>
          <w:p>
            <w:pPr>
              <w:spacing w:after="60" w:before="60"/>
            </w:pPr>
            <w:r>
              <w:rPr>
                <w:sz w:val="20"/>
                <w:szCs w:val="20"/>
              </w:rPr>
              <w:t xml:space="preserve"/>
            </w:r>
          </w:p>
        </w:tc>
        <w:tc>
          <w:tcPr>
            <w:tcW w:type="dxa" w:w="8160"/>
            <w:tcBorders>
              <w:top w:val="none" w:color="FFFFFF" w:sz="0"/>
              <w:left w:val="none" w:color="FFFFFF" w:sz="0"/>
              <w:bottom w:val="none" w:color="FFFFFF" w:sz="0"/>
              <w:right w:val="none" w:color="FFFFFF" w:sz="0"/>
            </w:tcBorders>
          </w:tcPr>
          <w:p>
            <w:pPr>
              <w:spacing w:after="80" w:before="80"/>
              <w:ind w:left="180"/>
            </w:pPr>
            <w:r>
              <w:rPr>
                <w:rFonts w:ascii="Arial" w:cs="Arial" w:eastAsia="Arial" w:hAnsi="Arial"/>
                <w:b/>
                <w:bCs/>
                <w:color w:val="0A1F5C"/>
                <w:sz w:val="22"/>
                <w:szCs w:val="22"/>
              </w:rPr>
              <w:t xml:space="preserve">Mathieu Beauchesne — EVP, Powerline · Cigre</w:t>
            </w:r>
            <w:r>
              <w:rPr>
                <w:rFonts w:ascii="Arial" w:cs="Arial" w:eastAsia="Arial" w:hAnsi="Arial"/>
                <w:color w:val="000000"/>
                <w:sz w:val="22"/>
                <w:szCs w:val="22"/>
              </w:rPr>
              <w:t xml:space="preserve">
Mathieu is your primary counterpart for the Eurazeo financial reporting pack and for CAPEX decisions. He presents at Gate Reviews and Financial Reviews — you supply the numbers. The financial model that Eurazeo uses lives with Mathieu. Any discrepancies between your actuals and his model need to be resolved before they reach Jon.</w:t>
            </w: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40"/>
            <w:tcBorders>
              <w:top w:val="none" w:color="FFFFFF" w:sz="0"/>
              <w:left w:val="none" w:color="FFFFFF" w:sz="0"/>
              <w:bottom w:val="none" w:color="FFFFFF" w:sz="0"/>
              <w:right w:val="none" w:color="FFFFFF" w:sz="0"/>
            </w:tcBorders>
            <w:shd w:fill="00AEEF" w:val="clear"/>
            <w:vAlign w:val="top"/>
          </w:tcPr>
          <w:p>
            <w:pPr>
              <w:spacing w:after="60" w:before="60"/>
            </w:pPr>
            <w:r>
              <w:rPr>
                <w:sz w:val="20"/>
                <w:szCs w:val="20"/>
              </w:rPr>
              <w:t xml:space="preserve"/>
            </w:r>
          </w:p>
        </w:tc>
        <w:tc>
          <w:tcPr>
            <w:tcW w:type="dxa" w:w="8160"/>
            <w:tcBorders>
              <w:top w:val="none" w:color="FFFFFF" w:sz="0"/>
              <w:left w:val="none" w:color="FFFFFF" w:sz="0"/>
              <w:bottom w:val="none" w:color="FFFFFF" w:sz="0"/>
              <w:right w:val="none" w:color="FFFFFF" w:sz="0"/>
            </w:tcBorders>
          </w:tcPr>
          <w:p>
            <w:pPr>
              <w:spacing w:after="80" w:before="80"/>
              <w:ind w:left="180"/>
            </w:pPr>
            <w:r>
              <w:rPr>
                <w:rFonts w:ascii="Arial" w:cs="Arial" w:eastAsia="Arial" w:hAnsi="Arial"/>
                <w:b/>
                <w:bCs/>
                <w:color w:val="0A1F5C"/>
                <w:sz w:val="22"/>
                <w:szCs w:val="22"/>
              </w:rPr>
              <w:t xml:space="preserve">Charles Recape — Eurazeo / Financial Pack</w:t>
            </w:r>
            <w:r>
              <w:rPr>
                <w:rFonts w:ascii="Arial" w:cs="Arial" w:eastAsia="Arial" w:hAnsi="Arial"/>
                <w:color w:val="000000"/>
                <w:sz w:val="22"/>
                <w:szCs w:val="22"/>
              </w:rPr>
              <w:t xml:space="preserve">
Charles is your counterpart on the Eurazeo reporting pack. You provide the BU Services actuals (Nucleom, Nortech, CAPEX). Charles builds the pack against the Eurazeo financial model. You should be aligned on the numbers before any quarterly update goes to Eurazeo.</w:t>
            </w: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40"/>
            <w:tcBorders>
              <w:top w:val="none" w:color="FFFFFF" w:sz="0"/>
              <w:left w:val="none" w:color="FFFFFF" w:sz="0"/>
              <w:bottom w:val="none" w:color="FFFFFF" w:sz="0"/>
              <w:right w:val="none" w:color="FFFFFF" w:sz="0"/>
            </w:tcBorders>
            <w:shd w:fill="00AEEF" w:val="clear"/>
            <w:vAlign w:val="top"/>
          </w:tcPr>
          <w:p>
            <w:pPr>
              <w:spacing w:after="60" w:before="60"/>
            </w:pPr>
            <w:r>
              <w:rPr>
                <w:sz w:val="20"/>
                <w:szCs w:val="20"/>
              </w:rPr>
              <w:t xml:space="preserve"/>
            </w:r>
          </w:p>
        </w:tc>
        <w:tc>
          <w:tcPr>
            <w:tcW w:type="dxa" w:w="8160"/>
            <w:tcBorders>
              <w:top w:val="none" w:color="FFFFFF" w:sz="0"/>
              <w:left w:val="none" w:color="FFFFFF" w:sz="0"/>
              <w:bottom w:val="none" w:color="FFFFFF" w:sz="0"/>
              <w:right w:val="none" w:color="FFFFFF" w:sz="0"/>
            </w:tcBorders>
          </w:tcPr>
          <w:p>
            <w:pPr>
              <w:spacing w:after="80" w:before="80"/>
              <w:ind w:left="180"/>
            </w:pPr>
            <w:r>
              <w:rPr>
                <w:rFonts w:ascii="Arial" w:cs="Arial" w:eastAsia="Arial" w:hAnsi="Arial"/>
                <w:b/>
                <w:bCs/>
                <w:color w:val="0A1F5C"/>
                <w:sz w:val="22"/>
                <w:szCs w:val="22"/>
              </w:rPr>
              <w:t xml:space="preserve">Renée Lachance — Nucleom Finance</w:t>
            </w:r>
            <w:r>
              <w:rPr>
                <w:rFonts w:ascii="Arial" w:cs="Arial" w:eastAsia="Arial" w:hAnsi="Arial"/>
                <w:color w:val="000000"/>
                <w:sz w:val="22"/>
                <w:szCs w:val="22"/>
              </w:rPr>
              <w:t xml:space="preserve">
Renée handles Nucleom entity financials and any inter-entity adjustments. She prepares for the Financial Review alongside you. If there are discrepancies between invoiced Nucleom revenue and what Salesforce shows, you and Renée resolve them before the Financial Review.</w:t>
            </w: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40"/>
            <w:tcBorders>
              <w:top w:val="none" w:color="FFFFFF" w:sz="0"/>
              <w:left w:val="none" w:color="FFFFFF" w:sz="0"/>
              <w:bottom w:val="none" w:color="FFFFFF" w:sz="0"/>
              <w:right w:val="none" w:color="FFFFFF" w:sz="0"/>
            </w:tcBorders>
            <w:shd w:fill="00AEEF" w:val="clear"/>
            <w:vAlign w:val="top"/>
          </w:tcPr>
          <w:p>
            <w:pPr>
              <w:spacing w:after="60" w:before="60"/>
            </w:pPr>
            <w:r>
              <w:rPr>
                <w:sz w:val="20"/>
                <w:szCs w:val="20"/>
              </w:rPr>
              <w:t xml:space="preserve"/>
            </w:r>
          </w:p>
        </w:tc>
        <w:tc>
          <w:tcPr>
            <w:tcW w:type="dxa" w:w="8160"/>
            <w:tcBorders>
              <w:top w:val="none" w:color="FFFFFF" w:sz="0"/>
              <w:left w:val="none" w:color="FFFFFF" w:sz="0"/>
              <w:bottom w:val="none" w:color="FFFFFF" w:sz="0"/>
              <w:right w:val="none" w:color="FFFFFF" w:sz="0"/>
            </w:tcBorders>
          </w:tcPr>
          <w:p>
            <w:pPr>
              <w:spacing w:after="80" w:before="80"/>
              <w:ind w:left="180"/>
            </w:pPr>
            <w:r>
              <w:rPr>
                <w:rFonts w:ascii="Arial" w:cs="Arial" w:eastAsia="Arial" w:hAnsi="Arial"/>
                <w:b/>
                <w:bCs/>
                <w:color w:val="0A1F5C"/>
                <w:sz w:val="22"/>
                <w:szCs w:val="22"/>
              </w:rPr>
              <w:t xml:space="preserve">Olivier Marcotte — CRO</w:t>
            </w:r>
            <w:r>
              <w:rPr>
                <w:rFonts w:ascii="Arial" w:cs="Arial" w:eastAsia="Arial" w:hAnsi="Arial"/>
                <w:color w:val="000000"/>
                <w:sz w:val="22"/>
                <w:szCs w:val="22"/>
              </w:rPr>
              <w:t xml:space="preserve">
Olivier coordinates with you specifically on the Nuclear MSA rate card review. When the Nuclear Steering cycle requests a rate card financial review, Olivier brings it to you. You review it against the 2020 MSA baseline and current benchmarks before it goes to Jon.</w:t>
            </w:r>
          </w:p>
        </w:tc>
      </w:tr>
    </w:tbl>
    <w:p>
      <w:pPr>
        <w:pStyle w:val="Heading1"/>
        <w:pBdr>
          <w:bottom w:val="single" w:color="00AEEF" w:sz="4"/>
        </w:pBdr>
        <w:spacing w:after="100" w:before="280"/>
      </w:pPr>
      <w:r>
        <w:rPr>
          <w:rFonts w:ascii="Arial" w:cs="Arial" w:eastAsia="Arial" w:hAnsi="Arial"/>
          <w:b/>
          <w:bCs/>
          <w:color w:val="0A1F5C"/>
          <w:sz w:val="28"/>
          <w:szCs w:val="28"/>
        </w:rPr>
        <w:t xml:space="preserve">6.  Meetings You Attend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Category</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Detail</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Meeting</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Your role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Cadence</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Financial Review</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Presenter of actuals — you lead the Revenue vs. Forecast and CAPEX sections.</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 — 1st Thursday, 2:00 PM ET, chaired by Jon Eustace</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Gate Reviews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Numbers provider — Mathieu presents the budget vs. actuals section; you supply the consolidated YTD figures.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Monthly — Last Friday, 10:00 AM ET, chaired by Jon Eustace</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Nuclear Steering</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Ad hoc input — you are not a standing attendee. You review the rate card and provide financial inputs when requested by Olivier Marcotte.</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Bi-weekly; your involvement is triggered, not standing</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Eurazeo / EIG Update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Pack builder — you and Charles Recape build the financial reporting pack that Jon and Mathieu present. You may attend to answer financial questions.</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Quarterly — First week Q1/Q2/Q3/Q4</w:t>
            </w:r>
          </w:p>
        </w:tc>
      </w:tr>
    </w:tbl>
    <w:p>
      <w:pPr>
        <w:pStyle w:val="Heading1"/>
        <w:pBdr>
          <w:bottom w:val="single" w:color="00AEEF" w:sz="4"/>
        </w:pBdr>
        <w:spacing w:after="100" w:before="280"/>
      </w:pPr>
      <w:r>
        <w:rPr>
          <w:rFonts w:ascii="Arial" w:cs="Arial" w:eastAsia="Arial" w:hAnsi="Arial"/>
          <w:b/>
          <w:bCs/>
          <w:color w:val="0A1F5C"/>
          <w:sz w:val="28"/>
          <w:szCs w:val="28"/>
        </w:rPr>
        <w:t xml:space="preserve">7.  What Success Looks Like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Category</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Detail</w:t>
            </w:r>
          </w:p>
        </w:tc>
        <w:tc>
          <w:tcPr>
            <w:tcW w:type="dxa" w:w="3580"/>
            <w:tcBorders>
              <w:top w:val="none" w:color="FFFFFF" w:sz="0"/>
              <w:left w:val="none" w:color="FFFFFF" w:sz="0"/>
              <w:bottom w:val="none" w:color="FFFFFF" w:sz="0"/>
              <w:right w:val="none" w:color="FFFFFF" w:sz="0"/>
            </w:tcBorders>
            <w:shd w:fill="0A1F5C" w:val="clear"/>
          </w:tcPr>
          <w:p>
            <w:pPr>
              <w:spacing w:after="80" w:before="80"/>
            </w:pPr>
            <w:r>
              <w:rPr>
                <w:rFonts w:ascii="Arial" w:cs="Arial" w:eastAsia="Arial" w:hAnsi="Arial"/>
                <w:b/>
                <w:bCs/>
                <w:color w:val="FFFFFF"/>
                <w:sz w:val="20"/>
                <w:szCs w:val="20"/>
              </w:rPr>
              <w:t xml:space="preserve">Notes</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Measure</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Standard</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Frequency</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Nortech actuals in Command Centre</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Never more than 5 days late in any given month</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Budget figures loaded</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Annual budget in actuals.json before January 31</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Annual</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Financial Review prep</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Numbers provided to Mathieu 24 hours before the meeting</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Monthly</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Eurazeo pack</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Draft shared with Jon at least 5 business days before quarterly meeting</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Quarterly</w:t>
            </w:r>
          </w:p>
        </w:tc>
      </w:tr>
      <w:tr>
        <w:tc>
          <w:tcPr>
            <w:tcW w:type="dxa" w:w="220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b/>
                <w:bCs/>
                <w:color w:val="000000"/>
                <w:sz w:val="20"/>
                <w:szCs w:val="20"/>
              </w:rPr>
              <w:t xml:space="preserve">CAPEX tracking</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Zero surprises — any overspend flagged to Jon the day it is identified, not at the next meeting</w:t>
            </w:r>
          </w:p>
        </w:tc>
        <w:tc>
          <w:tcPr>
            <w:tcW w:type="dxa" w:w="3580"/>
            <w:tcBorders>
              <w:top w:val="none" w:color="FFFFFF" w:sz="0"/>
              <w:left w:val="none" w:color="FFFFFF" w:sz="0"/>
              <w:bottom w:val="none" w:color="FFFFFF" w:sz="0"/>
              <w:right w:val="none" w:color="FFFFFF" w:sz="0"/>
            </w:tcBorders>
            <w:shd w:fill="F4F7FB" w:val="clear"/>
          </w:tcPr>
          <w:p>
            <w:pPr>
              <w:spacing w:after="80" w:before="80"/>
            </w:pPr>
            <w:r>
              <w:rPr>
                <w:rFonts w:ascii="Arial" w:cs="Arial" w:eastAsia="Arial" w:hAnsi="Arial"/>
                <w:color w:val="000000"/>
                <w:sz w:val="20"/>
                <w:szCs w:val="20"/>
              </w:rPr>
              <w:t xml:space="preserve">Ongoing</w:t>
            </w:r>
          </w:p>
        </w:tc>
      </w:tr>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000000"/>
                <w:sz w:val="20"/>
                <w:szCs w:val="20"/>
              </w:rPr>
              <w:t xml:space="preserve">actuals.json accuracy</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If you spot a discrepancy between what Power Automate wrote and what the invoicing system shows — you flag it the same day</w:t>
            </w:r>
          </w:p>
        </w:tc>
        <w:tc>
          <w:tcPr>
            <w:tcW w:type="dxa" w:w="3580"/>
            <w:tcBorders>
              <w:top w:val="none" w:color="FFFFFF" w:sz="0"/>
              <w:left w:val="none" w:color="FFFFFF" w:sz="0"/>
              <w:bottom w:val="none" w:color="FFFFFF" w:sz="0"/>
              <w:right w:val="none" w:color="FFFFFF" w:sz="0"/>
            </w:tcBorders>
          </w:tcPr>
          <w:p>
            <w:pPr>
              <w:spacing w:after="80" w:before="80"/>
            </w:pPr>
            <w:r>
              <w:rPr>
                <w:rFonts w:ascii="Arial" w:cs="Arial" w:eastAsia="Arial" w:hAnsi="Arial"/>
                <w:color w:val="000000"/>
                <w:sz w:val="20"/>
                <w:szCs w:val="20"/>
              </w:rPr>
              <w:t xml:space="preserve">Ongoing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8A0"/>
        <w:sz w:val="18"/>
        <w:szCs w:val="18"/>
      </w:rPr>
      <w:t xml:space="preserve">Page </w:t>
      <w:fldChar w:fldCharType="begin"/>
      <w:instrText xml:space="preserve">PAGE</w:instrText>
      <w:fldChar w:fldCharType="separate"/>
      <w:fldChar w:fldCharType="end"/>
    </w:r>
    <w:r>
      <w:rPr>
        <w:rFonts w:ascii="Arial" w:cs="Arial" w:eastAsia="Arial" w:hAnsi="Arial"/>
        <w:color w:val="6678A0"/>
        <w:sz w:val="18"/>
        <w:szCs w:val="18"/>
      </w:rPr>
      <w:t xml:space="preserve">  of  </w:t>
    </w:r>
    <w:r>
      <w:rPr>
        <w:rFonts w:ascii="Arial" w:cs="Arial" w:eastAsia="Arial" w:hAnsi="Arial"/>
        <w:color w:val="6678A0"/>
        <w:sz w:val="18"/>
        <w:szCs w:val="18"/>
      </w:rPr>
      <w:fldChar w:fldCharType="begin"/>
      <w:instrText xml:space="preserve">NUMPAGES</w:instrText>
      <w:fldChar w:fldCharType="separate"/>
      <w:fldChar w:fldCharType="end"/>
    </w:r>
    <w:r>
      <w:rPr>
        <w:rFonts w:ascii="Arial" w:cs="Arial" w:eastAsia="Arial" w:hAnsi="Arial"/>
        <w:color w:val="6678A0"/>
        <w:sz w:val="18"/>
        <w:szCs w:val="18"/>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4"/>
      </w:pBdr>
      <w:spacing w:after="60" w:before="0"/>
    </w:pPr>
    <w:r>
      <w:rPr>
        <w:rFonts w:ascii="Arial" w:cs="Arial" w:eastAsia="Arial" w:hAnsi="Arial"/>
        <w:b/>
        <w:bCs/>
        <w:color w:val="0A1F5C"/>
        <w:sz w:val="20"/>
        <w:szCs w:val="20"/>
      </w:rPr>
      <w:t xml:space="preserve">Jeremy Irwin</w:t>
    </w:r>
    <w:r>
      <w:rPr>
        <w:rFonts w:ascii="Arial" w:cs="Arial" w:eastAsia="Arial" w:hAnsi="Arial"/>
        <w:color w:val="6678A0"/>
        <w:sz w:val="20"/>
        <w:szCs w:val="20"/>
      </w:rPr>
      <w:t xml:space="preserve">  ·  Director of Finance, EIG NA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80"/>
    </w:pPr>
    <w:rPr>
      <w:rFonts w:ascii="Arial" w:cs="Arial" w:eastAsia="Arial" w:hAnsi="Arial"/>
      <w:b/>
      <w:bCs/>
      <w:color w:val="0A1F5C"/>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2026-04-19T21:37:56.346Z</dcterms:created>
  <dcterms:modified xsi:type="dcterms:W3CDTF">2026-04-19T21:37:56.347Z</dcterms:modified>
</cp:coreProperties>
</file>

<file path=docProps/custom.xml><?xml version="1.0" encoding="utf-8"?>
<Properties xmlns="http://schemas.openxmlformats.org/officeDocument/2006/custom-properties" xmlns:vt="http://schemas.openxmlformats.org/officeDocument/2006/docPropsVTypes"/>
</file>