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60"/>
      </w:pPr>
      <w:r>
        <w:rPr>
          <w:rFonts w:ascii="Arial" w:cs="Arial" w:eastAsia="Arial" w:hAnsi="Arial"/>
          <w:caps/>
          <w:color w:val="6678A0"/>
          <w:spacing w:val="80"/>
          <w:sz w:val="18"/>
          <w:szCs w:val="18"/>
        </w:rPr>
        <w:t xml:space="preserve">EKOSCAN INTEGRITY GROUP — BU SERVICES</w:t>
      </w:r>
    </w:p>
    <w:p>
      <w:pPr>
        <w:spacing w:after="40"/>
      </w:pPr>
      <w:r>
        <w:rPr>
          <w:rFonts w:ascii="Arial" w:cs="Arial" w:eastAsia="Arial" w:hAnsi="Arial"/>
          <w:b/>
          <w:bCs/>
          <w:color w:val="0A1F5C"/>
          <w:sz w:val="52"/>
          <w:szCs w:val="52"/>
        </w:rPr>
        <w:t xml:space="preserve">Keith Reichenbach</w:t>
      </w:r>
    </w:p>
    <w:p>
      <w:pPr>
        <w:spacing w:after="40"/>
      </w:pPr>
      <w:r>
        <w:rPr>
          <w:rFonts w:ascii="Arial" w:cs="Arial" w:eastAsia="Arial" w:hAnsi="Arial"/>
          <w:b/>
          <w:bCs/>
          <w:color w:val="1A5CA8"/>
          <w:sz w:val="26"/>
          <w:szCs w:val="26"/>
        </w:rPr>
        <w:t xml:space="preserve">Operations Director — Western</w:t>
      </w:r>
    </w:p>
    <w:p>
      <w:pPr>
        <w:spacing w:after="60"/>
      </w:pPr>
      <w:r>
        <w:rPr>
          <w:rFonts w:ascii="Arial" w:cs="Arial" w:eastAsia="Arial" w:hAnsi="Arial"/>
          <w:i/>
          <w:iCs/>
          <w:color w:val="6678A0"/>
          <w:sz w:val="19"/>
          <w:szCs w:val="19"/>
        </w:rPr>
        <w:t xml:space="preserve">Employer: Nucleom Inc.  ·  Level: Regional Operations — reports to Alex Cyr</w:t>
      </w:r>
    </w:p>
    <w:p>
      <w:pPr>
        <w:pBdr>
          <w:bottom w:val="single" w:color="1A5CA8" w:sz="4" w:space="1"/>
        </w:pBdr>
        <w:spacing w:after="160" w:before="120"/>
      </w:pPr>
    </w:p>
    <w:p>
      <w:pPr>
        <w:spacing w:after="80"/>
      </w:pPr>
    </w:p>
    <w:p>
      <w:pPr>
        <w:spacing w:after="120"/>
      </w:pPr>
      <w:r>
        <w:rPr>
          <w:rFonts w:ascii="Arial" w:cs="Arial" w:eastAsia="Arial" w:hAnsi="Arial"/>
          <w:sz w:val="20"/>
          <w:szCs w:val="20"/>
        </w:rPr>
        <w:t xml:space="preserve">You are the operations lead for Western Canada (BC + Alberta + Saskatchewan). You are employed by Nucleom, but your mandate serves both Nucleom and Nortech goals in your region. You own crew deployment, utilisation, certification currency, and the day-to-day operational discipline that makes commercial commitments deliverable. The commercial team promises the work — you make it happen on the ground.</w:t>
      </w:r>
    </w:p>
    <w:p>
      <w:pPr>
        <w:spacing w:after="80"/>
      </w:pPr>
    </w:p>
    <w:p>
      <w:pPr>
        <w:pStyle w:val="Heading1"/>
      </w:pPr>
      <w:r>
        <w:t xml:space="preserve">1.  Your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F5C" w:sz="4"/>
              <w:left w:val="single" w:color="0A1F5C" w:sz="4"/>
              <w:bottom w:val="single" w:color="0A1F5C" w:sz="4"/>
              <w:right w:val="single" w:color="0A1F5C" w:sz="4"/>
            </w:tcBorders>
            <w:shd w:fill="F4F7FB" w:val="clear"/>
            <w:tcMar>
              <w:top w:type="dxa" w:w="100"/>
              <w:left w:type="dxa" w:w="220"/>
              <w:bottom w:type="dxa" w:w="60"/>
              <w:right w:type="dxa" w:w="220"/>
            </w:tcMar>
          </w:tcPr>
          <w:p>
            <w:r>
              <w:rPr>
                <w:rFonts w:ascii="Arial" w:cs="Arial" w:eastAsia="Arial" w:hAnsi="Arial"/>
                <w:b/>
                <w:bCs/>
                <w:color w:val="0A1F5C"/>
                <w:sz w:val="20"/>
                <w:szCs w:val="20"/>
              </w:rPr>
              <w:t xml:space="preserve">Your place in the BU Services ops structure</w:t>
            </w:r>
          </w:p>
        </w:tc>
      </w:tr>
      <w:tr>
        <w:tc>
          <w:tcPr>
            <w:tcW w:type="dxa" w:w="9360"/>
            <w:tcBorders>
              <w:top w:val="single" w:color="0A1F5C" w:sz="4"/>
              <w:left w:val="single" w:color="0A1F5C" w:sz="4"/>
              <w:bottom w:val="single" w:color="0A1F5C" w:sz="4"/>
              <w:right w:val="single" w:color="0A1F5C" w:sz="4"/>
            </w:tcBorders>
            <w:shd w:fill="F4F7FB" w:val="clear"/>
            <w:tcMar>
              <w:top w:type="dxa" w:w="60"/>
              <w:left w:type="dxa" w:w="220"/>
              <w:bottom w:type="dxa" w:w="60"/>
              <w:right w:type="dxa" w:w="220"/>
            </w:tcMar>
          </w:tcPr>
          <w:p>
            <w:pPr>
              <w:spacing w:after="60"/>
            </w:pPr>
            <w:r>
              <w:rPr>
                <w:rFonts w:ascii="Arial" w:cs="Arial" w:eastAsia="Arial" w:hAnsi="Arial"/>
                <w:color w:val="1A2A4A"/>
                <w:sz w:val="19"/>
                <w:szCs w:val="19"/>
              </w:rPr>
              <w:t xml:space="preserve">You report to Alex Cyr (Sr. Operations Director, BU Services). Alex sits above all regional directors — Eric Rodrigue (QC), Joel Djordjevic (Central), Keith Reichenbach (Western), Brook Althouse (Northern), and Jason Borza (Nortech). You are Nucleom-employed, but you work with Nortech goals in mind. Jason Borza (Nortech Ops Director) is a peer — same level, same expectations.</w:t>
            </w:r>
          </w:p>
        </w:tc>
      </w:tr>
      <w:tr>
        <w:tc>
          <w:tcPr>
            <w:tcW w:type="dxa" w:w="9360"/>
            <w:tcBorders>
              <w:top w:val="single" w:color="0A1F5C" w:sz="4"/>
              <w:left w:val="single" w:color="0A1F5C" w:sz="4"/>
              <w:bottom w:val="single" w:color="0A1F5C" w:sz="4"/>
              <w:right w:val="single" w:color="0A1F5C" w:sz="4"/>
            </w:tcBorders>
            <w:shd w:fill="F4F7FB" w:val="clear"/>
            <w:tcMar>
              <w:top w:type="dxa" w:w="60"/>
              <w:left w:type="dxa" w:w="220"/>
              <w:bottom w:type="dxa" w:w="60"/>
              <w:right w:type="dxa" w:w="220"/>
            </w:tcMar>
          </w:tcPr>
          <w:p>
            <w:pPr>
              <w:spacing w:after="60"/>
            </w:pPr>
            <w:r>
              <w:rPr>
                <w:rFonts w:ascii="Arial" w:cs="Arial" w:eastAsia="Arial" w:hAnsi="Arial"/>
                <w:color w:val="1A2A4A"/>
                <w:sz w:val="19"/>
                <w:szCs w:val="19"/>
              </w:rPr>
              <w:t xml:space="preserve"/>
            </w:r>
          </w:p>
        </w:tc>
      </w:tr>
      <w:tr>
        <w:tc>
          <w:tcPr>
            <w:tcW w:type="dxa" w:w="9360"/>
            <w:tcBorders>
              <w:top w:val="single" w:color="0A1F5C" w:sz="4"/>
              <w:left w:val="single" w:color="0A1F5C" w:sz="4"/>
              <w:bottom w:val="single" w:color="0A1F5C" w:sz="4"/>
              <w:right w:val="single" w:color="0A1F5C" w:sz="4"/>
            </w:tcBorders>
            <w:shd w:fill="F4F7FB" w:val="clear"/>
            <w:tcMar>
              <w:top w:type="dxa" w:w="60"/>
              <w:left w:type="dxa" w:w="220"/>
              <w:bottom w:type="dxa" w:w="60"/>
              <w:right w:type="dxa" w:w="220"/>
            </w:tcMar>
          </w:tcPr>
          <w:p>
            <w:pPr>
              <w:spacing w:after="60"/>
            </w:pPr>
            <w:r>
              <w:rPr>
                <w:rFonts w:ascii="Arial" w:cs="Arial" w:eastAsia="Arial" w:hAnsi="Arial"/>
                <w:color w:val="1A2A4A"/>
                <w:sz w:val="19"/>
                <w:szCs w:val="19"/>
              </w:rPr>
              <w:t xml:space="preserve">Western Canada is the primary Pipeline DA region and a major Mining NDT target market. You work in the same territory as Max Aggrey (Commercial Director West) and Rick Carlton (Pipeline Integrity Lead).
A fundamental change — ops and commercial are now separate. Previously Western ops managed client relationships alongside delivery. That has changed. Max Aggrey (Commercial Director West) now owns all new client development in your territory. Your mandate: maintain your existing Western Canada client relationships, deliver current and awarded work to a standard that earns renewals, and give Max fast, accurate answers when he needs crew availability or capability input on a proposal. If an existing client raises a new opportunity with you or your team — warm handoff to Max that same day. Your ops team is the delivery engine for both Nucleom and Nortech commercial activity in the West.</w:t>
            </w:r>
          </w:p>
        </w:tc>
      </w:tr>
    </w:tbl>
    <w:p>
      <w:pPr>
        <w:spacing w:after="80"/>
      </w:pPr>
    </w:p>
    <w:p>
      <w:pPr>
        <w:pStyle w:val="Heading1"/>
      </w:pPr>
      <w:r>
        <w:t xml:space="preserve">2.  The Five Initiatives — What They Mean for Your Region</w:t>
      </w:r>
    </w:p>
    <w:p>
      <w:pPr>
        <w:spacing w:after="120"/>
      </w:pPr>
      <w:r>
        <w:rPr>
          <w:rFonts w:ascii="Arial" w:cs="Arial" w:eastAsia="Arial" w:hAnsi="Arial"/>
          <w:sz w:val="20"/>
          <w:szCs w:val="20"/>
        </w:rPr>
        <w:t xml:space="preserve">The commercial team is building a $92.8M revenue plan by 2030 across five initiatives. Every initiative has a direct operational implication for your region — crew, capacity, certifications, and deployment planning. Here is what each one means for you specifically.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80"/>
        <w:gridCol w:w="4080"/>
      </w:tblGrid>
      <w:tr>
        <w:tc>
          <w:tcPr>
            <w:tcW w:type="dxa" w:w="2000"/>
            <w:tcBorders>
              <w:top w:val="single" w:color="0A1F5C" w:sz="4"/>
              <w:left w:val="single" w:color="0A1F5C" w:sz="4"/>
              <w:bottom w:val="single" w:color="0A1F5C" w:sz="4"/>
              <w:right w:val="single" w:color="0A1F5C" w:sz="4"/>
            </w:tcBorders>
            <w:shd w:fill="0A1F5C" w:val="clear"/>
            <w:tcMar>
              <w:top w:type="dxa" w:w="80"/>
              <w:left w:type="dxa" w:w="160"/>
              <w:bottom w:type="dxa" w:w="80"/>
              <w:right w:type="dxa" w:w="160"/>
            </w:tcMar>
          </w:tcPr>
          <w:p>
            <w:r>
              <w:rPr>
                <w:rFonts w:ascii="Arial" w:cs="Arial" w:eastAsia="Arial" w:hAnsi="Arial"/>
                <w:b/>
                <w:bCs/>
                <w:color w:val="FFFFFF"/>
                <w:sz w:val="18"/>
                <w:szCs w:val="18"/>
              </w:rPr>
              <w:t xml:space="preserve">Initiative</w:t>
            </w:r>
          </w:p>
        </w:tc>
        <w:tc>
          <w:tcPr>
            <w:tcW w:type="dxa" w:w="3280"/>
            <w:tcBorders>
              <w:top w:val="single" w:color="0A1F5C" w:sz="4"/>
              <w:left w:val="single" w:color="0A1F5C" w:sz="4"/>
              <w:bottom w:val="single" w:color="0A1F5C" w:sz="4"/>
              <w:right w:val="single" w:color="0A1F5C" w:sz="4"/>
            </w:tcBorders>
            <w:shd w:fill="0A1F5C" w:val="clear"/>
            <w:tcMar>
              <w:top w:type="dxa" w:w="80"/>
              <w:left w:type="dxa" w:w="160"/>
              <w:bottom w:type="dxa" w:w="80"/>
              <w:right w:type="dxa" w:w="160"/>
            </w:tcMar>
          </w:tcPr>
          <w:p>
            <w:r>
              <w:rPr>
                <w:rFonts w:ascii="Arial" w:cs="Arial" w:eastAsia="Arial" w:hAnsi="Arial"/>
                <w:b/>
                <w:bCs/>
                <w:color w:val="FFFFFF"/>
                <w:sz w:val="18"/>
                <w:szCs w:val="18"/>
              </w:rPr>
              <w:t xml:space="preserve">What it means for your region</w:t>
            </w:r>
          </w:p>
        </w:tc>
        <w:tc>
          <w:tcPr>
            <w:tcW w:type="dxa" w:w="4080"/>
            <w:tcBorders>
              <w:top w:val="single" w:color="0A1F5C" w:sz="4"/>
              <w:left w:val="single" w:color="0A1F5C" w:sz="4"/>
              <w:bottom w:val="single" w:color="0A1F5C" w:sz="4"/>
              <w:right w:val="single" w:color="0A1F5C" w:sz="4"/>
            </w:tcBorders>
            <w:shd w:fill="0A1F5C" w:val="clear"/>
            <w:tcMar>
              <w:top w:type="dxa" w:w="80"/>
              <w:left w:type="dxa" w:w="160"/>
              <w:bottom w:type="dxa" w:w="80"/>
              <w:right w:type="dxa" w:w="160"/>
            </w:tcMar>
          </w:tcPr>
          <w:p>
            <w:r>
              <w:rPr>
                <w:rFonts w:ascii="Arial" w:cs="Arial" w:eastAsia="Arial" w:hAnsi="Arial"/>
                <w:b/>
                <w:bCs/>
                <w:color w:val="FFFFFF"/>
                <w:sz w:val="18"/>
                <w:szCs w:val="18"/>
              </w:rPr>
              <w:t xml:space="preserve">What ops needs to do</w:t>
            </w:r>
          </w:p>
        </w:tc>
      </w:tr>
      <w:tr>
        <w:tc>
          <w:tcPr>
            <w:tcW w:type="dxa" w:w="20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7"/>
                <w:szCs w:val="17"/>
              </w:rPr>
              <w:t xml:space="preserve">Mining NDT (West — Max)</w:t>
            </w:r>
          </w:p>
        </w:tc>
        <w:tc>
          <w:tcPr>
            <w:tcW w:type="dxa" w:w="328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7"/>
                <w:szCs w:val="17"/>
              </w:rPr>
              <w:t xml:space="preserve">Teck Resources (Highland Valley, Trail, Cardinal River), Kinross, Barrick, Agnico Eagle, Newmont all have significant Western operations. CIM Vancouver wins translate directly to your crew.</w:t>
            </w:r>
          </w:p>
        </w:tc>
        <w:tc>
          <w:tcPr>
            <w:tcW w:type="dxa" w:w="408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7"/>
                <w:szCs w:val="17"/>
              </w:rPr>
              <w:t xml:space="preserve">Maintain Western Mining NDT crew readiness — CGSB-certified Level 2 technicians. Work closely with Max Aggrey to understand what proposals are active so crew planning runs ahead of deal close.</w:t>
            </w:r>
          </w:p>
        </w:tc>
      </w:tr>
      <w:tr>
        <w:tc>
          <w:tcPr>
            <w:tcW w:type="dxa" w:w="20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bCs/>
                <w:color w:val="0A1F5C"/>
                <w:sz w:val="17"/>
                <w:szCs w:val="17"/>
              </w:rPr>
              <w:t xml:space="preserve">Pipeline DA (Rick + Jason)</w:t>
            </w:r>
          </w:p>
        </w:tc>
        <w:tc>
          <w:tcPr>
            <w:tcW w:type="dxa" w:w="328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7"/>
                <w:szCs w:val="17"/>
              </w:rPr>
              <w:t xml:space="preserve">Western Canada is Pipeline DA's primary market. Enbridge, TC Energy NGTL, Pembina, Keyera. Rick Carlton leads the programme; Jason Borza and Nortech deliver. This is your highest-volume pipeline ops territory.</w:t>
            </w:r>
          </w:p>
        </w:tc>
        <w:tc>
          <w:tcPr>
            <w:tcW w:type="dxa" w:w="408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7"/>
                <w:szCs w:val="17"/>
              </w:rPr>
              <w:t xml:space="preserve">Coordinate weekly with Rick Carlton and Jason Borza. Pipeline crew in the West flows through Nortech ops — but you need visibility to avoid Nucleom/Nortech crew conflicts. Know what is running in your territory at all times.</w:t>
            </w:r>
          </w:p>
        </w:tc>
      </w:tr>
      <w:tr>
        <w:tc>
          <w:tcPr>
            <w:tcW w:type="dxa" w:w="20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7"/>
                <w:szCs w:val="17"/>
              </w:rPr>
              <w:t xml:space="preserve">3X Composite Repair</w:t>
            </w:r>
          </w:p>
        </w:tc>
        <w:tc>
          <w:tcPr>
            <w:tcW w:type="dxa" w:w="328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7"/>
                <w:szCs w:val="17"/>
              </w:rPr>
              <w:t xml:space="preserve">Western Canada has the highest concentration of AMBER/RED pipeline findings in the country. Your crew are the most active 3X trigger in the business.</w:t>
            </w:r>
          </w:p>
        </w:tc>
        <w:tc>
          <w:tcPr>
            <w:tcW w:type="dxa" w:w="408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7"/>
                <w:szCs w:val="17"/>
              </w:rPr>
              <w:t xml:space="preserve">Same-day AMBER/RED flagging to Max Aggrey is the standing rule. Embed this in every crew briefing. Your technicians are the primary source of 3X opportunities.</w:t>
            </w:r>
          </w:p>
        </w:tc>
      </w:tr>
      <w:tr>
        <w:tc>
          <w:tcPr>
            <w:tcW w:type="dxa" w:w="20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bCs/>
                <w:color w:val="0A1F5C"/>
                <w:sz w:val="17"/>
                <w:szCs w:val="17"/>
              </w:rPr>
              <w:t xml:space="preserve">Powerline (Mathieu)</w:t>
            </w:r>
          </w:p>
        </w:tc>
        <w:tc>
          <w:tcPr>
            <w:tcW w:type="dxa" w:w="328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7"/>
                <w:szCs w:val="17"/>
              </w:rPr>
              <w:t xml:space="preserve">AltaLink (Alberta) is a key Powerline target shared with the West. Mathieu owns the relationship.</w:t>
            </w:r>
          </w:p>
        </w:tc>
        <w:tc>
          <w:tcPr>
            <w:tcW w:type="dxa" w:w="408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7"/>
                <w:szCs w:val="17"/>
              </w:rPr>
              <w:t xml:space="preserve">Identify Western Powerline-qualified technicians. Coordinate with Mathieu on AltaLink deployment windows.</w:t>
            </w:r>
          </w:p>
        </w:tc>
      </w:tr>
      <w:tr>
        <w:tc>
          <w:tcPr>
            <w:tcW w:type="dxa" w:w="20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7"/>
                <w:szCs w:val="17"/>
              </w:rPr>
              <w:t xml:space="preserve">Nuclear (Louis-Pier)</w:t>
            </w:r>
          </w:p>
        </w:tc>
        <w:tc>
          <w:tcPr>
            <w:tcW w:type="dxa" w:w="328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7"/>
                <w:szCs w:val="17"/>
              </w:rPr>
              <w:t xml:space="preserve">Nuclear work is primarily Ontario-based — but Western technicians with nuclear qualifications may be deployed for outage support.</w:t>
            </w:r>
          </w:p>
        </w:tc>
        <w:tc>
          <w:tcPr>
            <w:tcW w:type="dxa" w:w="408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7"/>
                <w:szCs w:val="17"/>
              </w:rPr>
              <w:t xml:space="preserve">Flag any Western technicians with nuclear qualification history to Louis-Pier Théberge.</w:t>
            </w:r>
          </w:p>
        </w:tc>
      </w:tr>
    </w:tbl>
    <w:p>
      <w:pPr>
        <w:spacing w:after="80"/>
      </w:pPr>
    </w:p>
    <w:p>
      <w:pPr>
        <w:pStyle w:val="Heading1"/>
      </w:pPr>
      <w:r>
        <w:t xml:space="preserve">3.  How You Feed the Commercial System</w:t>
      </w:r>
    </w:p>
    <w:p>
      <w:pPr>
        <w:spacing w:after="120"/>
      </w:pPr>
      <w:r>
        <w:rPr>
          <w:rFonts w:ascii="Arial" w:cs="Arial" w:eastAsia="Arial" w:hAnsi="Arial"/>
          <w:sz w:val="20"/>
          <w:szCs w:val="20"/>
        </w:rPr>
        <w:t xml:space="preserve">BU Services runs a live commercial intelligence system that Jon uses for weekly KPI reviews and Eurazeo board reporting. The ops team feeds two parts of this system. Neither is complex — both are critical.</w:t>
      </w:r>
    </w:p>
    <w:p>
      <w:pPr>
        <w:spacing w:after="80"/>
      </w:pPr>
    </w:p>
    <w:p>
      <w:pPr>
        <w:pStyle w:val="Heading1"/>
      </w:pPr>
      <w:r>
        <w:t xml:space="preserve">Commercial System — Your Role</w:t>
      </w:r>
    </w:p>
    <w:p>
      <w:pPr>
        <w:spacing w:after="120"/>
      </w:pPr>
      <w:r>
        <w:rPr>
          <w:rFonts w:ascii="Arial" w:cs="Arial" w:eastAsia="Arial" w:hAnsi="Arial"/>
          <w:sz w:val="20"/>
          <w:szCs w:val="20"/>
        </w:rPr>
        <w:t xml:space="preserve">BU Services runs a commercial management system that connects Salesforce, Business Central, and SharePoint into a single weekly picture for Jon, Jeremy, and the Eurazeo board. The ops team feeds this system in two specific ways: utilisation data and technician assignment on closed deals. Neither requires Salesforce access — both take under 10 minutes per week.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1F5C" w:sz="4"/>
              <w:left w:val="single" w:color="0A1F5C" w:sz="4"/>
              <w:bottom w:val="single" w:color="0A1F5C" w:sz="4"/>
              <w:right w:val="single" w:color="0A1F5C" w:sz="4"/>
            </w:tcBorders>
            <w:shd w:fill="0A1F5C" w:val="clear"/>
            <w:tcMar>
              <w:top w:type="dxa" w:w="80"/>
              <w:left w:type="dxa" w:w="160"/>
              <w:bottom w:type="dxa" w:w="80"/>
              <w:right w:type="dxa" w:w="160"/>
            </w:tcMar>
          </w:tcPr>
          <w:p>
            <w:r>
              <w:rPr>
                <w:rFonts w:ascii="Arial" w:cs="Arial" w:eastAsia="Arial" w:hAnsi="Arial"/>
                <w:b/>
                <w:bCs/>
                <w:color w:val="FFFFFF"/>
                <w:sz w:val="18"/>
                <w:szCs w:val="18"/>
              </w:rPr>
              <w:t xml:space="preserve">System / Tool</w:t>
            </w:r>
          </w:p>
        </w:tc>
        <w:tc>
          <w:tcPr>
            <w:tcW w:type="dxa" w:w="6560"/>
            <w:tcBorders>
              <w:top w:val="single" w:color="0A1F5C" w:sz="4"/>
              <w:left w:val="single" w:color="0A1F5C" w:sz="4"/>
              <w:bottom w:val="single" w:color="0A1F5C" w:sz="4"/>
              <w:right w:val="single" w:color="0A1F5C" w:sz="4"/>
            </w:tcBorders>
            <w:shd w:fill="0A1F5C" w:val="clear"/>
            <w:tcMar>
              <w:top w:type="dxa" w:w="80"/>
              <w:left w:type="dxa" w:w="160"/>
              <w:bottom w:type="dxa" w:w="80"/>
              <w:right w:type="dxa" w:w="160"/>
            </w:tcMar>
          </w:tcPr>
          <w:p>
            <w:r>
              <w:rPr>
                <w:rFonts w:ascii="Arial" w:cs="Arial" w:eastAsia="Arial" w:hAnsi="Arial"/>
                <w:b/>
                <w:bCs/>
                <w:color w:val="FFFFFF"/>
                <w:sz w:val="18"/>
                <w:szCs w:val="18"/>
              </w:rPr>
              <w:t xml:space="preserve">Your responsibility</w:t>
            </w:r>
          </w:p>
        </w:tc>
      </w:tr>
      <w:tr>
        <w:tc>
          <w:tcPr>
            <w:tcW w:type="dxa" w:w="28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8"/>
                <w:szCs w:val="18"/>
              </w:rPr>
              <w:t xml:space="preserve">Utilisation Tracker (Excel)</w:t>
            </w:r>
          </w:p>
        </w:tc>
        <w:tc>
          <w:tcPr>
            <w:tcW w:type="dxa" w:w="656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8"/>
                <w:szCs w:val="18"/>
              </w:rPr>
              <w:t xml:space="preserve">The 26-week utilisation tracker on SharePoint covers all five regions. Your region's utilisation row is updated by you every Wednesday — billable hours this week, available hours, and chargeable percentage. This feeds the Command Centre utilisation cards and the INT BU deck. Takes 3 minutes.</w:t>
            </w:r>
          </w:p>
        </w:tc>
      </w:tr>
      <w:tr>
        <w:tc>
          <w:tcPr>
            <w:tcW w:type="dxa" w:w="28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bCs/>
                <w:color w:val="0A1F5C"/>
                <w:sz w:val="18"/>
                <w:szCs w:val="18"/>
              </w:rPr>
              <w:t xml:space="preserve">Assigned_Technicians__c (Salesforce)</w:t>
            </w:r>
          </w:p>
        </w:tc>
        <w:tc>
          <w:tcPr>
            <w:tcW w:type="dxa" w:w="656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8"/>
                <w:szCs w:val="18"/>
              </w:rPr>
              <w:t xml:space="preserve">When the commercial team closes a deal in your region, they tag the technician names in Salesforce. You do not enter this — but you are expected to confirm crew availability and qualifications to Max or Vinoth before the deal closes so the names they enter are accurate.</w:t>
            </w:r>
          </w:p>
        </w:tc>
      </w:tr>
      <w:tr>
        <w:tc>
          <w:tcPr>
            <w:tcW w:type="dxa" w:w="28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8"/>
                <w:szCs w:val="18"/>
              </w:rPr>
              <w:t xml:space="preserve">actuals.json — utilisation fields</w:t>
            </w:r>
          </w:p>
        </w:tc>
        <w:tc>
          <w:tcPr>
            <w:tcW w:type="dxa" w:w="656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8"/>
                <w:szCs w:val="18"/>
              </w:rPr>
              <w:t xml:space="preserve">The utilisation data flows from the Excel tracker through Power Automate into actuals.json on Sunday nights. You do not touch actuals.json directly — just keep the Excel tracker current.</w:t>
            </w:r>
          </w:p>
        </w:tc>
      </w:tr>
    </w:tbl>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9860A" w:sz="4"/>
              <w:left w:val="single" w:color="C9860A" w:sz="4"/>
              <w:bottom w:val="single" w:color="C9860A" w:sz="4"/>
              <w:right w:val="none"/>
            </w:tcBorders>
            <w:shd w:fill="C9860A" w:val="clear"/>
          </w:tcPr>
          <w:p/>
        </w:tc>
        <w:tc>
          <w:tcPr>
            <w:tcW w:type="dxa" w:w="9160"/>
            <w:tcBorders>
              <w:top w:val="single" w:color="C9860A" w:sz="4"/>
              <w:left w:val="none"/>
              <w:bottom w:val="single" w:color="C9860A" w:sz="4"/>
              <w:right w:val="single" w:color="C9860A" w:sz="4"/>
            </w:tcBorders>
            <w:shd w:fill="F4F7FB" w:val="clear"/>
            <w:tcMar>
              <w:top w:type="dxa" w:w="120"/>
              <w:left w:type="dxa" w:w="200"/>
              <w:bottom w:type="dxa" w:w="120"/>
              <w:right w:type="dxa" w:w="200"/>
            </w:tcMar>
          </w:tcPr>
          <w:p>
            <w:pPr>
              <w:spacing w:after="80"/>
            </w:pPr>
            <w:r>
              <w:rPr>
                <w:rFonts w:ascii="Arial" w:cs="Arial" w:eastAsia="Arial" w:hAnsi="Arial"/>
                <w:b/>
                <w:bCs/>
                <w:color w:val="C9860A"/>
                <w:sz w:val="21"/>
                <w:szCs w:val="21"/>
              </w:rPr>
              <w:t xml:space="preserve">The most important ops habit: same-day AMBER/RED flagging</w:t>
            </w:r>
          </w:p>
          <w:p>
            <w:pPr>
              <w:spacing w:after="70"/>
            </w:pPr>
            <w:r>
              <w:rPr>
                <w:rFonts w:ascii="Arial" w:cs="Arial" w:eastAsia="Arial" w:hAnsi="Arial"/>
                <w:color w:val="1A2A4A"/>
                <w:sz w:val="19"/>
                <w:szCs w:val="19"/>
              </w:rPr>
              <w:t xml:space="preserve">When one of your technicians identifies an AMBER or RED finding during any inspection — pipeline, mining, facility, or utility — that finding must be flagged to the commercial team the same day.</w:t>
            </w:r>
          </w:p>
          <w:p>
            <w:pPr>
              <w:spacing w:after="70"/>
            </w:pPr>
            <w:r>
              <w:rPr>
                <w:rFonts w:ascii="Arial" w:cs="Arial" w:eastAsia="Arial" w:hAnsi="Arial"/>
                <w:color w:val="1A2A4A"/>
                <w:sz w:val="19"/>
                <w:szCs w:val="19"/>
              </w:rPr>
              <w:t xml:space="preserve">This is how 3X Composite Repair opportunities are created. The commercial system has no way to detect these findings automatically. Your crew in the field are the detection system.</w:t>
            </w:r>
          </w:p>
          <w:p>
            <w:pPr>
              <w:spacing w:after="70"/>
            </w:pPr>
            <w:r>
              <w:rPr>
                <w:rFonts w:ascii="Arial" w:cs="Arial" w:eastAsia="Arial" w:hAnsi="Arial"/>
                <w:color w:val="1A2A4A"/>
                <w:sz w:val="19"/>
                <w:szCs w:val="19"/>
              </w:rPr>
              <w:t xml:space="preserve">Flag to: Max Aggrey (Commercial Director West) — same day, not the next weekly meeting.</w:t>
            </w:r>
          </w:p>
        </w:tc>
      </w:tr>
    </w:tbl>
    <w:p>
      <w:pPr>
        <w:spacing w:after="80"/>
      </w:pPr>
    </w:p>
    <w:p>
      <w:pPr>
        <w:pStyle w:val="Heading1"/>
      </w:pPr>
      <w:r>
        <w:t xml:space="preserve">4.  Your Weekly Rhythm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1A5CA8" w:sz="4"/>
              <w:left w:val="single" w:color="1A5CA8" w:sz="4"/>
              <w:bottom w:val="single" w:color="1A5CA8" w:sz="4"/>
              <w:right w:val="none"/>
            </w:tcBorders>
            <w:shd w:fill="1A5CA8" w:val="clear"/>
          </w:tcPr>
          <w:p/>
        </w:tc>
        <w:tc>
          <w:tcPr>
            <w:tcW w:type="dxa" w:w="9160"/>
            <w:tcBorders>
              <w:top w:val="single" w:color="1A5CA8" w:sz="4"/>
              <w:left w:val="none"/>
              <w:bottom w:val="single" w:color="1A5CA8" w:sz="4"/>
              <w:right w:val="single" w:color="1A5CA8" w:sz="4"/>
            </w:tcBorders>
            <w:shd w:fill="F4F7FB" w:val="clear"/>
            <w:tcMar>
              <w:top w:type="dxa" w:w="120"/>
              <w:left w:type="dxa" w:w="200"/>
              <w:bottom w:type="dxa" w:w="120"/>
              <w:right w:type="dxa" w:w="200"/>
            </w:tcMar>
          </w:tcPr>
          <w:p>
            <w:pPr>
              <w:spacing w:after="80"/>
            </w:pPr>
            <w:r>
              <w:rPr>
                <w:rFonts w:ascii="Arial" w:cs="Arial" w:eastAsia="Arial" w:hAnsi="Arial"/>
                <w:b/>
                <w:bCs/>
                <w:color w:val="1A5CA8"/>
                <w:sz w:val="21"/>
                <w:szCs w:val="21"/>
              </w:rPr>
              <w:t xml:space="preserve">Every Wednesday — update the utilisation tracker</w:t>
            </w:r>
          </w:p>
          <w:p>
            <w:pPr>
              <w:spacing w:after="70"/>
            </w:pPr>
            <w:r>
              <w:rPr>
                <w:rFonts w:ascii="Arial" w:cs="Arial" w:eastAsia="Arial" w:hAnsi="Arial"/>
                <w:color w:val="1A2A4A"/>
                <w:sz w:val="19"/>
                <w:szCs w:val="19"/>
              </w:rPr>
              <w:t xml:space="preserve">Open the 26-week utilisation tracker on SharePoint. Update your region's row: billable hours this week, available hours, chargeable percentage, and any crew on leave or training.</w:t>
            </w:r>
          </w:p>
          <w:p>
            <w:pPr>
              <w:spacing w:after="70"/>
            </w:pPr>
            <w:r>
              <w:rPr>
                <w:rFonts w:ascii="Arial" w:cs="Arial" w:eastAsia="Arial" w:hAnsi="Arial"/>
                <w:color w:val="1A2A4A"/>
                <w:sz w:val="19"/>
                <w:szCs w:val="19"/>
              </w:rPr>
              <w:t xml:space="preserve">This feeds the Command Centre and the INT BU deck automatically via Power Automate. Takes 3 minutes. If you miss a week, Jon's utilisation numbers are wrong.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16A34A" w:sz="4"/>
              <w:left w:val="single" w:color="16A34A" w:sz="4"/>
              <w:bottom w:val="single" w:color="16A34A" w:sz="4"/>
              <w:right w:val="none"/>
            </w:tcBorders>
            <w:shd w:fill="16A34A" w:val="clear"/>
          </w:tcPr>
          <w:p/>
        </w:tc>
        <w:tc>
          <w:tcPr>
            <w:tcW w:type="dxa" w:w="9160"/>
            <w:tcBorders>
              <w:top w:val="single" w:color="16A34A" w:sz="4"/>
              <w:left w:val="none"/>
              <w:bottom w:val="single" w:color="16A34A" w:sz="4"/>
              <w:right w:val="single" w:color="16A34A" w:sz="4"/>
            </w:tcBorders>
            <w:shd w:fill="F4F7FB" w:val="clear"/>
            <w:tcMar>
              <w:top w:type="dxa" w:w="120"/>
              <w:left w:type="dxa" w:w="200"/>
              <w:bottom w:type="dxa" w:w="120"/>
              <w:right w:type="dxa" w:w="200"/>
            </w:tcMar>
          </w:tcPr>
          <w:p>
            <w:pPr>
              <w:spacing w:after="80"/>
            </w:pPr>
            <w:r>
              <w:rPr>
                <w:rFonts w:ascii="Arial" w:cs="Arial" w:eastAsia="Arial" w:hAnsi="Arial"/>
                <w:b/>
                <w:bCs/>
                <w:color w:val="16A34A"/>
                <w:sz w:val="21"/>
                <w:szCs w:val="21"/>
              </w:rPr>
              <w:t xml:space="preserve">Before any deal closes in your region — confirm crew</w:t>
            </w:r>
          </w:p>
          <w:p>
            <w:pPr>
              <w:spacing w:after="70"/>
            </w:pPr>
            <w:r>
              <w:rPr>
                <w:rFonts w:ascii="Arial" w:cs="Arial" w:eastAsia="Arial" w:hAnsi="Arial"/>
                <w:color w:val="1A2A4A"/>
                <w:sz w:val="19"/>
                <w:szCs w:val="19"/>
              </w:rPr>
              <w:t xml:space="preserve">When Max or Vinoth tells you a deal is about to close, confirm crew availability and qualifications so they can tag the right names in Salesforce (Assigned_Technicians__c field).</w:t>
            </w:r>
          </w:p>
          <w:p>
            <w:pPr>
              <w:spacing w:after="70"/>
            </w:pPr>
            <w:r>
              <w:rPr>
                <w:rFonts w:ascii="Arial" w:cs="Arial" w:eastAsia="Arial" w:hAnsi="Arial"/>
                <w:color w:val="1A2A4A"/>
                <w:sz w:val="19"/>
                <w:szCs w:val="19"/>
              </w:rPr>
              <w:t xml:space="preserve">Do not wait to be asked. If you know a proposal is active in your region, proactively tell the commercial lead what crew you have available and what certs they hold.</w:t>
            </w:r>
          </w:p>
        </w:tc>
      </w:tr>
    </w:tbl>
    <w:p>
      <w:pPr>
        <w:spacing w:after="8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CF0" w:sz="2" w:space="2"/>
      </w:pBdr>
      <w:spacing w:before="80"/>
      <w:jc w:val="center"/>
    </w:pPr>
    <w:r>
      <w:rPr>
        <w:rFonts w:ascii="Arial" w:cs="Arial" w:eastAsia="Arial" w:hAnsi="Arial"/>
        <w:color w:val="6678A0"/>
        <w:sz w:val="16"/>
        <w:szCs w:val="16"/>
      </w:rPr>
      <w:t xml:space="preserve">Page </w:t>
    </w:r>
    <w:r>
      <w:rPr>
        <w:rFonts w:ascii="Arial" w:cs="Arial" w:eastAsia="Arial" w:hAnsi="Arial"/>
        <w:color w:val="6678A0"/>
        <w:sz w:val="16"/>
        <w:szCs w:val="16"/>
      </w:rPr>
      <w:fldChar w:fldCharType="begin"/>
      <w:instrText xml:space="preserve">PAGE</w:instrText>
      <w:fldChar w:fldCharType="separate"/>
      <w:fldChar w:fldCharType="end"/>
    </w:r>
    <w:r>
      <w:rPr>
        <w:rFonts w:ascii="Arial" w:cs="Arial" w:eastAsia="Arial" w:hAnsi="Arial"/>
        <w:color w:val="6678A0"/>
        <w:sz w:val="16"/>
        <w:szCs w:val="16"/>
      </w:rPr>
      <w:t xml:space="preserve"> of </w:t>
    </w:r>
    <w:r>
      <w:rPr>
        <w:rFonts w:ascii="Arial" w:cs="Arial" w:eastAsia="Arial" w:hAnsi="Arial"/>
        <w:color w:val="6678A0"/>
        <w:sz w:val="16"/>
        <w:szCs w:val="16"/>
      </w:rPr>
      <w:fldChar w:fldCharType="begin"/>
      <w:instrText xml:space="preserve">NUMPAGES</w:instrText>
      <w:fldChar w:fldCharType="separate"/>
      <w:fldChar w:fldCharType="end"/>
    </w:r>
    <w:r>
      <w:rPr>
        <w:rFonts w:ascii="Arial" w:cs="Arial" w:eastAsia="Arial" w:hAnsi="Arial"/>
        <w:color w:val="6678A0"/>
        <w:sz w:val="16"/>
        <w:szCs w:val="16"/>
      </w:rPr>
      <w:t xml:space="preserve">  ·  Ekoscan Integrity Group — BU Services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CA8" w:sz="2" w:space="2"/>
      </w:pBdr>
      <w:spacing w:after="0"/>
      <w:jc w:val="right"/>
    </w:pPr>
    <w:r>
      <w:rPr>
        <w:rFonts w:ascii="Arial" w:cs="Arial" w:eastAsia="Arial" w:hAnsi="Arial"/>
        <w:color w:val="6678A0"/>
        <w:sz w:val="16"/>
        <w:szCs w:val="16"/>
      </w:rPr>
      <w:t xml:space="preserve">Keith Reichenbach  ·  Ops Team Role Brief  ·  BU Services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20"/>
      </w:pPr>
    </w:lvl>
    <w:lvl w:ilvl="1" w15:tentative="1">
      <w:start w:val="1"/>
      <w:numFmt w:val="bullet"/>
      <w:lvlText w:val="◦"/>
      <w:lvlJc w:val="left"/>
      <w:pPr>
        <w:ind w:left="92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5CA8" w:sz="3" w:space="2"/>
      </w:pBdr>
      <w:spacing w:after="180" w:before="360"/>
      <w:outlineLvl w:val="0"/>
    </w:pPr>
    <w:rPr>
      <w:rFonts w:ascii="Arial" w:cs="Arial" w:eastAsia="Arial" w:hAnsi="Arial"/>
      <w:b/>
      <w:bCs/>
      <w:color w:val="0A1F5C"/>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1A5C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2026-04-19T17:19:33.028Z</dcterms:created>
  <dcterms:modified xsi:type="dcterms:W3CDTF">2026-04-19T17:19:33.028Z</dcterms:modified>
</cp:coreProperties>
</file>

<file path=docProps/custom.xml><?xml version="1.0" encoding="utf-8"?>
<Properties xmlns="http://schemas.openxmlformats.org/officeDocument/2006/custom-properties" xmlns:vt="http://schemas.openxmlformats.org/officeDocument/2006/docPropsVTypes"/>
</file>