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360"/>
      </w:pPr>
      <w:r>
        <w:rPr>
          <w:rFonts w:ascii="Arial" w:cs="Arial" w:eastAsia="Arial" w:hAnsi="Arial"/>
          <w:caps/>
          <w:color w:val="6678A0"/>
          <w:spacing w:val="80"/>
          <w:sz w:val="18"/>
          <w:szCs w:val="18"/>
        </w:rPr>
        <w:t xml:space="preserve">EKOSCAN INTEGRITY GROUP — BU SERVICES</w:t>
      </w:r>
    </w:p>
    <w:p>
      <w:pPr>
        <w:spacing w:after="40"/>
      </w:pPr>
      <w:r>
        <w:rPr>
          <w:rFonts w:ascii="Arial" w:cs="Arial" w:eastAsia="Arial" w:hAnsi="Arial"/>
          <w:b/>
          <w:bCs/>
          <w:color w:val="0A1F5C"/>
          <w:sz w:val="52"/>
          <w:szCs w:val="52"/>
        </w:rPr>
        <w:t xml:space="preserve">Louis-Pier Théberge</w:t>
      </w:r>
    </w:p>
    <w:p>
      <w:pPr>
        <w:spacing w:after="40"/>
      </w:pPr>
      <w:r>
        <w:rPr>
          <w:rFonts w:ascii="Arial" w:cs="Arial" w:eastAsia="Arial" w:hAnsi="Arial"/>
          <w:b/>
          <w:bCs/>
          <w:color w:val="6D28D9"/>
          <w:sz w:val="26"/>
          <w:szCs w:val="26"/>
        </w:rPr>
        <w:t xml:space="preserve">Operations Director — Nuclear · Program Lead, New Build &amp; Refurbishment</w:t>
      </w:r>
    </w:p>
    <w:p>
      <w:pPr>
        <w:spacing w:after="60"/>
      </w:pPr>
      <w:r>
        <w:rPr>
          <w:rFonts w:ascii="Arial" w:cs="Arial" w:eastAsia="Arial" w:hAnsi="Arial"/>
          <w:i/>
          <w:iCs/>
          <w:color w:val="6678A0"/>
          <w:sz w:val="19"/>
          <w:szCs w:val="19"/>
        </w:rPr>
        <w:t xml:space="preserve">Employer: Nucleom Inc.  ·  Level: Ops team — Nuclear sector · Reports to: Mathieu Beauchesne (EVP)</w:t>
      </w:r>
    </w:p>
    <w:p>
      <w:pPr>
        <w:pBdr>
          <w:bottom w:val="single" w:color="6D28D9" w:sz="4" w:space="1"/>
        </w:pBdr>
        <w:spacing w:after="160" w:before="120"/>
      </w:pPr>
    </w:p>
    <w:p>
      <w:pPr>
        <w:spacing w:after="80"/>
      </w:pPr>
    </w:p>
    <w:p>
      <w:pPr>
        <w:spacing w:after="120"/>
      </w:pPr>
      <w:r>
        <w:rPr>
          <w:rFonts w:ascii="Arial" w:cs="Arial" w:eastAsia="Arial" w:hAnsi="Arial"/>
          <w:sz w:val="20"/>
          <w:szCs w:val="20"/>
        </w:rPr>
        <w:t xml:space="preserve">You are the operations lead for Nucleom's nuclear sector and the programme lead for new build and refurbishment work. You sit within Alex Cyr's ops structure and work in close partnership with Olivier Marcotte (CRO) on the new build and refurbishment commercial track. The nuclear initiative is the highest-value in the 5-year plan at $47.9M.</w:t>
      </w:r>
    </w:p>
    <w:p>
      <w:pPr>
        <w:spacing w:after="80"/>
      </w:pPr>
    </w:p>
    <w:p>
      <w:pPr>
        <w:pStyle w:val="Heading1"/>
      </w:pPr>
      <w:r>
        <w:t xml:space="preserve">1.  Two Tracks — Your Lane vs Olivier's Lane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4"/>
              <w:left w:val="single" w:color="6D28D9" w:sz="4"/>
              <w:bottom w:val="single" w:color="6D28D9" w:sz="4"/>
              <w:right w:val="single" w:color="6D28D9" w:sz="4"/>
            </w:tcBorders>
            <w:shd w:fill="EDE9FE" w:val="clear"/>
            <w:tcMar>
              <w:top w:type="dxa" w:w="100"/>
              <w:left w:type="dxa" w:w="220"/>
              <w:bottom w:type="dxa" w:w="60"/>
              <w:right w:type="dxa" w:w="220"/>
            </w:tcMar>
          </w:tcPr>
          <w:p>
            <w:r>
              <w:rPr>
                <w:rFonts w:ascii="Arial" w:cs="Arial" w:eastAsia="Arial" w:hAnsi="Arial"/>
                <w:b/>
                <w:bCs/>
                <w:color w:val="6D28D9"/>
                <w:sz w:val="20"/>
                <w:szCs w:val="20"/>
              </w:rPr>
              <w:t xml:space="preserve">The nuclear initiative has two distinct commercial tracks</w:t>
            </w:r>
          </w:p>
        </w:tc>
      </w:tr>
      <w:tr>
        <w:tc>
          <w:tcPr>
            <w:tcW w:type="dxa" w:w="9360"/>
            <w:tcBorders>
              <w:top w:val="single" w:color="6D28D9" w:sz="4"/>
              <w:left w:val="single" w:color="6D28D9" w:sz="4"/>
              <w:bottom w:val="single" w:color="6D28D9" w:sz="4"/>
              <w:right w:val="single" w:color="6D28D9" w:sz="4"/>
            </w:tcBorders>
            <w:shd w:fill="EDE9FE" w:val="clear"/>
            <w:tcMar>
              <w:top w:type="dxa" w:w="60"/>
              <w:left w:type="dxa" w:w="220"/>
              <w:bottom w:type="dxa" w:w="60"/>
              <w:right w:type="dxa" w:w="220"/>
            </w:tcMar>
          </w:tcPr>
          <w:p>
            <w:pPr>
              <w:spacing w:after="60"/>
            </w:pPr>
            <w:r>
              <w:rPr>
                <w:rFonts w:ascii="Arial" w:cs="Arial" w:eastAsia="Arial" w:hAnsi="Arial"/>
                <w:color w:val="1A2A4A"/>
                <w:sz w:val="19"/>
                <w:szCs w:val="19"/>
              </w:rPr>
              <w:t xml:space="preserve">New builds and refurbishments (your track with Olivier): NDT work on the Darlington BWRX-300 SMR, Pickering Units 5-8 refurbishment, and future OPG/Bruce Power refurbishment programmes. Delivered via Aecon. Olivier Marcotte owns the commercial relationship; you own the operational programme and crew capability.</w:t>
            </w:r>
          </w:p>
        </w:tc>
      </w:tr>
      <w:tr>
        <w:tc>
          <w:tcPr>
            <w:tcW w:type="dxa" w:w="9360"/>
            <w:tcBorders>
              <w:top w:val="single" w:color="6D28D9" w:sz="4"/>
              <w:left w:val="single" w:color="6D28D9" w:sz="4"/>
              <w:bottom w:val="single" w:color="6D28D9" w:sz="4"/>
              <w:right w:val="single" w:color="6D28D9" w:sz="4"/>
            </w:tcBorders>
            <w:shd w:fill="EDE9FE" w:val="clear"/>
            <w:tcMar>
              <w:top w:type="dxa" w:w="60"/>
              <w:left w:type="dxa" w:w="220"/>
              <w:bottom w:type="dxa" w:w="60"/>
              <w:right w:type="dxa" w:w="220"/>
            </w:tcMar>
          </w:tcPr>
          <w:p>
            <w:pPr>
              <w:spacing w:after="60"/>
            </w:pPr>
            <w:r>
              <w:rPr>
                <w:rFonts w:ascii="Arial" w:cs="Arial" w:eastAsia="Arial" w:hAnsi="Arial"/>
                <w:color w:val="1A2A4A"/>
                <w:sz w:val="19"/>
                <w:szCs w:val="19"/>
              </w:rPr>
              <w:t xml:space="preserve"/>
            </w:r>
          </w:p>
        </w:tc>
      </w:tr>
      <w:tr>
        <w:tc>
          <w:tcPr>
            <w:tcW w:type="dxa" w:w="9360"/>
            <w:tcBorders>
              <w:top w:val="single" w:color="6D28D9" w:sz="4"/>
              <w:left w:val="single" w:color="6D28D9" w:sz="4"/>
              <w:bottom w:val="single" w:color="6D28D9" w:sz="4"/>
              <w:right w:val="single" w:color="6D28D9" w:sz="4"/>
            </w:tcBorders>
            <w:shd w:fill="EDE9FE" w:val="clear"/>
            <w:tcMar>
              <w:top w:type="dxa" w:w="60"/>
              <w:left w:type="dxa" w:w="220"/>
              <w:bottom w:type="dxa" w:w="60"/>
              <w:right w:type="dxa" w:w="220"/>
            </w:tcMar>
          </w:tcPr>
          <w:p>
            <w:pPr>
              <w:spacing w:after="60"/>
            </w:pPr>
            <w:r>
              <w:rPr>
                <w:rFonts w:ascii="Arial" w:cs="Arial" w:eastAsia="Arial" w:hAnsi="Arial"/>
                <w:color w:val="1A2A4A"/>
                <w:sz w:val="19"/>
                <w:szCs w:val="19"/>
              </w:rPr>
              <w:t xml:space="preserve">MSA and maintenance/inspection (Vinoth's track with Jon): OPG and Bruce Power ongoing outage inspection and maintenance contracts. Vinoth Tharma owns the commercial pipeline; Jon Eustace supports with his OPG executive relationship. Your role here is crew readiness and outage mobilisation support for Joel Djordjevic's Central team.</w:t>
            </w:r>
          </w:p>
        </w:tc>
      </w:tr>
      <w:tr>
        <w:tc>
          <w:tcPr>
            <w:tcW w:type="dxa" w:w="9360"/>
            <w:tcBorders>
              <w:top w:val="single" w:color="6D28D9" w:sz="4"/>
              <w:left w:val="single" w:color="6D28D9" w:sz="4"/>
              <w:bottom w:val="single" w:color="6D28D9" w:sz="4"/>
              <w:right w:val="single" w:color="6D28D9" w:sz="4"/>
            </w:tcBorders>
            <w:shd w:fill="EDE9FE" w:val="clear"/>
            <w:tcMar>
              <w:top w:type="dxa" w:w="60"/>
              <w:left w:type="dxa" w:w="220"/>
              <w:bottom w:type="dxa" w:w="60"/>
              <w:right w:type="dxa" w:w="220"/>
            </w:tcMar>
          </w:tcPr>
          <w:p>
            <w:pPr>
              <w:spacing w:after="60"/>
            </w:pPr>
            <w:r>
              <w:rPr>
                <w:rFonts w:ascii="Arial" w:cs="Arial" w:eastAsia="Arial" w:hAnsi="Arial"/>
                <w:color w:val="1A2A4A"/>
                <w:sz w:val="19"/>
                <w:szCs w:val="19"/>
              </w:rPr>
              <w:t xml:space="preserve"/>
            </w:r>
          </w:p>
        </w:tc>
      </w:tr>
      <w:tr>
        <w:tc>
          <w:tcPr>
            <w:tcW w:type="dxa" w:w="9360"/>
            <w:tcBorders>
              <w:top w:val="single" w:color="6D28D9" w:sz="4"/>
              <w:left w:val="single" w:color="6D28D9" w:sz="4"/>
              <w:bottom w:val="single" w:color="6D28D9" w:sz="4"/>
              <w:right w:val="single" w:color="6D28D9" w:sz="4"/>
            </w:tcBorders>
            <w:shd w:fill="EDE9FE" w:val="clear"/>
            <w:tcMar>
              <w:top w:type="dxa" w:w="60"/>
              <w:left w:type="dxa" w:w="220"/>
              <w:bottom w:type="dxa" w:w="60"/>
              <w:right w:type="dxa" w:w="220"/>
            </w:tcMar>
          </w:tcPr>
          <w:p>
            <w:pPr>
              <w:spacing w:after="60"/>
            </w:pPr>
            <w:r>
              <w:rPr>
                <w:rFonts w:ascii="Arial" w:cs="Arial" w:eastAsia="Arial" w:hAnsi="Arial"/>
                <w:color w:val="1A2A4A"/>
                <w:sz w:val="19"/>
                <w:szCs w:val="19"/>
              </w:rPr>
              <w:t xml:space="preserve">You contribute to both tracks operationally — but your primary commercial partner is Olivier on the new build/refurb side. A fundamental change in how Nuclear commercial activity works. Previously nuclear ops was managing client relationships directly. That has changed. Vinoth Tharma (Commercial Director East) owns new MSA and maintenance/inspection client development with OPG, supported by Jon. Olivier Marcotte owns new build/refurbishment relationships with Aecon. Your role: maintain the Nuclear sector relationships you already hold, deliver active and awarded work to the standard that earns the next contract, and provide technical input when Vinoth and Olivier are advancing client conversations or building proposals. If an existing Nuclear client raises a new scope with you — flag it to Vinoth or Olivier immediately.</w:t>
            </w:r>
          </w:p>
        </w:tc>
      </w:tr>
    </w:tbl>
    <w:p>
      <w:pPr>
        <w:spacing w:after="80"/>
      </w:pPr>
    </w:p>
    <w:p>
      <w:pPr>
        <w:pStyle w:val="Heading1"/>
      </w:pPr>
      <w:r>
        <w:t xml:space="preserve">2.  Your Operational Responsibilities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80"/>
        <w:gridCol w:w="4080"/>
      </w:tblGrid>
      <w:tr>
        <w:tc>
          <w:tcPr>
            <w:tcW w:type="dxa" w:w="2000"/>
            <w:tcBorders>
              <w:top w:val="single" w:color="0A1F5C" w:sz="4"/>
              <w:left w:val="single" w:color="0A1F5C" w:sz="4"/>
              <w:bottom w:val="single" w:color="0A1F5C" w:sz="4"/>
              <w:right w:val="single" w:color="0A1F5C" w:sz="4"/>
            </w:tcBorders>
            <w:shd w:fill="0A1F5C" w:val="clear"/>
            <w:tcMar>
              <w:top w:type="dxa" w:w="80"/>
              <w:left w:type="dxa" w:w="160"/>
              <w:bottom w:type="dxa" w:w="80"/>
              <w:right w:type="dxa" w:w="160"/>
            </w:tcMar>
          </w:tcPr>
          <w:p>
            <w:r>
              <w:rPr>
                <w:rFonts w:ascii="Arial" w:cs="Arial" w:eastAsia="Arial" w:hAnsi="Arial"/>
                <w:b/>
                <w:bCs/>
                <w:color w:val="FFFFFF"/>
                <w:sz w:val="18"/>
                <w:szCs w:val="18"/>
              </w:rPr>
              <w:t xml:space="preserve">Initiative</w:t>
            </w:r>
          </w:p>
        </w:tc>
        <w:tc>
          <w:tcPr>
            <w:tcW w:type="dxa" w:w="3280"/>
            <w:tcBorders>
              <w:top w:val="single" w:color="0A1F5C" w:sz="4"/>
              <w:left w:val="single" w:color="0A1F5C" w:sz="4"/>
              <w:bottom w:val="single" w:color="0A1F5C" w:sz="4"/>
              <w:right w:val="single" w:color="0A1F5C" w:sz="4"/>
            </w:tcBorders>
            <w:shd w:fill="0A1F5C" w:val="clear"/>
            <w:tcMar>
              <w:top w:type="dxa" w:w="80"/>
              <w:left w:type="dxa" w:w="160"/>
              <w:bottom w:type="dxa" w:w="80"/>
              <w:right w:type="dxa" w:w="160"/>
            </w:tcMar>
          </w:tcPr>
          <w:p>
            <w:r>
              <w:rPr>
                <w:rFonts w:ascii="Arial" w:cs="Arial" w:eastAsia="Arial" w:hAnsi="Arial"/>
                <w:b/>
                <w:bCs/>
                <w:color w:val="FFFFFF"/>
                <w:sz w:val="18"/>
                <w:szCs w:val="18"/>
              </w:rPr>
              <w:t xml:space="preserve">What it means for your region</w:t>
            </w:r>
          </w:p>
        </w:tc>
        <w:tc>
          <w:tcPr>
            <w:tcW w:type="dxa" w:w="4080"/>
            <w:tcBorders>
              <w:top w:val="single" w:color="0A1F5C" w:sz="4"/>
              <w:left w:val="single" w:color="0A1F5C" w:sz="4"/>
              <w:bottom w:val="single" w:color="0A1F5C" w:sz="4"/>
              <w:right w:val="single" w:color="0A1F5C" w:sz="4"/>
            </w:tcBorders>
            <w:shd w:fill="0A1F5C" w:val="clear"/>
            <w:tcMar>
              <w:top w:type="dxa" w:w="80"/>
              <w:left w:type="dxa" w:w="160"/>
              <w:bottom w:type="dxa" w:w="80"/>
              <w:right w:type="dxa" w:w="160"/>
            </w:tcMar>
          </w:tcPr>
          <w:p>
            <w:r>
              <w:rPr>
                <w:rFonts w:ascii="Arial" w:cs="Arial" w:eastAsia="Arial" w:hAnsi="Arial"/>
                <w:b/>
                <w:bCs/>
                <w:color w:val="FFFFFF"/>
                <w:sz w:val="18"/>
                <w:szCs w:val="18"/>
              </w:rPr>
              <w:t xml:space="preserve">What ops needs to do</w:t>
            </w:r>
          </w:p>
        </w:tc>
      </w:tr>
      <w:tr>
        <w:tc>
          <w:tcPr>
            <w:tcW w:type="dxa" w:w="20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bCs/>
                <w:color w:val="0A1F5C"/>
                <w:sz w:val="17"/>
                <w:szCs w:val="17"/>
              </w:rPr>
              <w:t xml:space="preserve">Nuclear — New Build &amp; Refurb (Olivier + you)</w:t>
            </w:r>
          </w:p>
        </w:tc>
        <w:tc>
          <w:tcPr>
            <w:tcW w:type="dxa" w:w="328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1A2A4A"/>
                <w:sz w:val="17"/>
                <w:szCs w:val="17"/>
              </w:rPr>
              <w:t xml:space="preserve">Darlington BWRX-300 SMR (~$100M NDT, ~2030). Pickering Units 5-8 refurbishment (~$100M NDT, execution 2027). Both via Aecon. Long lead times — preparation starts now.</w:t>
            </w:r>
          </w:p>
        </w:tc>
        <w:tc>
          <w:tcPr>
            <w:tcW w:type="dxa" w:w="408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1A2A4A"/>
                <w:sz w:val="17"/>
                <w:szCs w:val="17"/>
              </w:rPr>
              <w:t xml:space="preserve">Own the programme plan for new build and refurb NDT scope. Maintain crew qualification roadmap. Ensure Nucleom has the qualified, OPG-vendor-approved technicians needed when these scopes execute. Work directly with Olivier on bid preparation and scope definition.</w:t>
            </w:r>
          </w:p>
        </w:tc>
      </w:tr>
      <w:tr>
        <w:tc>
          <w:tcPr>
            <w:tcW w:type="dxa" w:w="200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bCs/>
                <w:color w:val="0A1F5C"/>
                <w:sz w:val="17"/>
                <w:szCs w:val="17"/>
              </w:rPr>
              <w:t xml:space="preserve">Nuclear — MSA / Outage (Vinoth + Jon — ops support)</w:t>
            </w:r>
          </w:p>
        </w:tc>
        <w:tc>
          <w:tcPr>
            <w:tcW w:type="dxa" w:w="328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val="false"/>
                <w:bCs w:val="false"/>
                <w:color w:val="1A2A4A"/>
                <w:sz w:val="17"/>
                <w:szCs w:val="17"/>
              </w:rPr>
              <w:t xml:space="preserve">OPG Darlington, OPG Pickering, Bruce Power outage inspection and maintenance. Vinoth and Jon own the commercial side. You support ops mobilisation.</w:t>
            </w:r>
          </w:p>
        </w:tc>
        <w:tc>
          <w:tcPr>
            <w:tcW w:type="dxa" w:w="408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val="false"/>
                <w:bCs w:val="false"/>
                <w:color w:val="1A2A4A"/>
                <w:sz w:val="17"/>
                <w:szCs w:val="17"/>
              </w:rPr>
              <w:t xml:space="preserve">Coordinate outage crew readiness with Joel Djordjevic (Central Ops). Outage windows are fixed — crew must be ready before the window opens, not after. Flag any crew qualification gaps to Alex Cyr and Vinoth at least 90 days before an outage window.</w:t>
            </w:r>
          </w:p>
        </w:tc>
      </w:tr>
    </w:tbl>
    <w:p>
      <w:pPr>
        <w:spacing w:after="80"/>
      </w:pPr>
    </w:p>
    <w:p>
      <w:pPr>
        <w:pStyle w:val="Heading1"/>
      </w:pPr>
      <w:r>
        <w:t xml:space="preserve">3.  Programme Management — What You Own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6D28D9" w:sz="4"/>
              <w:left w:val="single" w:color="6D28D9" w:sz="4"/>
              <w:bottom w:val="single" w:color="6D28D9" w:sz="4"/>
              <w:right w:val="none"/>
            </w:tcBorders>
            <w:shd w:fill="6D28D9" w:val="clear"/>
          </w:tcPr>
          <w:p/>
        </w:tc>
        <w:tc>
          <w:tcPr>
            <w:tcW w:type="dxa" w:w="9160"/>
            <w:tcBorders>
              <w:top w:val="single" w:color="6D28D9" w:sz="4"/>
              <w:left w:val="none"/>
              <w:bottom w:val="single" w:color="6D28D9" w:sz="4"/>
              <w:right w:val="single" w:color="6D28D9" w:sz="4"/>
            </w:tcBorders>
            <w:shd w:fill="F4F7FB" w:val="clear"/>
            <w:tcMar>
              <w:top w:type="dxa" w:w="120"/>
              <w:left w:type="dxa" w:w="200"/>
              <w:bottom w:type="dxa" w:w="120"/>
              <w:right w:type="dxa" w:w="200"/>
            </w:tcMar>
          </w:tcPr>
          <w:p>
            <w:pPr>
              <w:spacing w:after="80"/>
            </w:pPr>
            <w:r>
              <w:rPr>
                <w:rFonts w:ascii="Arial" w:cs="Arial" w:eastAsia="Arial" w:hAnsi="Arial"/>
                <w:b/>
                <w:bCs/>
                <w:color w:val="6D28D9"/>
                <w:sz w:val="21"/>
                <w:szCs w:val="21"/>
              </w:rPr>
              <w:t xml:space="preserve">Crew qualification and readiness</w:t>
            </w:r>
          </w:p>
          <w:p>
            <w:pPr>
              <w:spacing w:after="70"/>
            </w:pPr>
            <w:r>
              <w:rPr>
                <w:rFonts w:ascii="Arial" w:cs="Arial" w:eastAsia="Arial" w:hAnsi="Arial"/>
                <w:color w:val="1A2A4A"/>
                <w:sz w:val="19"/>
                <w:szCs w:val="19"/>
              </w:rPr>
              <w:t xml:space="preserve">Nucleom's ability to win and execute nuclear work depends entirely on having the right people with the right qualifications. You own this picture.</w:t>
            </w:r>
          </w:p>
          <w:p>
            <w:pPr>
              <w:spacing w:after="70"/>
            </w:pPr>
            <w:r>
              <w:rPr>
                <w:rFonts w:ascii="Arial" w:cs="Arial" w:eastAsia="Arial" w:hAnsi="Arial"/>
                <w:color w:val="1A2A4A"/>
                <w:sz w:val="19"/>
                <w:szCs w:val="19"/>
              </w:rPr>
              <w:t xml:space="preserve">Maintain a current register of all Nucleom technicians with nuclear-sector qualifications — NDT levels, OPG vendor approvals, and any CANDU-specific training.</w:t>
            </w:r>
          </w:p>
          <w:p>
            <w:pPr>
              <w:spacing w:after="70"/>
            </w:pPr>
            <w:r>
              <w:rPr>
                <w:rFonts w:ascii="Arial" w:cs="Arial" w:eastAsia="Arial" w:hAnsi="Arial"/>
                <w:color w:val="1A2A4A"/>
                <w:sz w:val="19"/>
                <w:szCs w:val="19"/>
              </w:rPr>
              <w:t xml:space="preserve">Identify qualification gaps relative to the Darlington and Pickering scopes and build a remediation plan with timeline.</w:t>
            </w:r>
          </w:p>
          <w:p>
            <w:pPr>
              <w:spacing w:after="70"/>
            </w:pPr>
            <w:r>
              <w:rPr>
                <w:rFonts w:ascii="Arial" w:cs="Arial" w:eastAsia="Arial" w:hAnsi="Arial"/>
                <w:color w:val="1A2A4A"/>
                <w:sz w:val="19"/>
                <w:szCs w:val="19"/>
              </w:rPr>
              <w:t xml:space="preserve">Coordinate with OPG on vendor approval requirements — these processes take months and must be started well ahead of any outage or execution window.</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1A5CA8" w:sz="4"/>
              <w:left w:val="single" w:color="1A5CA8" w:sz="4"/>
              <w:bottom w:val="single" w:color="1A5CA8" w:sz="4"/>
              <w:right w:val="none"/>
            </w:tcBorders>
            <w:shd w:fill="1A5CA8" w:val="clear"/>
          </w:tcPr>
          <w:p/>
        </w:tc>
        <w:tc>
          <w:tcPr>
            <w:tcW w:type="dxa" w:w="9160"/>
            <w:tcBorders>
              <w:top w:val="single" w:color="1A5CA8" w:sz="4"/>
              <w:left w:val="none"/>
              <w:bottom w:val="single" w:color="1A5CA8" w:sz="4"/>
              <w:right w:val="single" w:color="1A5CA8" w:sz="4"/>
            </w:tcBorders>
            <w:shd w:fill="F4F7FB" w:val="clear"/>
            <w:tcMar>
              <w:top w:type="dxa" w:w="120"/>
              <w:left w:type="dxa" w:w="200"/>
              <w:bottom w:type="dxa" w:w="120"/>
              <w:right w:type="dxa" w:w="200"/>
            </w:tcMar>
          </w:tcPr>
          <w:p>
            <w:pPr>
              <w:spacing w:after="80"/>
            </w:pPr>
            <w:r>
              <w:rPr>
                <w:rFonts w:ascii="Arial" w:cs="Arial" w:eastAsia="Arial" w:hAnsi="Arial"/>
                <w:b/>
                <w:bCs/>
                <w:color w:val="1A5CA8"/>
                <w:sz w:val="21"/>
                <w:szCs w:val="21"/>
              </w:rPr>
              <w:t xml:space="preserve">Bid support for new build and refurb scopes</w:t>
            </w:r>
          </w:p>
          <w:p>
            <w:pPr>
              <w:spacing w:after="70"/>
            </w:pPr>
            <w:r>
              <w:rPr>
                <w:rFonts w:ascii="Arial" w:cs="Arial" w:eastAsia="Arial" w:hAnsi="Arial"/>
                <w:color w:val="1A2A4A"/>
                <w:sz w:val="19"/>
                <w:szCs w:val="19"/>
              </w:rPr>
              <w:t xml:space="preserve">When Olivier prepares bids for Aecon/OPG nuclear scopes, you provide the operational input: crew names, qualification evidence, methodology, and mobilisation plan.</w:t>
            </w:r>
          </w:p>
          <w:p>
            <w:pPr>
              <w:spacing w:after="70"/>
            </w:pPr>
            <w:r>
              <w:rPr>
                <w:rFonts w:ascii="Arial" w:cs="Arial" w:eastAsia="Arial" w:hAnsi="Arial"/>
                <w:color w:val="1A2A4A"/>
                <w:sz w:val="19"/>
                <w:szCs w:val="19"/>
              </w:rPr>
              <w:t xml:space="preserve">You are the technical credibility behind the commercial proposal. Olivier sells the relationship; you substantiate the capability.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C9860A" w:sz="4"/>
              <w:left w:val="single" w:color="C9860A" w:sz="4"/>
              <w:bottom w:val="single" w:color="C9860A" w:sz="4"/>
              <w:right w:val="none"/>
            </w:tcBorders>
            <w:shd w:fill="C9860A" w:val="clear"/>
          </w:tcPr>
          <w:p/>
        </w:tc>
        <w:tc>
          <w:tcPr>
            <w:tcW w:type="dxa" w:w="9160"/>
            <w:tcBorders>
              <w:top w:val="single" w:color="C9860A" w:sz="4"/>
              <w:left w:val="none"/>
              <w:bottom w:val="single" w:color="C9860A" w:sz="4"/>
              <w:right w:val="single" w:color="C9860A" w:sz="4"/>
            </w:tcBorders>
            <w:shd w:fill="F4F7FB" w:val="clear"/>
            <w:tcMar>
              <w:top w:type="dxa" w:w="120"/>
              <w:left w:type="dxa" w:w="200"/>
              <w:bottom w:type="dxa" w:w="120"/>
              <w:right w:type="dxa" w:w="200"/>
            </w:tcMar>
          </w:tcPr>
          <w:p>
            <w:pPr>
              <w:spacing w:after="80"/>
            </w:pPr>
            <w:r>
              <w:rPr>
                <w:rFonts w:ascii="Arial" w:cs="Arial" w:eastAsia="Arial" w:hAnsi="Arial"/>
                <w:b/>
                <w:bCs/>
                <w:color w:val="C9860A"/>
                <w:sz w:val="21"/>
                <w:szCs w:val="21"/>
              </w:rPr>
              <w:t xml:space="preserve">Outage window readiness — MSA track</w:t>
            </w:r>
          </w:p>
          <w:p>
            <w:pPr>
              <w:spacing w:after="70"/>
            </w:pPr>
            <w:r>
              <w:rPr>
                <w:rFonts w:ascii="Arial" w:cs="Arial" w:eastAsia="Arial" w:hAnsi="Arial"/>
                <w:color w:val="1A2A4A"/>
                <w:sz w:val="19"/>
                <w:szCs w:val="19"/>
              </w:rPr>
              <w:t xml:space="preserve">For OPG maintenance and inspection outages (Vinoth's track), your role is to ensure Joel Djordjevic's Central team has the right crew available and qualified before each outage window opens.</w:t>
            </w:r>
          </w:p>
          <w:p>
            <w:pPr>
              <w:spacing w:after="70"/>
            </w:pPr>
            <w:r>
              <w:rPr>
                <w:rFonts w:ascii="Arial" w:cs="Arial" w:eastAsia="Arial" w:hAnsi="Arial"/>
                <w:color w:val="1A2A4A"/>
                <w:sz w:val="19"/>
                <w:szCs w:val="19"/>
              </w:rPr>
              <w:t xml:space="preserve">The Nuclear Outage Calendar in the Command Centre tracks upcoming outage windows — Jon and Olivier update it. You should review it regularly and flag any readiness concerns at least 90 days ahead.</w:t>
            </w:r>
          </w:p>
        </w:tc>
      </w:tr>
    </w:tbl>
    <w:p>
      <w:pPr>
        <w:spacing w:after="80"/>
      </w:pPr>
    </w:p>
    <w:p>
      <w:pPr>
        <w:pStyle w:val="Heading1"/>
      </w:pPr>
      <w:r>
        <w:t xml:space="preserve">4.  Commercial System — Your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A1F5C" w:sz="4"/>
              <w:left w:val="single" w:color="0A1F5C" w:sz="4"/>
              <w:bottom w:val="single" w:color="0A1F5C" w:sz="4"/>
              <w:right w:val="single" w:color="0A1F5C" w:sz="4"/>
            </w:tcBorders>
            <w:shd w:fill="0A1F5C" w:val="clear"/>
            <w:tcMar>
              <w:top w:type="dxa" w:w="80"/>
              <w:left w:type="dxa" w:w="160"/>
              <w:bottom w:type="dxa" w:w="80"/>
              <w:right w:type="dxa" w:w="160"/>
            </w:tcMar>
          </w:tcPr>
          <w:p>
            <w:r>
              <w:rPr>
                <w:rFonts w:ascii="Arial" w:cs="Arial" w:eastAsia="Arial" w:hAnsi="Arial"/>
                <w:b/>
                <w:bCs/>
                <w:color w:val="FFFFFF"/>
                <w:sz w:val="18"/>
                <w:szCs w:val="18"/>
              </w:rPr>
              <w:t xml:space="preserve">System / Tool</w:t>
            </w:r>
          </w:p>
        </w:tc>
        <w:tc>
          <w:tcPr>
            <w:tcW w:type="dxa" w:w="6560"/>
            <w:tcBorders>
              <w:top w:val="single" w:color="0A1F5C" w:sz="4"/>
              <w:left w:val="single" w:color="0A1F5C" w:sz="4"/>
              <w:bottom w:val="single" w:color="0A1F5C" w:sz="4"/>
              <w:right w:val="single" w:color="0A1F5C" w:sz="4"/>
            </w:tcBorders>
            <w:shd w:fill="0A1F5C" w:val="clear"/>
            <w:tcMar>
              <w:top w:type="dxa" w:w="80"/>
              <w:left w:type="dxa" w:w="160"/>
              <w:bottom w:type="dxa" w:w="80"/>
              <w:right w:type="dxa" w:w="160"/>
            </w:tcMar>
          </w:tcPr>
          <w:p>
            <w:r>
              <w:rPr>
                <w:rFonts w:ascii="Arial" w:cs="Arial" w:eastAsia="Arial" w:hAnsi="Arial"/>
                <w:b/>
                <w:bCs/>
                <w:color w:val="FFFFFF"/>
                <w:sz w:val="18"/>
                <w:szCs w:val="18"/>
              </w:rPr>
              <w:t xml:space="preserve">Your responsibility</w:t>
            </w:r>
          </w:p>
        </w:tc>
      </w:tr>
      <w:tr>
        <w:tc>
          <w:tcPr>
            <w:tcW w:type="dxa" w:w="28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bCs/>
                <w:color w:val="0A1F5C"/>
                <w:sz w:val="18"/>
                <w:szCs w:val="18"/>
              </w:rPr>
              <w:t xml:space="preserve">Nuclear Outage Calendar (actuals.json)</w:t>
            </w:r>
          </w:p>
        </w:tc>
        <w:tc>
          <w:tcPr>
            <w:tcW w:type="dxa" w:w="656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1A2A4A"/>
                <w:sz w:val="18"/>
                <w:szCs w:val="18"/>
              </w:rPr>
              <w:t xml:space="preserve">Jon and Olivier maintain the nuclear outage calendar in actuals.json on SharePoint. You should review it regularly and use it to plan crew readiness timelines. Flag any concerns to Olivier (new build/refurb track) or Vinoth (MSA/outage track).</w:t>
            </w:r>
          </w:p>
        </w:tc>
      </w:tr>
      <w:tr>
        <w:tc>
          <w:tcPr>
            <w:tcW w:type="dxa" w:w="280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bCs/>
                <w:color w:val="0A1F5C"/>
                <w:sz w:val="18"/>
                <w:szCs w:val="18"/>
              </w:rPr>
              <w:t xml:space="preserve">Utilisation Tracker (Excel — weekly)</w:t>
            </w:r>
          </w:p>
        </w:tc>
        <w:tc>
          <w:tcPr>
            <w:tcW w:type="dxa" w:w="656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val="false"/>
                <w:bCs w:val="false"/>
                <w:color w:val="1A2A4A"/>
                <w:sz w:val="18"/>
                <w:szCs w:val="18"/>
              </w:rPr>
              <w:t xml:space="preserve">Update the nuclear sector row in the 26-week utilisation tracker every Wednesday. Nuclear crew have a distinct profile — track them separately from general NDT.</w:t>
            </w:r>
          </w:p>
        </w:tc>
      </w:tr>
      <w:tr>
        <w:tc>
          <w:tcPr>
            <w:tcW w:type="dxa" w:w="28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bCs/>
                <w:color w:val="0A1F5C"/>
                <w:sz w:val="18"/>
                <w:szCs w:val="18"/>
              </w:rPr>
              <w:t xml:space="preserve">Salesforce — indirect</w:t>
            </w:r>
          </w:p>
        </w:tc>
        <w:tc>
          <w:tcPr>
            <w:tcW w:type="dxa" w:w="656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1A2A4A"/>
                <w:sz w:val="18"/>
                <w:szCs w:val="18"/>
              </w:rPr>
              <w:t xml:space="preserve">Vinoth enters nuclear MSA opportunities in Salesforce tagged BU_Initiative__c = Nuclear-OPG. You do not enter Salesforce data, but when Vinoth asks about crew availability or qualifications for an active opportunity, respond same day.</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CF0" w:sz="2" w:space="2"/>
      </w:pBdr>
      <w:spacing w:before="80"/>
      <w:jc w:val="center"/>
    </w:pPr>
    <w:r>
      <w:rPr>
        <w:rFonts w:ascii="Arial" w:cs="Arial" w:eastAsia="Arial" w:hAnsi="Arial"/>
        <w:color w:val="6678A0"/>
        <w:sz w:val="16"/>
        <w:szCs w:val="16"/>
      </w:rPr>
      <w:t xml:space="preserve">Page </w:t>
    </w:r>
    <w:r>
      <w:rPr>
        <w:rFonts w:ascii="Arial" w:cs="Arial" w:eastAsia="Arial" w:hAnsi="Arial"/>
        <w:color w:val="6678A0"/>
        <w:sz w:val="16"/>
        <w:szCs w:val="16"/>
      </w:rPr>
      <w:fldChar w:fldCharType="begin"/>
      <w:instrText xml:space="preserve">PAGE</w:instrText>
      <w:fldChar w:fldCharType="separate"/>
      <w:fldChar w:fldCharType="end"/>
    </w:r>
    <w:r>
      <w:rPr>
        <w:rFonts w:ascii="Arial" w:cs="Arial" w:eastAsia="Arial" w:hAnsi="Arial"/>
        <w:color w:val="6678A0"/>
        <w:sz w:val="16"/>
        <w:szCs w:val="16"/>
      </w:rPr>
      <w:t xml:space="preserve"> of </w:t>
    </w:r>
    <w:r>
      <w:rPr>
        <w:rFonts w:ascii="Arial" w:cs="Arial" w:eastAsia="Arial" w:hAnsi="Arial"/>
        <w:color w:val="6678A0"/>
        <w:sz w:val="16"/>
        <w:szCs w:val="16"/>
      </w:rPr>
      <w:fldChar w:fldCharType="begin"/>
      <w:instrText xml:space="preserve">NUMPAGES</w:instrText>
      <w:fldChar w:fldCharType="separate"/>
      <w:fldChar w:fldCharType="end"/>
    </w:r>
    <w:r>
      <w:rPr>
        <w:rFonts w:ascii="Arial" w:cs="Arial" w:eastAsia="Arial" w:hAnsi="Arial"/>
        <w:color w:val="6678A0"/>
        <w:sz w:val="16"/>
        <w:szCs w:val="16"/>
      </w:rPr>
      <w:t xml:space="preserve">  ·  Ekoscan Integrity Group — BU Services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D28D9" w:sz="2" w:space="2"/>
      </w:pBdr>
      <w:spacing w:after="0"/>
      <w:jc w:val="right"/>
    </w:pPr>
    <w:r>
      <w:rPr>
        <w:rFonts w:ascii="Arial" w:cs="Arial" w:eastAsia="Arial" w:hAnsi="Arial"/>
        <w:color w:val="6678A0"/>
        <w:sz w:val="16"/>
        <w:szCs w:val="16"/>
      </w:rPr>
      <w:t xml:space="preserve">Louis-Pier Théberge  ·  Ops Team Role Brief  ·  BU Services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20"/>
      </w:pPr>
    </w:lvl>
    <w:lvl w:ilvl="1" w15:tentative="1">
      <w:start w:val="1"/>
      <w:numFmt w:val="bullet"/>
      <w:lvlText w:val="◦"/>
      <w:lvlJc w:val="left"/>
      <w:pPr>
        <w:ind w:left="92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A4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6D28D9" w:sz="3" w:space="2"/>
      </w:pBdr>
      <w:spacing w:after="180" w:before="360"/>
      <w:outlineLvl w:val="0"/>
    </w:pPr>
    <w:rPr>
      <w:rFonts w:ascii="Arial" w:cs="Arial" w:eastAsia="Arial" w:hAnsi="Arial"/>
      <w:b/>
      <w:bCs/>
      <w:color w:val="0A1F5C"/>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1A5C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2026-04-19T17:19:33.039Z</dcterms:created>
  <dcterms:modified xsi:type="dcterms:W3CDTF">2026-04-19T17:19:33.039Z</dcterms:modified>
</cp:coreProperties>
</file>

<file path=docProps/custom.xml><?xml version="1.0" encoding="utf-8"?>
<Properties xmlns="http://schemas.openxmlformats.org/officeDocument/2006/custom-properties" xmlns:vt="http://schemas.openxmlformats.org/officeDocument/2006/docPropsVTypes"/>
</file>