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60"/>
      </w:pPr>
      <w:r>
        <w:rPr>
          <w:rFonts w:ascii="Arial" w:cs="Arial" w:eastAsia="Arial" w:hAnsi="Arial"/>
          <w:caps/>
          <w:color w:val="6678A0"/>
          <w:spacing w:val="80"/>
          <w:sz w:val="18"/>
          <w:szCs w:val="18"/>
        </w:rPr>
        <w:t xml:space="preserve">EKOSCAN INTEGRITY GROUP — BU SERVICES</w:t>
      </w:r>
    </w:p>
    <w:p>
      <w:pPr>
        <w:spacing w:after="40"/>
      </w:pPr>
      <w:r>
        <w:rPr>
          <w:rFonts w:ascii="Arial" w:cs="Arial" w:eastAsia="Arial" w:hAnsi="Arial"/>
          <w:b/>
          <w:bCs/>
          <w:color w:val="0A1F5C"/>
          <w:sz w:val="56"/>
          <w:szCs w:val="56"/>
        </w:rPr>
        <w:t xml:space="preserve">Max Aggrey</w:t>
      </w:r>
    </w:p>
    <w:p>
      <w:pPr>
        <w:spacing w:after="40"/>
      </w:pPr>
      <w:r>
        <w:rPr>
          <w:rFonts w:ascii="Arial" w:cs="Arial" w:eastAsia="Arial" w:hAnsi="Arial"/>
          <w:b/>
          <w:bCs/>
          <w:color w:val="1A5CA8"/>
          <w:sz w:val="26"/>
          <w:szCs w:val="26"/>
        </w:rPr>
        <w:t xml:space="preserve">Commercial Director — West  ·  Nucleom Inc. (commercial responsibility: Nucleom + Nortech Western Canada)</w:t>
      </w:r>
    </w:p>
    <w:p>
      <w:pPr>
        <w:spacing w:after="120"/>
      </w:pPr>
      <w:r>
        <w:rPr>
          <w:rFonts w:ascii="Arial" w:cs="Arial" w:eastAsia="Arial" w:hAnsi="Arial"/>
          <w:i/>
          <w:iCs/>
          <w:color w:val="6678A0"/>
          <w:sz w:val="19"/>
          <w:szCs w:val="19"/>
        </w:rPr>
        <w:t xml:space="preserve">Employed by: Nucleom Inc. — employed and paid by Nucleom. Reports to: Olivier Marcotte (CRO, BU Services). Commercial mandate covers Nucleom Western Canada AND Nortech Western Canada.</w:t>
      </w:r>
    </w:p>
    <w:p>
      <w:pPr>
        <w:pBdr>
          <w:bottom w:val="single" w:color="1A5CA8" w:sz="4" w:space="1"/>
        </w:pBdr>
        <w:spacing w:after="160" w:before="120"/>
      </w:pPr>
    </w:p>
    <w:p>
      <w:pPr>
        <w:spacing w:after="80"/>
      </w:pPr>
    </w:p>
    <w:p>
      <w:pPr>
        <w:spacing w:after="120"/>
      </w:pPr>
      <w:r>
        <w:rPr>
          <w:rFonts w:ascii="Arial" w:cs="Arial" w:eastAsia="Arial" w:hAnsi="Arial"/>
          <w:sz w:val="20"/>
          <w:szCs w:val="20"/>
        </w:rPr>
        <w:t xml:space="preserve">You are the primary commercial face of BU Services across Western Canada. Employed by Nucleom, your mandate covers both Nucleom and Nortech's Western client base. Your three initiative priorities are Mining NDT, Pipeline DA (joint with Rick Carlton), and 3X Composite Repair. You report to Olivier Marcotte (CRO, BU Services). You are the relationship owner, pipeline builder, and deal closer for every Western Canada opportunity across both brands.</w:t>
      </w:r>
    </w:p>
    <w:p>
      <w:pPr>
        <w:spacing w:after="80"/>
      </w:pPr>
    </w:p>
    <w:p>
      <w:pPr>
        <w:pStyle w:val="Heading1"/>
      </w:pPr>
      <w:r>
        <w:t xml:space="preserve">1.  Role Overview</w:t>
      </w:r>
    </w:p>
    <w:p>
      <w:pPr>
        <w:spacing w:after="120"/>
      </w:pPr>
      <w:r>
        <w:rPr>
          <w:rFonts w:ascii="Arial" w:cs="Arial" w:eastAsia="Arial" w:hAnsi="Arial"/>
          <w:sz w:val="20"/>
          <w:szCs w:val="20"/>
        </w:rPr>
        <w:t xml:space="preserve">You are the primary commercial face of BU Services in Western Canada. You are employed and paid by Nucleom Inc., but your commercial mandate extends across both Nucleom and Nortech Advanced NDT for the Western territory. When a Western Canada operator needs NDT, inspection, data analytics, or composite repair — the relationship runs through you.</w:t>
      </w:r>
    </w:p>
    <w:p>
      <w:pPr>
        <w:spacing w:after="80"/>
      </w:pPr>
    </w:p>
    <w:p>
      <w:pPr>
        <w:spacing w:after="120"/>
      </w:pPr>
      <w:r>
        <w:rPr>
          <w:rFonts w:ascii="Arial" w:cs="Arial" w:eastAsia="Arial" w:hAnsi="Arial"/>
          <w:sz w:val="20"/>
          <w:szCs w:val="20"/>
        </w:rPr>
        <w:t xml:space="preserve">Jon owns the strategy and the Eurazeo relationship. You own the ground — the client conversations, the pipeline, the proposals, and the closed deals that make the strategy real.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4"/>
              <w:bottom w:val="single" w:color="B91C1C" w:sz="4"/>
              <w:right w:val="single" w:color="B91C1C" w:sz="4"/>
            </w:tcBorders>
            <w:shd w:fill="FEE2E2" w:val="clear"/>
            <w:tcMar>
              <w:top w:type="dxa" w:w="100"/>
              <w:left w:type="dxa" w:w="220"/>
              <w:bottom w:type="dxa" w:w="60"/>
              <w:right w:type="dxa" w:w="220"/>
            </w:tcMar>
          </w:tcPr>
          <w:p>
            <w:r>
              <w:rPr>
                <w:rFonts w:ascii="Arial" w:cs="Arial" w:eastAsia="Arial" w:hAnsi="Arial"/>
                <w:b/>
                <w:bCs/>
                <w:color w:val="B91C1C"/>
                <w:sz w:val="20"/>
                <w:szCs w:val="20"/>
              </w:rPr>
              <w:t xml:space="preserve">The most important thing to understand about your role</w:t>
            </w:r>
          </w:p>
        </w:tc>
      </w:tr>
      <w:tr>
        <w:tc>
          <w:tcPr>
            <w:tcW w:type="dxa" w:w="9360"/>
            <w:tcBorders>
              <w:top w:val="single" w:color="B91C1C" w:sz="4"/>
              <w:left w:val="single" w:color="B91C1C" w:sz="4"/>
              <w:bottom w:val="single" w:color="B91C1C" w:sz="4"/>
              <w:right w:val="single" w:color="B91C1C" w:sz="4"/>
            </w:tcBorders>
            <w:shd w:fill="FEE2E2" w:val="clear"/>
            <w:tcMar>
              <w:top w:type="dxa" w:w="60"/>
              <w:left w:type="dxa" w:w="220"/>
              <w:bottom w:type="dxa" w:w="60"/>
              <w:right w:type="dxa" w:w="220"/>
            </w:tcMar>
          </w:tcPr>
          <w:p>
            <w:pPr>
              <w:spacing w:after="60"/>
            </w:pPr>
            <w:r>
              <w:rPr>
                <w:rFonts w:ascii="Arial" w:cs="Arial" w:eastAsia="Arial" w:hAnsi="Arial"/>
                <w:color w:val="1A2A4A"/>
                <w:sz w:val="19"/>
                <w:szCs w:val="19"/>
              </w:rPr>
              <w:t xml:space="preserve">Revenue that is not in Salesforce does not exist in the commercial system. Jon's weekly KPI email, the Command Centre, the board reporting, and the Eurazeo plan review all read directly from Salesforce via an automated flow that runs every Sunday at 7PM ET.</w:t>
            </w:r>
          </w:p>
        </w:tc>
      </w:tr>
      <w:tr>
        <w:tc>
          <w:tcPr>
            <w:tcW w:type="dxa" w:w="9360"/>
            <w:tcBorders>
              <w:top w:val="single" w:color="B91C1C" w:sz="4"/>
              <w:left w:val="single" w:color="B91C1C" w:sz="4"/>
              <w:bottom w:val="single" w:color="B91C1C" w:sz="4"/>
              <w:right w:val="single" w:color="B91C1C" w:sz="4"/>
            </w:tcBorders>
            <w:shd w:fill="FEE2E2" w:val="clear"/>
            <w:tcMar>
              <w:top w:type="dxa" w:w="60"/>
              <w:left w:type="dxa" w:w="220"/>
              <w:bottom w:type="dxa" w:w="60"/>
              <w:right w:type="dxa" w:w="220"/>
            </w:tcMar>
          </w:tcPr>
          <w:p>
            <w:pPr>
              <w:spacing w:after="60"/>
            </w:pPr>
            <w:r>
              <w:rPr>
                <w:rFonts w:ascii="Arial" w:cs="Arial" w:eastAsia="Arial" w:hAnsi="Arial"/>
                <w:color w:val="1A2A4A"/>
                <w:sz w:val="19"/>
                <w:szCs w:val="19"/>
              </w:rPr>
              <w:t xml:space="preserve"/>
            </w:r>
          </w:p>
        </w:tc>
      </w:tr>
      <w:tr>
        <w:tc>
          <w:tcPr>
            <w:tcW w:type="dxa" w:w="9360"/>
            <w:tcBorders>
              <w:top w:val="single" w:color="B91C1C" w:sz="4"/>
              <w:left w:val="single" w:color="B91C1C" w:sz="4"/>
              <w:bottom w:val="single" w:color="B91C1C" w:sz="4"/>
              <w:right w:val="single" w:color="B91C1C" w:sz="4"/>
            </w:tcBorders>
            <w:shd w:fill="FEE2E2" w:val="clear"/>
            <w:tcMar>
              <w:top w:type="dxa" w:w="60"/>
              <w:left w:type="dxa" w:w="220"/>
              <w:bottom w:type="dxa" w:w="60"/>
              <w:right w:type="dxa" w:w="220"/>
            </w:tcMar>
          </w:tcPr>
          <w:p>
            <w:pPr>
              <w:spacing w:after="60"/>
            </w:pPr>
            <w:r>
              <w:rPr>
                <w:rFonts w:ascii="Arial" w:cs="Arial" w:eastAsia="Arial" w:hAnsi="Arial"/>
                <w:color w:val="1A2A4A"/>
                <w:sz w:val="19"/>
                <w:szCs w:val="19"/>
              </w:rPr>
              <w:t xml:space="preserve">If you met a client on Thursday and it is not in Salesforce by Friday, it did not happen commercially. That is not a criticism — it is how the system works. Your Salesforce hygiene is not an admin task. It is commercial intelligence.</w:t>
            </w:r>
          </w:p>
        </w:tc>
      </w:tr>
    </w:tbl>
    <w:p>
      <w:pPr>
        <w:spacing w:after="80"/>
      </w:pPr>
    </w:p>
    <w:p>
      <w:pPr>
        <w:pStyle w:val="Heading1"/>
      </w:pPr>
      <w:r>
        <w:t xml:space="preserve">2.  Territory and Commercial Responsibilities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1A5CA8" w:sz="4"/>
              <w:left w:val="single" w:color="1A5CA8" w:sz="4"/>
              <w:bottom w:val="single" w:color="1A5CA8" w:sz="4"/>
              <w:right w:val="single" w:color="1A5CA8" w:sz="4"/>
            </w:tcBorders>
            <w:shd w:fill="1A5CA8" w:val="clear"/>
            <w:tcMar>
              <w:top w:type="dxa" w:w="80"/>
              <w:left w:type="dxa" w:w="160"/>
              <w:bottom w:type="dxa" w:w="80"/>
              <w:right w:type="dxa" w:w="160"/>
            </w:tcMar>
          </w:tcPr>
          <w:p>
            <w:r>
              <w:rPr>
                <w:rFonts w:ascii="Arial" w:cs="Arial" w:eastAsia="Arial" w:hAnsi="Arial"/>
                <w:b/>
                <w:bCs/>
                <w:color w:val="FFFFFF"/>
                <w:sz w:val="18"/>
                <w:szCs w:val="18"/>
              </w:rPr>
              <w:t xml:space="preserve">Responsibility</w:t>
            </w:r>
          </w:p>
        </w:tc>
        <w:tc>
          <w:tcPr>
            <w:tcW w:type="dxa" w:w="3160"/>
            <w:tcBorders>
              <w:top w:val="single" w:color="1A5CA8" w:sz="4"/>
              <w:left w:val="single" w:color="1A5CA8" w:sz="4"/>
              <w:bottom w:val="single" w:color="1A5CA8" w:sz="4"/>
              <w:right w:val="single" w:color="1A5CA8" w:sz="4"/>
            </w:tcBorders>
            <w:shd w:fill="1A5CA8" w:val="clear"/>
            <w:tcMar>
              <w:top w:type="dxa" w:w="80"/>
              <w:left w:type="dxa" w:w="160"/>
              <w:bottom w:type="dxa" w:w="80"/>
              <w:right w:type="dxa" w:w="160"/>
            </w:tcMar>
          </w:tcPr>
          <w:p>
            <w:r>
              <w:rPr>
                <w:rFonts w:ascii="Arial" w:cs="Arial" w:eastAsia="Arial" w:hAnsi="Arial"/>
                <w:b/>
                <w:bCs/>
                <w:color w:val="FFFFFF"/>
                <w:sz w:val="18"/>
                <w:szCs w:val="18"/>
              </w:rPr>
              <w:t xml:space="preserve">Scope</w:t>
            </w:r>
          </w:p>
        </w:tc>
        <w:tc>
          <w:tcPr>
            <w:tcW w:type="dxa" w:w="4000"/>
            <w:tcBorders>
              <w:top w:val="single" w:color="1A5CA8" w:sz="4"/>
              <w:left w:val="single" w:color="1A5CA8" w:sz="4"/>
              <w:bottom w:val="single" w:color="1A5CA8" w:sz="4"/>
              <w:right w:val="single" w:color="1A5CA8" w:sz="4"/>
            </w:tcBorders>
            <w:shd w:fill="1A5CA8" w:val="clear"/>
            <w:tcMar>
              <w:top w:type="dxa" w:w="80"/>
              <w:left w:type="dxa" w:w="160"/>
              <w:bottom w:type="dxa" w:w="80"/>
              <w:right w:type="dxa" w:w="160"/>
            </w:tcMar>
          </w:tcPr>
          <w:p>
            <w:r>
              <w:rPr>
                <w:rFonts w:ascii="Arial" w:cs="Arial" w:eastAsia="Arial" w:hAnsi="Arial"/>
                <w:b/>
                <w:bCs/>
                <w:color w:val="FFFFFF"/>
                <w:sz w:val="18"/>
                <w:szCs w:val="18"/>
              </w:rPr>
              <w:t xml:space="preserve">Key targets and context</w:t>
            </w:r>
          </w:p>
        </w:tc>
      </w:tr>
      <w:tr>
        <w:tc>
          <w:tcPr>
            <w:tcW w:type="dxa" w:w="22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Nucleom — Western Canada</w:t>
            </w:r>
          </w:p>
        </w:tc>
        <w:tc>
          <w:tcPr>
            <w:tcW w:type="dxa" w:w="31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All Nucleom commercial activity in BC, AB, SK. Mining NDT, Powerline, Nuclear where applicable.</w:t>
            </w:r>
          </w:p>
        </w:tc>
        <w:tc>
          <w:tcPr>
            <w:tcW w:type="dxa" w:w="40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6678A0"/>
                <w:sz w:val="17"/>
                <w:szCs w:val="17"/>
              </w:rPr>
              <w:t xml:space="preserve">You are employed by Nucleom. All Nucleom Western revenue, pipeline, and client relationships are your primary mandate.</w:t>
            </w:r>
          </w:p>
        </w:tc>
      </w:tr>
      <w:tr>
        <w:tc>
          <w:tcPr>
            <w:tcW w:type="dxa" w:w="22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Nortech — Western Canada (commercial only)</w:t>
            </w:r>
          </w:p>
        </w:tc>
        <w:tc>
          <w:tcPr>
            <w:tcW w:type="dxa" w:w="31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You carry commercial responsibility for Nortech's Western pipeline and inspection client relationships. Nortech is not in Salesforce — see Section 5.</w:t>
            </w:r>
          </w:p>
        </w:tc>
        <w:tc>
          <w:tcPr>
            <w:tcW w:type="dxa" w:w="40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6678A0"/>
                <w:sz w:val="17"/>
                <w:szCs w:val="17"/>
              </w:rPr>
              <w:t xml:space="preserve">Nortech is the Pipeline DA and integrity services brand in Western Canada. Operators know the Nortech name for pipeline work. You bridge both brands in the field.</w:t>
            </w:r>
          </w:p>
        </w:tc>
      </w:tr>
      <w:tr>
        <w:tc>
          <w:tcPr>
            <w:tcW w:type="dxa" w:w="22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Mining NDT (Primary initiative)</w:t>
            </w:r>
          </w:p>
        </w:tc>
        <w:tc>
          <w:tcPr>
            <w:tcW w:type="dxa" w:w="31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Robotic UT, TFM, PCI, TOFD across Western Canadian mining operators. CIM Vancouver and Canadian Mining Expo are your key show plays.</w:t>
            </w:r>
          </w:p>
        </w:tc>
        <w:tc>
          <w:tcPr>
            <w:tcW w:type="dxa" w:w="40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6678A0"/>
                <w:sz w:val="17"/>
                <w:szCs w:val="17"/>
              </w:rPr>
              <w:t xml:space="preserve">Teck Resources (Highland Valley, Trail, Cardinal River), Kinross, Barrick (Hemlo, Cortez), Vale (Sudbury, Thompson), Agnico Eagle, Newmont. Shan Switzer cross-sell.</w:t>
            </w:r>
          </w:p>
        </w:tc>
      </w:tr>
      <w:tr>
        <w:tc>
          <w:tcPr>
            <w:tcW w:type="dxa" w:w="22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Pipeline DA (Joint with Rick Carlton)</w:t>
            </w:r>
          </w:p>
        </w:tc>
        <w:tc>
          <w:tcPr>
            <w:tcW w:type="dxa" w:w="31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Pipeline integrity and data analytics in Western Canada. You and Rick Carlton co-own new Pipeline DA commercial relationships. Rick leads the technical programme; you bring the broader Western client platform. New operator relationships are developed jointly.</w:t>
            </w:r>
          </w:p>
        </w:tc>
        <w:tc>
          <w:tcPr>
            <w:tcW w:type="dxa" w:w="40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6678A0"/>
                <w:sz w:val="17"/>
                <w:szCs w:val="17"/>
              </w:rPr>
              <w:t xml:space="preserve">Enbridge (Northern Gateway, Westcoast), TC Energy (NGTL), Pembina, Keyera, Inter Pipeline. IPC Calgary and IPCE are your primary pipeline conference plays.</w:t>
            </w:r>
          </w:p>
        </w:tc>
      </w:tr>
      <w:tr>
        <w:tc>
          <w:tcPr>
            <w:tcW w:type="dxa" w:w="22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3X Composite Repair</w:t>
            </w:r>
          </w:p>
        </w:tc>
        <w:tc>
          <w:tcPr>
            <w:tcW w:type="dxa" w:w="31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Inspect-then-fix model. Any AMBER or RED finding you identify on a Western asset is a 3X opportunity. You are often the first to see it.</w:t>
            </w:r>
          </w:p>
        </w:tc>
        <w:tc>
          <w:tcPr>
            <w:tcW w:type="dxa" w:w="40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6678A0"/>
                <w:sz w:val="17"/>
                <w:szCs w:val="17"/>
              </w:rPr>
              <w:t xml:space="preserve">Every Western operator with corroding pipe, storage tanks with defects, or structural anomalies. ABSA Step 1 qualification is in place — use it.</w:t>
            </w:r>
          </w:p>
        </w:tc>
      </w:tr>
    </w:tbl>
    <w:p>
      <w:pPr>
        <w:spacing w:after="80"/>
      </w:pPr>
    </w:p>
    <w:p>
      <w:pPr>
        <w:pStyle w:val="Heading1"/>
      </w:pPr>
      <w:r>
        <w:t xml:space="preserve">3.  Your Weekly Rhythm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A5CA8" w:sz="4"/>
              <w:left w:val="single" w:color="1A5CA8" w:sz="4"/>
              <w:bottom w:val="single" w:color="1A5CA8" w:sz="4"/>
              <w:right w:val="none"/>
            </w:tcBorders>
            <w:shd w:fill="1A5CA8" w:val="clear"/>
          </w:tcPr>
          <w:p/>
        </w:tc>
        <w:tc>
          <w:tcPr>
            <w:tcW w:type="dxa" w:w="9160"/>
            <w:tcBorders>
              <w:top w:val="single" w:color="1A5CA8" w:sz="4"/>
              <w:left w:val="none"/>
              <w:bottom w:val="single" w:color="1A5CA8" w:sz="4"/>
              <w:right w:val="single" w:color="1A5CA8" w:sz="4"/>
            </w:tcBorders>
            <w:shd w:fill="F4F7FB" w:val="clear"/>
            <w:tcMar>
              <w:top w:type="dxa" w:w="120"/>
              <w:left w:type="dxa" w:w="200"/>
              <w:bottom w:type="dxa" w:w="120"/>
              <w:right w:type="dxa" w:w="200"/>
            </w:tcMar>
          </w:tcPr>
          <w:p>
            <w:pPr>
              <w:spacing w:after="80"/>
            </w:pPr>
            <w:r>
              <w:rPr>
                <w:rFonts w:ascii="Arial" w:cs="Arial" w:eastAsia="Arial" w:hAnsi="Arial"/>
                <w:b/>
                <w:bCs/>
                <w:color w:val="1A5CA8"/>
                <w:sz w:val="21"/>
                <w:szCs w:val="21"/>
              </w:rPr>
              <w:t xml:space="preserve">Every Friday by 4PM ET — Salesforce update (non-negotiable)</w:t>
            </w:r>
          </w:p>
          <w:p>
            <w:pPr>
              <w:spacing w:after="70"/>
            </w:pPr>
            <w:r>
              <w:rPr>
                <w:rFonts w:ascii="Arial" w:cs="Arial" w:eastAsia="Arial" w:hAnsi="Arial"/>
                <w:color w:val="1A2A4A"/>
                <w:sz w:val="19"/>
                <w:szCs w:val="19"/>
              </w:rPr>
              <w:t xml:space="preserve">The Sunday PA flow runs at 7PM ET. Everything entered by Friday is in Jon's Monday email.</w:t>
            </w:r>
          </w:p>
          <w:p>
            <w:pPr>
              <w:spacing w:after="70"/>
            </w:pPr>
            <w:r>
              <w:rPr>
                <w:rFonts w:ascii="Arial" w:cs="Arial" w:eastAsia="Arial" w:hAnsi="Arial"/>
                <w:color w:val="1A2A4A"/>
                <w:sz w:val="19"/>
                <w:szCs w:val="19"/>
              </w:rPr>
              <w:t xml:space="preserve">Update every active opportunity: stage, probability, amount estimate, close date, next action.</w:t>
            </w:r>
          </w:p>
          <w:p>
            <w:pPr>
              <w:spacing w:after="70"/>
            </w:pPr>
            <w:r>
              <w:rPr>
                <w:rFonts w:ascii="Arial" w:cs="Arial" w:eastAsia="Arial" w:hAnsi="Arial"/>
                <w:color w:val="1A2A4A"/>
                <w:sz w:val="19"/>
                <w:szCs w:val="19"/>
              </w:rPr>
              <w:t xml:space="preserve">Log every client interaction from the week as a Salesforce Activity.</w:t>
            </w:r>
          </w:p>
          <w:p>
            <w:pPr>
              <w:spacing w:after="70"/>
            </w:pPr>
            <w:r>
              <w:rPr>
                <w:rFonts w:ascii="Arial" w:cs="Arial" w:eastAsia="Arial" w:hAnsi="Arial"/>
                <w:color w:val="1A2A4A"/>
                <w:sz w:val="19"/>
                <w:szCs w:val="19"/>
              </w:rPr>
              <w:t xml:space="preserve">Create a Lead for every new contact met at a site visit, conference, or cold call.</w:t>
            </w:r>
          </w:p>
          <w:p>
            <w:pPr>
              <w:spacing w:after="70"/>
            </w:pPr>
            <w:r>
              <w:rPr>
                <w:rFonts w:ascii="Arial" w:cs="Arial" w:eastAsia="Arial" w:hAnsi="Arial"/>
                <w:color w:val="1A2A4A"/>
                <w:sz w:val="19"/>
                <w:szCs w:val="19"/>
              </w:rPr>
              <w:t xml:space="preserve">Flag any AMBER/RED finding from a site visit as a 3X Composite opportunity.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9860A" w:sz="4"/>
              <w:left w:val="single" w:color="C9860A" w:sz="4"/>
              <w:bottom w:val="single" w:color="C9860A" w:sz="4"/>
              <w:right w:val="none"/>
            </w:tcBorders>
            <w:shd w:fill="C9860A" w:val="clear"/>
          </w:tcPr>
          <w:p/>
        </w:tc>
        <w:tc>
          <w:tcPr>
            <w:tcW w:type="dxa" w:w="9160"/>
            <w:tcBorders>
              <w:top w:val="single" w:color="C9860A" w:sz="4"/>
              <w:left w:val="none"/>
              <w:bottom w:val="single" w:color="C9860A" w:sz="4"/>
              <w:right w:val="single" w:color="C9860A" w:sz="4"/>
            </w:tcBorders>
            <w:shd w:fill="F4F7FB" w:val="clear"/>
            <w:tcMar>
              <w:top w:type="dxa" w:w="120"/>
              <w:left w:type="dxa" w:w="200"/>
              <w:bottom w:type="dxa" w:w="120"/>
              <w:right w:type="dxa" w:w="200"/>
            </w:tcMar>
          </w:tcPr>
          <w:p>
            <w:pPr>
              <w:spacing w:after="80"/>
            </w:pPr>
            <w:r>
              <w:rPr>
                <w:rFonts w:ascii="Arial" w:cs="Arial" w:eastAsia="Arial" w:hAnsi="Arial"/>
                <w:b/>
                <w:bCs/>
                <w:color w:val="C9860A"/>
                <w:sz w:val="21"/>
                <w:szCs w:val="21"/>
              </w:rPr>
              <w:t xml:space="preserve">Monday Commercial Meeting — your pipeline is the agenda</w:t>
            </w:r>
          </w:p>
          <w:p>
            <w:pPr>
              <w:spacing w:after="70"/>
            </w:pPr>
            <w:r>
              <w:rPr>
                <w:rFonts w:ascii="Arial" w:cs="Arial" w:eastAsia="Arial" w:hAnsi="Arial"/>
                <w:color w:val="1A2A4A"/>
                <w:sz w:val="19"/>
                <w:szCs w:val="19"/>
              </w:rPr>
              <w:t xml:space="preserve">The meeting uses the Monday KPI email as its starting point. Your Mining and Pipeline numbers are front and centre.</w:t>
            </w:r>
          </w:p>
          <w:p>
            <w:pPr>
              <w:spacing w:after="70"/>
            </w:pPr>
            <w:r>
              <w:rPr>
                <w:rFonts w:ascii="Arial" w:cs="Arial" w:eastAsia="Arial" w:hAnsi="Arial"/>
                <w:color w:val="1A2A4A"/>
                <w:sz w:val="19"/>
                <w:szCs w:val="19"/>
              </w:rPr>
              <w:t xml:space="preserve">Come with: one win or near-win to report, one stalled deal you want help on, and your conference follow-up status.</w:t>
            </w:r>
          </w:p>
          <w:p>
            <w:pPr>
              <w:spacing w:after="70"/>
            </w:pPr>
            <w:r>
              <w:rPr>
                <w:rFonts w:ascii="Arial" w:cs="Arial" w:eastAsia="Arial" w:hAnsi="Arial"/>
                <w:color w:val="1A2A4A"/>
                <w:sz w:val="19"/>
                <w:szCs w:val="19"/>
              </w:rPr>
              <w:t xml:space="preserve">If your Salesforce numbers look wrong on Monday morning, the fix is simple — update Salesforce.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6A34A" w:sz="4"/>
              <w:left w:val="single" w:color="16A34A" w:sz="4"/>
              <w:bottom w:val="single" w:color="16A34A" w:sz="4"/>
              <w:right w:val="none"/>
            </w:tcBorders>
            <w:shd w:fill="16A34A" w:val="clear"/>
          </w:tcPr>
          <w:p/>
        </w:tc>
        <w:tc>
          <w:tcPr>
            <w:tcW w:type="dxa" w:w="9160"/>
            <w:tcBorders>
              <w:top w:val="single" w:color="16A34A" w:sz="4"/>
              <w:left w:val="none"/>
              <w:bottom w:val="single" w:color="16A34A" w:sz="4"/>
              <w:right w:val="single" w:color="16A34A" w:sz="4"/>
            </w:tcBorders>
            <w:shd w:fill="F4F7FB" w:val="clear"/>
            <w:tcMar>
              <w:top w:type="dxa" w:w="120"/>
              <w:left w:type="dxa" w:w="200"/>
              <w:bottom w:type="dxa" w:w="120"/>
              <w:right w:type="dxa" w:w="200"/>
            </w:tcMar>
          </w:tcPr>
          <w:p>
            <w:pPr>
              <w:spacing w:after="80"/>
            </w:pPr>
            <w:r>
              <w:rPr>
                <w:rFonts w:ascii="Arial" w:cs="Arial" w:eastAsia="Arial" w:hAnsi="Arial"/>
                <w:b/>
                <w:bCs/>
                <w:color w:val="16A34A"/>
                <w:sz w:val="21"/>
                <w:szCs w:val="21"/>
              </w:rPr>
              <w:t xml:space="preserve">After every client meeting, site visit, or conference</w:t>
            </w:r>
          </w:p>
          <w:p>
            <w:pPr>
              <w:spacing w:after="70"/>
            </w:pPr>
            <w:r>
              <w:rPr>
                <w:rFonts w:ascii="Arial" w:cs="Arial" w:eastAsia="Arial" w:hAnsi="Arial"/>
                <w:color w:val="1A2A4A"/>
                <w:sz w:val="19"/>
                <w:szCs w:val="19"/>
              </w:rPr>
              <w:t xml:space="preserve">Log a Salesforce Activity within 24 hours: type (meeting/call/site visit), date, contact name, and 2-3 sentences on what was discussed and what was agreed.</w:t>
            </w:r>
          </w:p>
          <w:p>
            <w:pPr>
              <w:spacing w:after="70"/>
            </w:pPr>
            <w:r>
              <w:rPr>
                <w:rFonts w:ascii="Arial" w:cs="Arial" w:eastAsia="Arial" w:hAnsi="Arial"/>
                <w:color w:val="1A2A4A"/>
                <w:sz w:val="19"/>
                <w:szCs w:val="19"/>
              </w:rPr>
              <w:t xml:space="preserve">If a proposal was discussed or requested: create or update the Opportunity record.</w:t>
            </w:r>
          </w:p>
          <w:p>
            <w:pPr>
              <w:spacing w:after="70"/>
            </w:pPr>
            <w:r>
              <w:rPr>
                <w:rFonts w:ascii="Arial" w:cs="Arial" w:eastAsia="Arial" w:hAnsi="Arial"/>
                <w:color w:val="1A2A4A"/>
                <w:sz w:val="19"/>
                <w:szCs w:val="19"/>
              </w:rPr>
              <w:t xml:space="preserve">If a new contact was made: create a Lead the same day. Do not wait.</w:t>
            </w:r>
          </w:p>
          <w:p>
            <w:pPr>
              <w:spacing w:after="70"/>
            </w:pPr>
            <w:r>
              <w:rPr>
                <w:rFonts w:ascii="Arial" w:cs="Arial" w:eastAsia="Arial" w:hAnsi="Arial"/>
                <w:color w:val="1A2A4A"/>
                <w:sz w:val="19"/>
                <w:szCs w:val="19"/>
              </w:rPr>
              <w:t xml:space="preserve">If AMBER/RED findings were identified: create a 3X Composite opportunity immediately.</w:t>
            </w:r>
          </w:p>
        </w:tc>
      </w:tr>
    </w:tbl>
    <w:p>
      <w:pPr>
        <w:spacing w:after="80"/>
      </w:pPr>
    </w:p>
    <w:p>
      <w:r>
        <w:br w:type="page"/>
      </w:r>
    </w:p>
    <w:p>
      <w:pPr>
        <w:pStyle w:val="Heading1"/>
      </w:pPr>
      <w:r>
        <w:t xml:space="preserve">4.  Salesforce — What You Own and How to Use It</w:t>
      </w:r>
    </w:p>
    <w:p>
      <w:pPr>
        <w:spacing w:after="120"/>
      </w:pPr>
      <w:r>
        <w:rPr>
          <w:rFonts w:ascii="Arial" w:cs="Arial" w:eastAsia="Arial" w:hAnsi="Arial"/>
          <w:sz w:val="20"/>
          <w:szCs w:val="20"/>
        </w:rPr>
        <w:t xml:space="preserve">Salesforce is your commercial operating system. It is not a reporting tool for management — it is the live record of your business. Every interaction, every proposal, every deal lives here. Here is the exact field-level guide for what to enter.</w:t>
      </w:r>
    </w:p>
    <w:p>
      <w:pPr>
        <w:spacing w:after="80"/>
      </w:pPr>
    </w:p>
    <w:p>
      <w:pPr>
        <w:pStyle w:val="Heading2"/>
      </w:pPr>
      <w:r>
        <w:t xml:space="preserve">4.1  Creating a Lead — for every new contact</w:t>
      </w:r>
    </w:p>
    <w:p>
      <w:pPr>
        <w:spacing w:after="120"/>
      </w:pPr>
      <w:r>
        <w:rPr>
          <w:rFonts w:ascii="Arial" w:cs="Arial" w:eastAsia="Arial" w:hAnsi="Arial"/>
          <w:sz w:val="20"/>
          <w:szCs w:val="20"/>
        </w:rPr>
        <w:t xml:space="preserve">Create a Lead any time you meet someone new who could become a client, a champion, or a referral source. Takes under 3 minutes.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Field</w:t>
            </w:r>
          </w:p>
        </w:tc>
        <w:tc>
          <w:tcPr>
            <w:tcW w:type="dxa" w:w="12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Required?</w:t>
            </w:r>
          </w:p>
        </w:tc>
        <w:tc>
          <w:tcPr>
            <w:tcW w:type="dxa" w:w="576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What to enter</w:t>
            </w:r>
          </w:p>
        </w:tc>
      </w:tr>
      <w:tr>
        <w:tc>
          <w:tcPr>
            <w:tcW w:type="dxa" w:w="24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First / Last Name</w:t>
            </w:r>
          </w:p>
        </w:tc>
        <w:tc>
          <w:tcPr>
            <w:tcW w:type="dxa" w:w="12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B91C1C"/>
                <w:sz w:val="17"/>
                <w:szCs w:val="17"/>
              </w:rPr>
              <w:t xml:space="preserve">Critical</w:t>
            </w:r>
          </w:p>
        </w:tc>
        <w:tc>
          <w:tcPr>
            <w:tcW w:type="dxa" w:w="57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Their name. Verify spelling from business card or LinkedIn.</w:t>
            </w:r>
          </w:p>
        </w:tc>
      </w:tr>
      <w:tr>
        <w:tc>
          <w:tcPr>
            <w:tcW w:type="dxa" w:w="24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Company</w:t>
            </w:r>
          </w:p>
        </w:tc>
        <w:tc>
          <w:tcPr>
            <w:tcW w:type="dxa" w:w="12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B91C1C"/>
                <w:sz w:val="17"/>
                <w:szCs w:val="17"/>
              </w:rPr>
              <w:t xml:space="preserve">Critical</w:t>
            </w:r>
          </w:p>
        </w:tc>
        <w:tc>
          <w:tcPr>
            <w:tcW w:type="dxa" w:w="57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8"/>
                <w:szCs w:val="18"/>
              </w:rPr>
              <w:t xml:space="preserve">Their employer — be specific. 'Teck Highland Valley Copper Operations', not just 'Teck'.</w:t>
            </w:r>
          </w:p>
        </w:tc>
      </w:tr>
      <w:tr>
        <w:tc>
          <w:tcPr>
            <w:tcW w:type="dxa" w:w="24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Title</w:t>
            </w:r>
          </w:p>
        </w:tc>
        <w:tc>
          <w:tcPr>
            <w:tcW w:type="dxa" w:w="12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16A34A"/>
                <w:sz w:val="17"/>
                <w:szCs w:val="17"/>
              </w:rPr>
              <w:t xml:space="preserve">Yes</w:t>
            </w:r>
          </w:p>
        </w:tc>
        <w:tc>
          <w:tcPr>
            <w:tcW w:type="dxa" w:w="57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Job title. 'Integrity Manager', 'VP Operations', 'Asset Engineer', 'Pipeline Supervisor'.</w:t>
            </w:r>
          </w:p>
        </w:tc>
      </w:tr>
      <w:tr>
        <w:tc>
          <w:tcPr>
            <w:tcW w:type="dxa" w:w="24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Email / Phone</w:t>
            </w:r>
          </w:p>
        </w:tc>
        <w:tc>
          <w:tcPr>
            <w:tcW w:type="dxa" w:w="12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16A34A"/>
                <w:sz w:val="17"/>
                <w:szCs w:val="17"/>
              </w:rPr>
              <w:t xml:space="preserve">Yes</w:t>
            </w:r>
          </w:p>
        </w:tc>
        <w:tc>
          <w:tcPr>
            <w:tcW w:type="dxa" w:w="57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8"/>
                <w:szCs w:val="18"/>
              </w:rPr>
              <w:t xml:space="preserve">Business email and direct number if you have them. Enter what you have, note 'verify' if unsure.</w:t>
            </w:r>
          </w:p>
        </w:tc>
      </w:tr>
      <w:tr>
        <w:tc>
          <w:tcPr>
            <w:tcW w:type="dxa" w:w="24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Lead Source</w:t>
            </w:r>
          </w:p>
        </w:tc>
        <w:tc>
          <w:tcPr>
            <w:tcW w:type="dxa" w:w="12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B91C1C"/>
                <w:sz w:val="17"/>
                <w:szCs w:val="17"/>
              </w:rPr>
              <w:t xml:space="preserve">Critical</w:t>
            </w:r>
          </w:p>
        </w:tc>
        <w:tc>
          <w:tcPr>
            <w:tcW w:type="dxa" w:w="57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Where you met them. For conferences: exact conference name (e.g. 'CIM Vancouver 2026'). For site visits: 'Direct Outreach'. For referrals: 'Referral'.</w:t>
            </w:r>
          </w:p>
        </w:tc>
      </w:tr>
      <w:tr>
        <w:tc>
          <w:tcPr>
            <w:tcW w:type="dxa" w:w="24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BU_Initiative__c</w:t>
            </w:r>
          </w:p>
        </w:tc>
        <w:tc>
          <w:tcPr>
            <w:tcW w:type="dxa" w:w="12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B91C1C"/>
                <w:sz w:val="17"/>
                <w:szCs w:val="17"/>
              </w:rPr>
              <w:t xml:space="preserve">Critical</w:t>
            </w:r>
          </w:p>
        </w:tc>
        <w:tc>
          <w:tcPr>
            <w:tcW w:type="dxa" w:w="57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8"/>
                <w:szCs w:val="18"/>
              </w:rPr>
              <w:t xml:space="preserve">Mining NDT / Pipeline DA / 3X Composite / Base Business. NEVER leave blank. This is how your pipeline shows in the Command Centre and Eurazeo reporting.</w:t>
            </w:r>
          </w:p>
        </w:tc>
      </w:tr>
      <w:tr>
        <w:tc>
          <w:tcPr>
            <w:tcW w:type="dxa" w:w="24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Description</w:t>
            </w:r>
          </w:p>
        </w:tc>
        <w:tc>
          <w:tcPr>
            <w:tcW w:type="dxa" w:w="12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16A34A"/>
                <w:sz w:val="17"/>
                <w:szCs w:val="17"/>
              </w:rPr>
              <w:t xml:space="preserve">Yes</w:t>
            </w:r>
          </w:p>
        </w:tc>
        <w:tc>
          <w:tcPr>
            <w:tcW w:type="dxa" w:w="57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Your notes. What problem do they have? What service did you discuss? When did you agree to follow up? Be specific.</w:t>
            </w:r>
          </w:p>
        </w:tc>
      </w:tr>
      <w:tr>
        <w:tc>
          <w:tcPr>
            <w:tcW w:type="dxa" w:w="24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Rating</w:t>
            </w:r>
          </w:p>
        </w:tc>
        <w:tc>
          <w:tcPr>
            <w:tcW w:type="dxa" w:w="12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16A34A"/>
                <w:sz w:val="17"/>
                <w:szCs w:val="17"/>
              </w:rPr>
              <w:t xml:space="preserve">Yes</w:t>
            </w:r>
          </w:p>
        </w:tc>
        <w:tc>
          <w:tcPr>
            <w:tcW w:type="dxa" w:w="57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8"/>
                <w:szCs w:val="18"/>
              </w:rPr>
              <w:t xml:space="preserve">HOT = asked for a quote. WARM = interested, not yet. COLD = early relationship building.</w:t>
            </w:r>
          </w:p>
        </w:tc>
      </w:tr>
    </w:tbl>
    <w:p>
      <w:pPr>
        <w:spacing w:after="80"/>
      </w:pPr>
    </w:p>
    <w:p>
      <w:pPr>
        <w:pStyle w:val="Heading2"/>
      </w:pPr>
      <w:r>
        <w:t xml:space="preserve">4.2  Converting a Lead to an Opportunity</w:t>
      </w:r>
    </w:p>
    <w:p>
      <w:pPr>
        <w:spacing w:after="120"/>
      </w:pPr>
      <w:r>
        <w:rPr>
          <w:rFonts w:ascii="Arial" w:cs="Arial" w:eastAsia="Arial" w:hAnsi="Arial"/>
          <w:sz w:val="20"/>
          <w:szCs w:val="20"/>
        </w:rPr>
        <w:t xml:space="preserve">When a Lead asks for a quote, agrees to a site visit, or is actively evaluating providers — convert to an Opportunity. Click Convert on the Lead record. Salesforce creates a Contact, Account, and Opportunity automatically.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Field</w:t>
            </w:r>
          </w:p>
        </w:tc>
        <w:tc>
          <w:tcPr>
            <w:tcW w:type="dxa" w:w="12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Required?</w:t>
            </w:r>
          </w:p>
        </w:tc>
        <w:tc>
          <w:tcPr>
            <w:tcW w:type="dxa" w:w="576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What to enter</w:t>
            </w:r>
          </w:p>
        </w:tc>
      </w:tr>
      <w:tr>
        <w:tc>
          <w:tcPr>
            <w:tcW w:type="dxa" w:w="24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Opportunity Name</w:t>
            </w:r>
          </w:p>
        </w:tc>
        <w:tc>
          <w:tcPr>
            <w:tcW w:type="dxa" w:w="12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B91C1C"/>
                <w:sz w:val="17"/>
                <w:szCs w:val="17"/>
              </w:rPr>
              <w:t xml:space="preserve">Critical</w:t>
            </w:r>
          </w:p>
        </w:tc>
        <w:tc>
          <w:tcPr>
            <w:tcW w:type="dxa" w:w="57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[Company] — [Service] — [Year]. E.g. 'Teck Highland Valley — Robotic UT — 2026'.</w:t>
            </w:r>
          </w:p>
        </w:tc>
      </w:tr>
      <w:tr>
        <w:tc>
          <w:tcPr>
            <w:tcW w:type="dxa" w:w="24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Stage</w:t>
            </w:r>
          </w:p>
        </w:tc>
        <w:tc>
          <w:tcPr>
            <w:tcW w:type="dxa" w:w="12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B91C1C"/>
                <w:sz w:val="17"/>
                <w:szCs w:val="17"/>
              </w:rPr>
              <w:t xml:space="preserve">Critical</w:t>
            </w:r>
          </w:p>
        </w:tc>
        <w:tc>
          <w:tcPr>
            <w:tcW w:type="dxa" w:w="57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8"/>
                <w:szCs w:val="18"/>
              </w:rPr>
              <w:t xml:space="preserve">Qualifying → Proposing → Negotiating → Closed Won / Closed Lost. Update every week.</w:t>
            </w:r>
          </w:p>
        </w:tc>
      </w:tr>
      <w:tr>
        <w:tc>
          <w:tcPr>
            <w:tcW w:type="dxa" w:w="24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Amount</w:t>
            </w:r>
          </w:p>
        </w:tc>
        <w:tc>
          <w:tcPr>
            <w:tcW w:type="dxa" w:w="12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B91C1C"/>
                <w:sz w:val="17"/>
                <w:szCs w:val="17"/>
              </w:rPr>
              <w:t xml:space="preserve">Critical</w:t>
            </w:r>
          </w:p>
        </w:tc>
        <w:tc>
          <w:tcPr>
            <w:tcW w:type="dxa" w:w="57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CAD estimate of contract value. An estimate is far better than zero. Update as scope clarifies.</w:t>
            </w:r>
          </w:p>
        </w:tc>
      </w:tr>
      <w:tr>
        <w:tc>
          <w:tcPr>
            <w:tcW w:type="dxa" w:w="24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Close Date</w:t>
            </w:r>
          </w:p>
        </w:tc>
        <w:tc>
          <w:tcPr>
            <w:tcW w:type="dxa" w:w="12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B91C1C"/>
                <w:sz w:val="17"/>
                <w:szCs w:val="17"/>
              </w:rPr>
              <w:t xml:space="preserve">Critical</w:t>
            </w:r>
          </w:p>
        </w:tc>
        <w:tc>
          <w:tcPr>
            <w:tcW w:type="dxa" w:w="57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8"/>
                <w:szCs w:val="18"/>
              </w:rPr>
              <w:t xml:space="preserve">Realistic target close date. Even rough (end of quarter) is required — undated opps are excluded from pipeline forecasts.</w:t>
            </w:r>
          </w:p>
        </w:tc>
      </w:tr>
      <w:tr>
        <w:tc>
          <w:tcPr>
            <w:tcW w:type="dxa" w:w="24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BU_Initiative__c</w:t>
            </w:r>
          </w:p>
        </w:tc>
        <w:tc>
          <w:tcPr>
            <w:tcW w:type="dxa" w:w="12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B91C1C"/>
                <w:sz w:val="17"/>
                <w:szCs w:val="17"/>
              </w:rPr>
              <w:t xml:space="preserve">Critical</w:t>
            </w:r>
          </w:p>
        </w:tc>
        <w:tc>
          <w:tcPr>
            <w:tcW w:type="dxa" w:w="57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Same as the Lead — Mining NDT, Pipeline DA, 3X Composite, or Base Business.</w:t>
            </w:r>
          </w:p>
        </w:tc>
      </w:tr>
      <w:tr>
        <w:tc>
          <w:tcPr>
            <w:tcW w:type="dxa" w:w="24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Assigned_Technicians__c</w:t>
            </w:r>
          </w:p>
        </w:tc>
        <w:tc>
          <w:tcPr>
            <w:tcW w:type="dxa" w:w="12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16A34A"/>
                <w:sz w:val="17"/>
                <w:szCs w:val="17"/>
              </w:rPr>
              <w:t xml:space="preserve">Yes</w:t>
            </w:r>
          </w:p>
        </w:tc>
        <w:tc>
          <w:tcPr>
            <w:tcW w:type="dxa" w:w="57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8"/>
                <w:szCs w:val="18"/>
              </w:rPr>
              <w:t xml:space="preserve">When you close a deal: enter the technician names you expect to deploy. Feeds crew planning visibility.</w:t>
            </w:r>
          </w:p>
        </w:tc>
      </w:tr>
    </w:tbl>
    <w:p>
      <w:pPr>
        <w:spacing w:after="80"/>
      </w:pPr>
    </w:p>
    <w:p>
      <w:pPr>
        <w:pStyle w:val="Heading2"/>
      </w:pPr>
      <w:r>
        <w:t xml:space="preserve">4.3  Logging Activities — after every interaction</w:t>
      </w:r>
    </w:p>
    <w:p>
      <w:pPr>
        <w:spacing w:after="120"/>
      </w:pPr>
      <w:r>
        <w:rPr>
          <w:rFonts w:ascii="Arial" w:cs="Arial" w:eastAsia="Arial" w:hAnsi="Arial"/>
          <w:sz w:val="20"/>
          <w:szCs w:val="20"/>
        </w:rPr>
        <w:t xml:space="preserve">Every client touchpoint should have a Salesforce Activity. Open the Contact or Opportunity → New Activity → Log a Call (for any interaction type). Fill in:</w:t>
      </w:r>
    </w:p>
    <w:p>
      <w:pPr>
        <w:pStyle w:val="ListParagraph"/>
        <w:numPr>
          <w:ilvl w:val="0"/>
          <w:numId w:val="2"/>
        </w:numPr>
        <w:spacing w:after="90"/>
      </w:pPr>
      <w:r>
        <w:rPr>
          <w:rFonts w:ascii="Arial" w:cs="Arial" w:eastAsia="Arial" w:hAnsi="Arial"/>
          <w:color w:val="1A2A4A"/>
          <w:sz w:val="20"/>
          <w:szCs w:val="20"/>
        </w:rPr>
        <w:t xml:space="preserve">Subject: [Call / Meeting / Site Visit / Email] with [Name] re: [Topic]</w:t>
      </w:r>
    </w:p>
    <w:p>
      <w:pPr>
        <w:pStyle w:val="ListParagraph"/>
        <w:numPr>
          <w:ilvl w:val="0"/>
          <w:numId w:val="2"/>
        </w:numPr>
        <w:spacing w:after="90"/>
      </w:pPr>
      <w:r>
        <w:rPr>
          <w:rFonts w:ascii="Arial" w:cs="Arial" w:eastAsia="Arial" w:hAnsi="Arial"/>
          <w:color w:val="1A2A4A"/>
          <w:sz w:val="20"/>
          <w:szCs w:val="20"/>
        </w:rPr>
        <w:t xml:space="preserve">Date: the actual date of the interaction, not today</w:t>
      </w:r>
    </w:p>
    <w:p>
      <w:pPr>
        <w:pStyle w:val="ListParagraph"/>
        <w:numPr>
          <w:ilvl w:val="0"/>
          <w:numId w:val="2"/>
        </w:numPr>
        <w:spacing w:after="90"/>
      </w:pPr>
      <w:r>
        <w:rPr>
          <w:rFonts w:ascii="Arial" w:cs="Arial" w:eastAsia="Arial" w:hAnsi="Arial"/>
          <w:color w:val="1A2A4A"/>
          <w:sz w:val="20"/>
          <w:szCs w:val="20"/>
        </w:rPr>
        <w:t xml:space="preserve">Description: what was discussed and what happens next — 2 to 4 sentences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60A" w:sz="4"/>
              <w:left w:val="single" w:color="C9860A" w:sz="4"/>
              <w:bottom w:val="single" w:color="C9860A" w:sz="4"/>
              <w:right w:val="single" w:color="C9860A" w:sz="4"/>
            </w:tcBorders>
            <w:shd w:fill="FEF3C7" w:val="clear"/>
            <w:tcMar>
              <w:top w:type="dxa" w:w="100"/>
              <w:left w:type="dxa" w:w="220"/>
              <w:bottom w:type="dxa" w:w="60"/>
              <w:right w:type="dxa" w:w="220"/>
            </w:tcMar>
          </w:tcPr>
          <w:p>
            <w:r>
              <w:rPr>
                <w:rFonts w:ascii="Arial" w:cs="Arial" w:eastAsia="Arial" w:hAnsi="Arial"/>
                <w:b/>
                <w:bCs/>
                <w:color w:val="C9860A"/>
                <w:sz w:val="20"/>
                <w:szCs w:val="20"/>
              </w:rPr>
              <w:t xml:space="preserve">The 30-day stalled deal alert</w:t>
            </w:r>
          </w:p>
        </w:tc>
      </w:tr>
      <w:tr>
        <w:tc>
          <w:tcPr>
            <w:tcW w:type="dxa" w:w="9360"/>
            <w:tcBorders>
              <w:top w:val="single" w:color="C9860A" w:sz="4"/>
              <w:left w:val="single" w:color="C9860A" w:sz="4"/>
              <w:bottom w:val="single" w:color="C9860A" w:sz="4"/>
              <w:right w:val="single" w:color="C9860A" w:sz="4"/>
            </w:tcBorders>
            <w:shd w:fill="FEF3C7" w:val="clear"/>
            <w:tcMar>
              <w:top w:type="dxa" w:w="60"/>
              <w:left w:type="dxa" w:w="220"/>
              <w:bottom w:type="dxa" w:w="60"/>
              <w:right w:type="dxa" w:w="220"/>
            </w:tcMar>
          </w:tcPr>
          <w:p>
            <w:pPr>
              <w:spacing w:after="60"/>
            </w:pPr>
            <w:r>
              <w:rPr>
                <w:rFonts w:ascii="Arial" w:cs="Arial" w:eastAsia="Arial" w:hAnsi="Arial"/>
                <w:color w:val="1A2A4A"/>
                <w:sz w:val="19"/>
                <w:szCs w:val="19"/>
              </w:rPr>
              <w:t xml:space="preserve">The commercial system will automatically flag any open opportunity where no Salesforce Activity has been logged in 30 days. This will show up in the Monday email as a stalled deal alert and will be visible to Jon.</w:t>
            </w:r>
          </w:p>
        </w:tc>
      </w:tr>
      <w:tr>
        <w:tc>
          <w:tcPr>
            <w:tcW w:type="dxa" w:w="9360"/>
            <w:tcBorders>
              <w:top w:val="single" w:color="C9860A" w:sz="4"/>
              <w:left w:val="single" w:color="C9860A" w:sz="4"/>
              <w:bottom w:val="single" w:color="C9860A" w:sz="4"/>
              <w:right w:val="single" w:color="C9860A" w:sz="4"/>
            </w:tcBorders>
            <w:shd w:fill="FEF3C7" w:val="clear"/>
            <w:tcMar>
              <w:top w:type="dxa" w:w="60"/>
              <w:left w:type="dxa" w:w="220"/>
              <w:bottom w:type="dxa" w:w="60"/>
              <w:right w:type="dxa" w:w="220"/>
            </w:tcMar>
          </w:tcPr>
          <w:p>
            <w:pPr>
              <w:spacing w:after="60"/>
            </w:pPr>
            <w:r>
              <w:rPr>
                <w:rFonts w:ascii="Arial" w:cs="Arial" w:eastAsia="Arial" w:hAnsi="Arial"/>
                <w:color w:val="1A2A4A"/>
                <w:sz w:val="19"/>
                <w:szCs w:val="19"/>
              </w:rPr>
              <w:t xml:space="preserve"/>
            </w:r>
          </w:p>
        </w:tc>
      </w:tr>
      <w:tr>
        <w:tc>
          <w:tcPr>
            <w:tcW w:type="dxa" w:w="9360"/>
            <w:tcBorders>
              <w:top w:val="single" w:color="C9860A" w:sz="4"/>
              <w:left w:val="single" w:color="C9860A" w:sz="4"/>
              <w:bottom w:val="single" w:color="C9860A" w:sz="4"/>
              <w:right w:val="single" w:color="C9860A" w:sz="4"/>
            </w:tcBorders>
            <w:shd w:fill="FEF3C7" w:val="clear"/>
            <w:tcMar>
              <w:top w:type="dxa" w:w="60"/>
              <w:left w:type="dxa" w:w="220"/>
              <w:bottom w:type="dxa" w:w="60"/>
              <w:right w:type="dxa" w:w="220"/>
            </w:tcMar>
          </w:tcPr>
          <w:p>
            <w:pPr>
              <w:spacing w:after="60"/>
            </w:pPr>
            <w:r>
              <w:rPr>
                <w:rFonts w:ascii="Arial" w:cs="Arial" w:eastAsia="Arial" w:hAnsi="Arial"/>
                <w:color w:val="1A2A4A"/>
                <w:sz w:val="19"/>
                <w:szCs w:val="19"/>
              </w:rPr>
              <w:t xml:space="preserve">This is not punitive — it is designed to surface deals that need attention before they go cold. If a deal is intentionally on hold, add a note in the Description field explaining why and when it will reactivate.</w:t>
            </w:r>
          </w:p>
        </w:tc>
      </w:tr>
    </w:tbl>
    <w:p>
      <w:pPr>
        <w:spacing w:after="80"/>
      </w:pPr>
    </w:p>
    <w:p>
      <w:r>
        <w:br w:type="page"/>
      </w:r>
    </w:p>
    <w:p>
      <w:pPr>
        <w:pStyle w:val="Heading1"/>
      </w:pPr>
      <w:r>
        <w:t xml:space="preserve">5.  Your Nortech Responsibility — Western Canada</w:t>
      </w:r>
    </w:p>
    <w:p>
      <w:pPr>
        <w:spacing w:after="120"/>
      </w:pPr>
      <w:r>
        <w:rPr>
          <w:rFonts w:ascii="Arial" w:cs="Arial" w:eastAsia="Arial" w:hAnsi="Arial"/>
          <w:sz w:val="20"/>
          <w:szCs w:val="20"/>
        </w:rPr>
        <w:t xml:space="preserve">You are employed by Nucleom, but you carry commercial responsibility for Nortech Advanced NDT in Western Canada. This means you are the commercial relationship owner for Nortech's Western clients and prospects, in addition to your Nucleom mandate.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F5C" w:sz="4"/>
              <w:left w:val="single" w:color="0A1F5C" w:sz="4"/>
              <w:bottom w:val="single" w:color="0A1F5C" w:sz="4"/>
              <w:right w:val="single" w:color="0A1F5C" w:sz="4"/>
            </w:tcBorders>
            <w:shd w:fill="F4F7FB" w:val="clear"/>
            <w:tcMar>
              <w:top w:type="dxa" w:w="100"/>
              <w:left w:type="dxa" w:w="220"/>
              <w:bottom w:type="dxa" w:w="60"/>
              <w:right w:type="dxa" w:w="220"/>
            </w:tcMar>
          </w:tcPr>
          <w:p>
            <w:r>
              <w:rPr>
                <w:rFonts w:ascii="Arial" w:cs="Arial" w:eastAsia="Arial" w:hAnsi="Arial"/>
                <w:b/>
                <w:bCs/>
                <w:color w:val="0A1F5C"/>
                <w:sz w:val="20"/>
                <w:szCs w:val="20"/>
              </w:rPr>
              <w:t xml:space="preserve">Important: Nortech is not in Salesforce</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Nortech's pipeline, bookings, and revenue data are not tracked in Salesforce. This is a known gap in the current system — it is being addressed as the commercial system matures.</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For now: Nortech Western Canada pipeline is tracked manually and reported by you to Jon at the Monday Commercial Meeting. Jeremy Irwin (Director of Finance, EIG NA) enters Nortech financial data into the system monthly.</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Your job: know your Nortech Western pipeline as well as you know your Nucleom pipeline. Bring it to every meeting.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0D5050" w:sz="4"/>
              <w:left w:val="single" w:color="0D5050" w:sz="4"/>
              <w:bottom w:val="single" w:color="0D5050" w:sz="4"/>
              <w:right w:val="none"/>
            </w:tcBorders>
            <w:shd w:fill="0D5050" w:val="clear"/>
          </w:tcPr>
          <w:p/>
        </w:tc>
        <w:tc>
          <w:tcPr>
            <w:tcW w:type="dxa" w:w="9160"/>
            <w:tcBorders>
              <w:top w:val="single" w:color="0D5050" w:sz="4"/>
              <w:left w:val="none"/>
              <w:bottom w:val="single" w:color="0D5050" w:sz="4"/>
              <w:right w:val="single" w:color="0D5050" w:sz="4"/>
            </w:tcBorders>
            <w:shd w:fill="F4F7FB" w:val="clear"/>
            <w:tcMar>
              <w:top w:type="dxa" w:w="120"/>
              <w:left w:type="dxa" w:w="200"/>
              <w:bottom w:type="dxa" w:w="120"/>
              <w:right w:type="dxa" w:w="200"/>
            </w:tcMar>
          </w:tcPr>
          <w:p>
            <w:pPr>
              <w:spacing w:after="80"/>
            </w:pPr>
            <w:r>
              <w:rPr>
                <w:rFonts w:ascii="Arial" w:cs="Arial" w:eastAsia="Arial" w:hAnsi="Arial"/>
                <w:b/>
                <w:bCs/>
                <w:color w:val="0D5050"/>
                <w:sz w:val="21"/>
                <w:szCs w:val="21"/>
              </w:rPr>
              <w:t xml:space="preserve">What Nortech commercial responsibility means in practice</w:t>
            </w:r>
          </w:p>
          <w:p>
            <w:pPr>
              <w:spacing w:after="70"/>
            </w:pPr>
            <w:r>
              <w:rPr>
                <w:rFonts w:ascii="Arial" w:cs="Arial" w:eastAsia="Arial" w:hAnsi="Arial"/>
                <w:color w:val="1A2A4A"/>
                <w:sz w:val="19"/>
                <w:szCs w:val="19"/>
              </w:rPr>
              <w:t xml:space="preserve">You know the key Western Canada pipeline operators and their Nortech relationships — Enbridge, TC Energy, Pembina, Keyera, Tidewater.</w:t>
            </w:r>
          </w:p>
          <w:p>
            <w:pPr>
              <w:spacing w:after="70"/>
            </w:pPr>
            <w:r>
              <w:rPr>
                <w:rFonts w:ascii="Arial" w:cs="Arial" w:eastAsia="Arial" w:hAnsi="Arial"/>
                <w:color w:val="1A2A4A"/>
                <w:sz w:val="19"/>
                <w:szCs w:val="19"/>
              </w:rPr>
              <w:t xml:space="preserve">When a Western operator is looking for pipeline inspection, integrity assessment, or data analytics, you are the commercial point of contact regardless of whether the work flows to Nucleom or Nortech.</w:t>
            </w:r>
          </w:p>
          <w:p>
            <w:pPr>
              <w:spacing w:after="70"/>
            </w:pPr>
            <w:r>
              <w:rPr>
                <w:rFonts w:ascii="Arial" w:cs="Arial" w:eastAsia="Arial" w:hAnsi="Arial"/>
                <w:color w:val="1A2A4A"/>
                <w:sz w:val="19"/>
                <w:szCs w:val="19"/>
              </w:rPr>
              <w:t xml:space="preserve">You and Rick Carlton co-own new Pipeline DA commercial relationships with Western pipeline operators. Rick leads the programme technically and is the PI product authority. You bring the broader Western commercial platform. New operator conversations should involve both of you.</w:t>
            </w:r>
          </w:p>
          <w:p>
            <w:pPr>
              <w:spacing w:after="70"/>
            </w:pPr>
            <w:r>
              <w:rPr>
                <w:rFonts w:ascii="Arial" w:cs="Arial" w:eastAsia="Arial" w:hAnsi="Arial"/>
                <w:color w:val="1A2A4A"/>
                <w:sz w:val="19"/>
                <w:szCs w:val="19"/>
              </w:rPr>
              <w:t xml:space="preserve">Work closely with Jason Borza (Nortech Operations Director) to stay current on Nortech’s Western Canada activity, active jobs, and emerging client conversations. Jason is your inside line on what Nortech is doing operationally in the West — a standing weekly or bi-weekly check-in with him will surface commercial opportunities before they reach Jon.
When you identify a Nortech opportunity: flag it to Jon, Rick, and Jason. It may be recorded outside Salesforce for now, but it must be visible.</w:t>
            </w:r>
          </w:p>
          <w:p>
            <w:pPr>
              <w:spacing w:after="70"/>
            </w:pPr>
            <w:r>
              <w:rPr>
                <w:rFonts w:ascii="Arial" w:cs="Arial" w:eastAsia="Arial" w:hAnsi="Arial"/>
                <w:color w:val="1A2A4A"/>
                <w:sz w:val="19"/>
                <w:szCs w:val="19"/>
              </w:rPr>
              <w:t xml:space="preserve">As the commercial system matures and Nortech data is integrated, your Nortech pipeline will flow into the same reporting structure as your Nucleom pipeline.</w:t>
            </w:r>
          </w:p>
        </w:tc>
      </w:tr>
    </w:tbl>
    <w:p>
      <w:pPr>
        <w:spacing w:after="80"/>
      </w:pPr>
    </w:p>
    <w:p>
      <w:pPr>
        <w:pStyle w:val="Heading1"/>
      </w:pPr>
      <w:r>
        <w:t xml:space="preserve">6.  Your Key Conferences</w:t>
      </w:r>
    </w:p>
    <w:p>
      <w:pPr>
        <w:spacing w:after="120"/>
      </w:pPr>
      <w:r>
        <w:rPr>
          <w:rFonts w:ascii="Arial" w:cs="Arial" w:eastAsia="Arial" w:hAnsi="Arial"/>
          <w:sz w:val="20"/>
          <w:szCs w:val="20"/>
        </w:rPr>
        <w:t xml:space="preserve">Conferences are not networking events — they are commercial deployments. Every conversation at a conference should result in a Salesforce Lead entry within 48 hours of returning.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Conference</w:t>
            </w:r>
          </w:p>
        </w:tc>
        <w:tc>
          <w:tcPr>
            <w:tcW w:type="dxa" w:w="18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When</w:t>
            </w:r>
          </w:p>
        </w:tc>
        <w:tc>
          <w:tcPr>
            <w:tcW w:type="dxa" w:w="18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Initiative</w:t>
            </w:r>
          </w:p>
        </w:tc>
        <w:tc>
          <w:tcPr>
            <w:tcW w:type="dxa" w:w="336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Your objective</w:t>
            </w:r>
          </w:p>
        </w:tc>
      </w:tr>
      <w:tr>
        <w:tc>
          <w:tcPr>
            <w:tcW w:type="dxa" w:w="24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IPEIA 2026</w:t>
            </w:r>
          </w:p>
        </w:tc>
        <w:tc>
          <w:tcPr>
            <w:tcW w:type="dxa" w:w="1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6678A0"/>
                <w:sz w:val="16"/>
                <w:szCs w:val="16"/>
              </w:rPr>
              <w:t xml:space="preserve">Mar 10-12, Calgary</w:t>
            </w:r>
          </w:p>
        </w:tc>
        <w:tc>
          <w:tcPr>
            <w:tcW w:type="dxa" w:w="1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All initiatives</w:t>
            </w:r>
          </w:p>
        </w:tc>
        <w:tc>
          <w:tcPr>
            <w:tcW w:type="dxa" w:w="33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Broadest reach show. Qualify Mining, Pipeline, and 3X leads. Every conversation = a Lead in SF within 48 hours.</w:t>
            </w:r>
          </w:p>
        </w:tc>
      </w:tr>
      <w:tr>
        <w:tc>
          <w:tcPr>
            <w:tcW w:type="dxa" w:w="24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CIM Vancouver 2026</w:t>
            </w:r>
          </w:p>
        </w:tc>
        <w:tc>
          <w:tcPr>
            <w:tcW w:type="dxa" w:w="1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6678A0"/>
                <w:sz w:val="16"/>
                <w:szCs w:val="16"/>
              </w:rPr>
              <w:t xml:space="preserve">May 4-6, Vancouver</w:t>
            </w:r>
          </w:p>
        </w:tc>
        <w:tc>
          <w:tcPr>
            <w:tcW w:type="dxa" w:w="1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Mining NDT</w:t>
            </w:r>
          </w:p>
        </w:tc>
        <w:tc>
          <w:tcPr>
            <w:tcW w:type="dxa" w:w="33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Your primary Mining NDT show. Teck, Kinross, Barrick attendees. Target: 5+ qualified leads.</w:t>
            </w:r>
          </w:p>
        </w:tc>
      </w:tr>
      <w:tr>
        <w:tc>
          <w:tcPr>
            <w:tcW w:type="dxa" w:w="24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Canadian Mining Expo</w:t>
            </w:r>
          </w:p>
        </w:tc>
        <w:tc>
          <w:tcPr>
            <w:tcW w:type="dxa" w:w="1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6678A0"/>
                <w:sz w:val="16"/>
                <w:szCs w:val="16"/>
              </w:rPr>
              <w:t xml:space="preserve">Jun 9-11, Timmins</w:t>
            </w:r>
          </w:p>
        </w:tc>
        <w:tc>
          <w:tcPr>
            <w:tcW w:type="dxa" w:w="1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Mining NDT</w:t>
            </w:r>
          </w:p>
        </w:tc>
        <w:tc>
          <w:tcPr>
            <w:tcW w:type="dxa" w:w="33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Northern Ontario mining operators. Different operator set from CIM — Agnico Eagle territory.</w:t>
            </w:r>
          </w:p>
        </w:tc>
      </w:tr>
      <w:tr>
        <w:tc>
          <w:tcPr>
            <w:tcW w:type="dxa" w:w="24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IPC Pipeline 2026</w:t>
            </w:r>
          </w:p>
        </w:tc>
        <w:tc>
          <w:tcPr>
            <w:tcW w:type="dxa" w:w="1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6678A0"/>
                <w:sz w:val="16"/>
                <w:szCs w:val="16"/>
              </w:rPr>
              <w:t xml:space="preserve">Sep 21-25, Calgary</w:t>
            </w:r>
          </w:p>
        </w:tc>
        <w:tc>
          <w:tcPr>
            <w:tcW w:type="dxa" w:w="1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Pipeline DA</w:t>
            </w:r>
          </w:p>
        </w:tc>
        <w:tc>
          <w:tcPr>
            <w:tcW w:type="dxa" w:w="33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The premier pipeline conference in Canada. Enbridge, TC Energy, Pembina all attend. Joint play with Rick Carlton.</w:t>
            </w:r>
          </w:p>
        </w:tc>
      </w:tr>
      <w:tr>
        <w:tc>
          <w:tcPr>
            <w:tcW w:type="dxa" w:w="24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IPCE 2026</w:t>
            </w:r>
          </w:p>
        </w:tc>
        <w:tc>
          <w:tcPr>
            <w:tcW w:type="dxa" w:w="1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6678A0"/>
                <w:sz w:val="16"/>
                <w:szCs w:val="16"/>
              </w:rPr>
              <w:t xml:space="preserve">Sep 22-24, Calgary</w:t>
            </w:r>
          </w:p>
        </w:tc>
        <w:tc>
          <w:tcPr>
            <w:tcW w:type="dxa" w:w="1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Pipeline DA</w:t>
            </w:r>
          </w:p>
        </w:tc>
        <w:tc>
          <w:tcPr>
            <w:tcW w:type="dxa" w:w="33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Runs concurrently with IPC. Coordinate with Rick to cover both. Pipeline DA focus.</w:t>
            </w:r>
          </w:p>
        </w:tc>
      </w:tr>
      <w:tr>
        <w:tc>
          <w:tcPr>
            <w:tcW w:type="dxa" w:w="24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API Inspection Summit</w:t>
            </w:r>
          </w:p>
        </w:tc>
        <w:tc>
          <w:tcPr>
            <w:tcW w:type="dxa" w:w="1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6678A0"/>
                <w:sz w:val="16"/>
                <w:szCs w:val="16"/>
              </w:rPr>
              <w:t xml:space="preserve">Jul 20-23, San Antonio</w:t>
            </w:r>
          </w:p>
        </w:tc>
        <w:tc>
          <w:tcPr>
            <w:tcW w:type="dxa" w:w="1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Pipeline DA</w:t>
            </w:r>
          </w:p>
        </w:tc>
        <w:tc>
          <w:tcPr>
            <w:tcW w:type="dxa" w:w="33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US pipeline operators. Builds relationships for any cross-border work. 3X Composite pitch opportunity.</w:t>
            </w:r>
          </w:p>
        </w:tc>
      </w:tr>
    </w:tbl>
    <w:p>
      <w:pPr>
        <w:spacing w:after="80"/>
      </w:pPr>
    </w:p>
    <w:p>
      <w:pPr>
        <w:pStyle w:val="Heading1"/>
      </w:pPr>
      <w:r>
        <w:t xml:space="preserve">7.  What Jon Needs from You — Week to Week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Expectation</w:t>
            </w:r>
          </w:p>
        </w:tc>
        <w:tc>
          <w:tcPr>
            <w:tcW w:type="dxa" w:w="576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What good looks like</w:t>
            </w:r>
          </w:p>
        </w:tc>
      </w:tr>
      <w:tr>
        <w:tc>
          <w:tcPr>
            <w:tcW w:type="dxa" w:w="36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Salesforce updated by Friday 4PM ET</w:t>
            </w:r>
          </w:p>
        </w:tc>
        <w:tc>
          <w:tcPr>
            <w:tcW w:type="dxa" w:w="57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Every open opportunity has a current stage, amount estimate, close date, and a logged Activity from the current week. New contacts from the week are entered as Leads.</w:t>
            </w:r>
          </w:p>
        </w:tc>
      </w:tr>
      <w:tr>
        <w:tc>
          <w:tcPr>
            <w:tcW w:type="dxa" w:w="36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BU_Initiative__c on every record</w:t>
            </w:r>
          </w:p>
        </w:tc>
        <w:tc>
          <w:tcPr>
            <w:tcW w:type="dxa" w:w="57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8"/>
                <w:szCs w:val="18"/>
              </w:rPr>
              <w:t xml:space="preserve">Every Lead and Opportunity is tagged. No blanks. This is the field that drives all initiative-level reporting.</w:t>
            </w:r>
          </w:p>
        </w:tc>
      </w:tr>
      <w:tr>
        <w:tc>
          <w:tcPr>
            <w:tcW w:type="dxa" w:w="36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Nortech Western pipeline visibility</w:t>
            </w:r>
          </w:p>
        </w:tc>
        <w:tc>
          <w:tcPr>
            <w:tcW w:type="dxa" w:w="57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Know your Nortech Western pipeline and bring it to the Monday Commercial Meeting. Maintain a standing check-in with Jason Borza (Nortech Ops Director) to stay current between meetings. Until Nortech is in Salesforce, this is verbal — but it must be consistent and current.</w:t>
            </w:r>
          </w:p>
        </w:tc>
      </w:tr>
      <w:tr>
        <w:tc>
          <w:tcPr>
            <w:tcW w:type="dxa" w:w="36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48-hour conference entry rule</w:t>
            </w:r>
          </w:p>
        </w:tc>
        <w:tc>
          <w:tcPr>
            <w:tcW w:type="dxa" w:w="57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8"/>
                <w:szCs w:val="18"/>
              </w:rPr>
              <w:t xml:space="preserve">Every lead collected at a BU Services conference is in Salesforce within 48 hours of returning home. No exceptions.</w:t>
            </w:r>
          </w:p>
        </w:tc>
      </w:tr>
      <w:tr>
        <w:tc>
          <w:tcPr>
            <w:tcW w:type="dxa" w:w="36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3X flags from site visits</w:t>
            </w:r>
          </w:p>
        </w:tc>
        <w:tc>
          <w:tcPr>
            <w:tcW w:type="dxa" w:w="57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Any AMBER or RED finding identified during a Nucleom or Nortech site visit in Western Canada is flagged as a 3X Composite opportunity immediately — not at the next weekly meeting.</w:t>
            </w:r>
          </w:p>
        </w:tc>
      </w:tr>
      <w:tr>
        <w:tc>
          <w:tcPr>
            <w:tcW w:type="dxa" w:w="36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One win and one stalled deal per week</w:t>
            </w:r>
          </w:p>
        </w:tc>
        <w:tc>
          <w:tcPr>
            <w:tcW w:type="dxa" w:w="57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8"/>
                <w:szCs w:val="18"/>
              </w:rPr>
              <w:t xml:space="preserve">In the Monday meeting: one positive update (won, converted, advanced) and one deal that needs support or a decision. Be specific about what you need.</w:t>
            </w:r>
          </w:p>
        </w:tc>
      </w:tr>
    </w:tbl>
    <w:p>
      <w:pPr>
        <w:spacing w:after="80"/>
      </w:pPr>
    </w:p>
    <w:p>
      <w:pPr>
        <w:pBdr>
          <w:bottom w:val="single" w:color="1A5CA8" w:sz="4" w:space="1"/>
        </w:pBdr>
        <w:spacing w:after="160" w:before="120"/>
      </w:pPr>
    </w:p>
    <w:p>
      <w:pPr>
        <w:spacing w:after="80" w:before="120"/>
        <w:jc w:val="center"/>
      </w:pPr>
      <w:r>
        <w:rPr>
          <w:rFonts w:ascii="Arial" w:cs="Arial" w:eastAsia="Arial" w:hAnsi="Arial"/>
          <w:i/>
          <w:iCs/>
          <w:color w:val="6678A0"/>
          <w:sz w:val="18"/>
          <w:szCs w:val="18"/>
        </w:rPr>
        <w:t xml:space="preserve">Questions on any of the above: Jon Eustace (Jon.Eustace@nucleom.com)  ·  Salesforce access issues: Éric Carmichael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F0" w:sz="2" w:space="2"/>
      </w:pBdr>
      <w:spacing w:before="80"/>
      <w:jc w:val="center"/>
    </w:pPr>
    <w:r>
      <w:rPr>
        <w:rFonts w:ascii="Arial" w:cs="Arial" w:eastAsia="Arial" w:hAnsi="Arial"/>
        <w:color w:val="6678A0"/>
        <w:sz w:val="16"/>
        <w:szCs w:val="16"/>
      </w:rPr>
      <w:t xml:space="preserve">Page </w:t>
    </w:r>
    <w:r>
      <w:rPr>
        <w:rFonts w:ascii="Arial" w:cs="Arial" w:eastAsia="Arial" w:hAnsi="Arial"/>
        <w:color w:val="6678A0"/>
        <w:sz w:val="16"/>
        <w:szCs w:val="16"/>
      </w:rPr>
      <w:fldChar w:fldCharType="begin"/>
      <w:instrText xml:space="preserve">PAGE</w:instrText>
      <w:fldChar w:fldCharType="separate"/>
      <w:fldChar w:fldCharType="end"/>
    </w:r>
    <w:r>
      <w:rPr>
        <w:rFonts w:ascii="Arial" w:cs="Arial" w:eastAsia="Arial" w:hAnsi="Arial"/>
        <w:color w:val="6678A0"/>
        <w:sz w:val="16"/>
        <w:szCs w:val="16"/>
      </w:rPr>
      <w:t xml:space="preserve"> of </w:t>
    </w:r>
    <w:r>
      <w:rPr>
        <w:rFonts w:ascii="Arial" w:cs="Arial" w:eastAsia="Arial" w:hAnsi="Arial"/>
        <w:color w:val="6678A0"/>
        <w:sz w:val="16"/>
        <w:szCs w:val="16"/>
      </w:rPr>
      <w:fldChar w:fldCharType="begin"/>
      <w:instrText xml:space="preserve">NUMPAGES</w:instrText>
      <w:fldChar w:fldCharType="separate"/>
      <w:fldChar w:fldCharType="end"/>
    </w:r>
    <w:r>
      <w:rPr>
        <w:rFonts w:ascii="Arial" w:cs="Arial" w:eastAsia="Arial" w:hAnsi="Arial"/>
        <w:color w:val="6678A0"/>
        <w:sz w:val="16"/>
        <w:szCs w:val="16"/>
      </w:rPr>
      <w:t xml:space="preserve">  ·  Ekoscan Integrity Group — BU Services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A8" w:sz="2" w:space="2"/>
      </w:pBdr>
      <w:spacing w:after="0"/>
      <w:jc w:val="right"/>
    </w:pPr>
    <w:r>
      <w:rPr>
        <w:rFonts w:ascii="Arial" w:cs="Arial" w:eastAsia="Arial" w:hAnsi="Arial"/>
        <w:color w:val="6678A0"/>
        <w:sz w:val="16"/>
        <w:szCs w:val="16"/>
      </w:rPr>
      <w:t xml:space="preserve">Max Aggrey  ·  Commercial Lead Role Brief  ·  BU Services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lvl>
    <w:lvl w:ilvl="1" w15:tentative="1">
      <w:start w:val="1"/>
      <w:numFmt w:val="bullet"/>
      <w:lvlText w:val="◦"/>
      <w:lvlJc w:val="left"/>
      <w:pPr>
        <w:ind w:left="920" w:hanging="320"/>
      </w:pPr>
    </w:lvl>
  </w:abstractNum>
  <w:abstractNum w:abstractNumId="3" w15:restartNumberingAfterBreak="0">
    <w:multiLevelType w:val="hybridMultilevel"/>
    <w:lvl w:ilvl="0" w15:tentative="1">
      <w:start w:val="1"/>
      <w:numFmt w:val="bullet"/>
      <w:lvlText w:val="✓"/>
      <w:lvlJc w:val="left"/>
      <w:pPr>
        <w:ind w:left="560" w:hanging="320"/>
      </w:pPr>
    </w:lvl>
  </w:abstractNum>
  <w:abstractNum w:abstractNumId="4"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5CA8" w:sz="3" w:space="2"/>
      </w:pBdr>
      <w:spacing w:after="180" w:before="360"/>
      <w:outlineLvl w:val="0"/>
    </w:pPr>
    <w:rPr>
      <w:rFonts w:ascii="Arial" w:cs="Arial" w:eastAsia="Arial" w:hAnsi="Arial"/>
      <w:b/>
      <w:bCs/>
      <w:color w:val="0A1F5C"/>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A5CA8"/>
      <w:sz w:val="24"/>
      <w:szCs w:val="24"/>
    </w:rPr>
  </w:style>
  <w:style w:type="paragraph" w:styleId="Heading3">
    <w:name w:val="Heading 3"/>
    <w:basedOn w:val="Normal"/>
    <w:next w:val="Normal"/>
    <w:qFormat/>
    <w:pPr>
      <w:spacing w:after="80" w:before="200"/>
      <w:outlineLvl w:val="2"/>
    </w:pPr>
    <w:rPr>
      <w:rFonts w:ascii="Arial" w:cs="Arial" w:eastAsia="Arial" w:hAnsi="Arial"/>
      <w:b/>
      <w:bCs/>
      <w:color w:val="6678A0"/>
      <w:sz w:val="21"/>
      <w:szCs w:val="21"/>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2026-04-19T05:37:30.735Z</dcterms:created>
  <dcterms:modified xsi:type="dcterms:W3CDTF">2026-04-19T05:37:30.735Z</dcterms:modified>
</cp:coreProperties>
</file>

<file path=docProps/custom.xml><?xml version="1.0" encoding="utf-8"?>
<Properties xmlns="http://schemas.openxmlformats.org/officeDocument/2006/custom-properties" xmlns:vt="http://schemas.openxmlformats.org/officeDocument/2006/docPropsVTypes"/>
</file>