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00AEEF"/>
          <w:sz w:val="20"/>
          <w:szCs w:val="20"/>
        </w:rPr>
        <w:t xml:space="preserve">Ekoscan Integrity Group  ·  Nucleom Inc.</w:t>
      </w:r>
    </w:p>
    <w:p>
      <w:pPr>
        <w:pBdr>
          <w:bottom w:val="single" w:color="1A5CA8" w:sz="12" w:space="6"/>
        </w:pBdr>
        <w:spacing w:after="80" w:before="80"/>
      </w:pPr>
      <w:r>
        <w:rPr>
          <w:rFonts w:ascii="Calibri" w:cs="Calibri" w:eastAsia="Calibri" w:hAnsi="Calibri"/>
          <w:b/>
          <w:bCs/>
          <w:color w:val="0A1F5C"/>
          <w:sz w:val="52"/>
          <w:szCs w:val="52"/>
        </w:rPr>
        <w:t xml:space="preserve">Renée Lachance</w:t>
      </w:r>
      <w:r>
        <w:rPr>
          <w:rFonts w:ascii="Calibri" w:cs="Calibri" w:eastAsia="Calibri" w:hAnsi="Calibri"/>
          <w:color w:val="1A5CA8"/>
          <w:sz w:val="28"/>
          <w:szCs w:val="28"/>
        </w:rPr>
        <w:br/>
        <w:t xml:space="preserve">Sr. Director, Finance &amp; Controller</w:t>
      </w:r>
    </w:p>
    <w:p>
      <w:pPr>
        <w:spacing w:after="12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Calibri" w:cs="Calibri" w:eastAsia="Calibri" w:hAnsi="Calibri"/>
                <w:b/>
                <w:bCs/>
                <w:i w:val="false"/>
                <w:iCs w:val="false"/>
                <w:color w:val="0A1F5C"/>
                <w:sz w:val="20"/>
                <w:szCs w:val="20"/>
              </w:rPr>
              <w:t xml:space="preserve">Employer</w:t>
            </w:r>
          </w:p>
        </w:tc>
        <w:tc>
          <w:tcPr>
            <w:tcW w:type="dxa" w:w="7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Calibri" w:cs="Calibri" w:eastAsia="Calibri" w:hAnsi="Calibri"/>
                <w:b w:val="false"/>
                <w:bCs w:val="false"/>
                <w:i w:val="false"/>
                <w:iCs w:val="false"/>
                <w:color w:val="1A1A2E"/>
                <w:sz w:val="20"/>
                <w:szCs w:val="20"/>
              </w:rPr>
              <w:t xml:space="preserve">Nucleom Inc.</w:t>
            </w:r>
          </w:p>
        </w:tc>
      </w:tr>
      <w:tr>
        <w:tc>
          <w:tcPr>
            <w:tcW w:type="dxa" w:w="2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Calibri" w:cs="Calibri" w:eastAsia="Calibri" w:hAnsi="Calibri"/>
                <w:b/>
                <w:bCs/>
                <w:i w:val="false"/>
                <w:iCs w:val="false"/>
                <w:color w:val="0A1F5C"/>
                <w:sz w:val="20"/>
                <w:szCs w:val="20"/>
              </w:rPr>
              <w:t xml:space="preserve">Reports to</w:t>
            </w:r>
          </w:p>
        </w:tc>
        <w:tc>
          <w:tcPr>
            <w:tcW w:type="dxa" w:w="72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1A1A2E"/>
                <w:sz w:val="20"/>
                <w:szCs w:val="20"/>
              </w:rPr>
              <w:t xml:space="preserve">Charles (CFO, Ekoscan Group) — with indirect relationship to Jon Eustace (CEO North America)</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Calibri" w:cs="Calibri" w:eastAsia="Calibri" w:hAnsi="Calibri"/>
                <w:b/>
                <w:bCs/>
                <w:i w:val="false"/>
                <w:iCs w:val="false"/>
                <w:color w:val="0A1F5C"/>
                <w:sz w:val="20"/>
                <w:szCs w:val="20"/>
              </w:rPr>
              <w:t xml:space="preserve">Works with</w:t>
            </w:r>
          </w:p>
        </w:tc>
        <w:tc>
          <w:tcPr>
            <w:tcW w:type="dxa" w:w="7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Calibri" w:cs="Calibri" w:eastAsia="Calibri" w:hAnsi="Calibri"/>
                <w:b w:val="false"/>
                <w:bCs w:val="false"/>
                <w:i w:val="false"/>
                <w:iCs w:val="false"/>
                <w:color w:val="1A1A2E"/>
                <w:sz w:val="20"/>
                <w:szCs w:val="20"/>
              </w:rPr>
              <w:t xml:space="preserve">Jeremy Irwin (Sr. Director, Finance, EIG NA) — Finance pair at the NA level</w:t>
            </w:r>
          </w:p>
        </w:tc>
      </w:tr>
      <w:tr>
        <w:tc>
          <w:tcPr>
            <w:tcW w:type="dxa" w:w="2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Calibri" w:cs="Calibri" w:eastAsia="Calibri" w:hAnsi="Calibri"/>
                <w:b/>
                <w:bCs/>
                <w:i w:val="false"/>
                <w:iCs w:val="false"/>
                <w:color w:val="0A1F5C"/>
                <w:sz w:val="20"/>
                <w:szCs w:val="20"/>
              </w:rPr>
              <w:t xml:space="preserve">Location</w:t>
            </w:r>
          </w:p>
        </w:tc>
        <w:tc>
          <w:tcPr>
            <w:tcW w:type="dxa" w:w="72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1A1A2E"/>
                <w:sz w:val="20"/>
                <w:szCs w:val="20"/>
              </w:rPr>
              <w:t xml:space="preserve">Québec City, QC</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Calibri" w:cs="Calibri" w:eastAsia="Calibri" w:hAnsi="Calibri"/>
                <w:b/>
                <w:bCs/>
                <w:i w:val="false"/>
                <w:iCs w:val="false"/>
                <w:color w:val="0A1F5C"/>
                <w:sz w:val="20"/>
                <w:szCs w:val="20"/>
              </w:rPr>
              <w:t xml:space="preserve">Scope</w:t>
            </w:r>
          </w:p>
        </w:tc>
        <w:tc>
          <w:tcPr>
            <w:tcW w:type="dxa" w:w="7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Calibri" w:cs="Calibri" w:eastAsia="Calibri" w:hAnsi="Calibri"/>
                <w:b w:val="false"/>
                <w:bCs w:val="false"/>
                <w:i w:val="false"/>
                <w:iCs w:val="false"/>
                <w:color w:val="1A1A2E"/>
                <w:sz w:val="20"/>
                <w:szCs w:val="20"/>
              </w:rPr>
              <w:t xml:space="preserve">Nucleom Inc. — all financial operations, Business Central system ownership, payroll, controls</w:t>
            </w:r>
          </w:p>
        </w:tc>
      </w:tr>
    </w:tbl>
    <w:p>
      <w:pPr>
        <w:spacing w:after="120" w:before="160"/>
      </w:pPr>
    </w:p>
    <w:p>
      <w:pPr>
        <w:pStyle w:val="Heading1"/>
        <w:pBdr>
          <w:bottom w:val="single" w:color="1A5CA8" w:sz="8" w:space="4"/>
        </w:pBdr>
        <w:spacing w:after="140" w:before="360"/>
      </w:pPr>
      <w:r>
        <w:rPr>
          <w:rFonts w:ascii="Calibri" w:cs="Calibri" w:eastAsia="Calibri" w:hAnsi="Calibri"/>
          <w:b/>
          <w:bCs/>
          <w:color w:val="0A1F5C"/>
          <w:sz w:val="36"/>
          <w:szCs w:val="36"/>
        </w:rPr>
        <w:t xml:space="preserve">Primary Mandate</w:t>
      </w:r>
    </w:p>
    <w:p>
      <w:pPr>
        <w:spacing w:after="100" w:before="0"/>
      </w:pPr>
      <w:r>
        <w:rPr>
          <w:rFonts w:ascii="Calibri" w:cs="Calibri" w:eastAsia="Calibri" w:hAnsi="Calibri"/>
          <w:b w:val="false"/>
          <w:bCs w:val="false"/>
          <w:i w:val="false"/>
          <w:iCs w:val="false"/>
          <w:color w:val="1A1A2E"/>
          <w:sz w:val="22"/>
          <w:szCs w:val="22"/>
        </w:rPr>
        <w:t xml:space="preserve">Renée Lachance is the financial backbone of Nucleom Inc. She reports to </w:t>
      </w:r>
      <w:r>
        <w:rPr>
          <w:rFonts w:ascii="Calibri" w:cs="Calibri" w:eastAsia="Calibri" w:hAnsi="Calibri"/>
          <w:b/>
          <w:bCs/>
          <w:i w:val="false"/>
          <w:iCs w:val="false"/>
          <w:color w:val="1A1A2E"/>
          <w:sz w:val="22"/>
          <w:szCs w:val="22"/>
        </w:rPr>
        <w:t xml:space="preserve">Charles (CFO, Ekoscan Group)</w:t>
      </w:r>
      <w:r>
        <w:rPr>
          <w:rFonts w:ascii="Calibri" w:cs="Calibri" w:eastAsia="Calibri" w:hAnsi="Calibri"/>
          <w:b w:val="false"/>
          <w:bCs w:val="false"/>
          <w:i w:val="false"/>
          <w:iCs w:val="false"/>
          <w:color w:val="1A1A2E"/>
          <w:sz w:val="22"/>
          <w:szCs w:val="22"/>
        </w:rPr>
        <w:t xml:space="preserve"> and works alongside Jon Eustace in an indirect capacity as CEO North America. She owns </w:t>
      </w:r>
      <w:r>
        <w:rPr>
          <w:rFonts w:ascii="Calibri" w:cs="Calibri" w:eastAsia="Calibri" w:hAnsi="Calibri"/>
          <w:b/>
          <w:bCs/>
          <w:i w:val="false"/>
          <w:iCs w:val="false"/>
          <w:color w:val="1A1A2E"/>
          <w:sz w:val="22"/>
          <w:szCs w:val="22"/>
        </w:rPr>
        <w:t xml:space="preserve">Business Central</w:t>
      </w:r>
      <w:r>
        <w:rPr>
          <w:rFonts w:ascii="Calibri" w:cs="Calibri" w:eastAsia="Calibri" w:hAnsi="Calibri"/>
          <w:b w:val="false"/>
          <w:bCs w:val="false"/>
          <w:i w:val="false"/>
          <w:iCs w:val="false"/>
          <w:color w:val="1A1A2E"/>
          <w:sz w:val="22"/>
          <w:szCs w:val="22"/>
        </w:rPr>
        <w:t xml:space="preserve"> — the ERP system that is the authoritative source for all Nucleom financial data. Her scope covers financial reporting, controls, payroll oversight, and the BC data exports that now feed the People &amp; Capacity Dashboard and actuals.json.</w:t>
      </w:r>
    </w:p>
    <w:p>
      <w:pPr>
        <w:spacing w:after="120" w:before="80"/>
      </w:pPr>
    </w:p>
    <w:p>
      <w:pPr>
        <w:spacing w:after="100" w:before="0"/>
      </w:pPr>
      <w:r>
        <w:rPr>
          <w:rFonts w:ascii="Calibri" w:cs="Calibri" w:eastAsia="Calibri" w:hAnsi="Calibri"/>
          <w:b w:val="false"/>
          <w:bCs w:val="false"/>
          <w:i w:val="false"/>
          <w:iCs w:val="false"/>
          <w:color w:val="1A1A2E"/>
          <w:sz w:val="22"/>
          <w:szCs w:val="22"/>
        </w:rPr>
        <w:t xml:space="preserve">She works as a </w:t>
      </w:r>
      <w:r>
        <w:rPr>
          <w:rFonts w:ascii="Calibri" w:cs="Calibri" w:eastAsia="Calibri" w:hAnsi="Calibri"/>
          <w:b/>
          <w:bCs/>
          <w:i w:val="false"/>
          <w:iCs w:val="false"/>
          <w:color w:val="1A1A2E"/>
          <w:sz w:val="22"/>
          <w:szCs w:val="22"/>
        </w:rPr>
        <w:t xml:space="preserve">finance pair</w:t>
      </w:r>
      <w:r>
        <w:rPr>
          <w:rFonts w:ascii="Calibri" w:cs="Calibri" w:eastAsia="Calibri" w:hAnsi="Calibri"/>
          <w:b w:val="false"/>
          <w:bCs w:val="false"/>
          <w:i w:val="false"/>
          <w:iCs w:val="false"/>
          <w:color w:val="1A1A2E"/>
          <w:sz w:val="22"/>
          <w:szCs w:val="22"/>
        </w:rPr>
        <w:t xml:space="preserve"> with Jeremy Irwin: Renée owns the Nucleom BC system and entity-level financials; Jeremy owns EIG-group-level reporting, Nortech data, and Eurazeo pack preparation. Together they cover the full NA financial picture.</w:t>
      </w:r>
    </w:p>
    <w:p>
      <w:pPr>
        <w:spacing w:after="120" w:before="160"/>
      </w:pPr>
    </w:p>
    <w:p>
      <w:pPr>
        <w:pStyle w:val="Heading1"/>
        <w:pBdr>
          <w:bottom w:val="single" w:color="1A5CA8" w:sz="8" w:space="4"/>
        </w:pBdr>
        <w:spacing w:after="140" w:before="360"/>
      </w:pPr>
      <w:r>
        <w:rPr>
          <w:rFonts w:ascii="Calibri" w:cs="Calibri" w:eastAsia="Calibri" w:hAnsi="Calibri"/>
          <w:b/>
          <w:bCs/>
          <w:color w:val="0A1F5C"/>
          <w:sz w:val="36"/>
          <w:szCs w:val="36"/>
        </w:rPr>
        <w:t xml:space="preserve">Responsibilities</w:t>
      </w:r>
    </w:p>
    <w:p>
      <w:pPr>
        <w:spacing w:after="120" w:before="40"/>
      </w:pPr>
    </w:p>
    <w:p>
      <w:pPr>
        <w:pStyle w:val="Heading2"/>
        <w:spacing w:after="100" w:before="280"/>
      </w:pPr>
      <w:r>
        <w:rPr>
          <w:rFonts w:ascii="Calibri" w:cs="Calibri" w:eastAsia="Calibri" w:hAnsi="Calibri"/>
          <w:b/>
          <w:bCs/>
          <w:color w:val="1A5CA8"/>
          <w:sz w:val="26"/>
          <w:szCs w:val="26"/>
        </w:rPr>
        <w:t xml:space="preserve">Business Central — System Ownership</w:t>
      </w:r>
    </w:p>
    <w:p>
      <w:pPr>
        <w:pStyle w:val="ListParagraph"/>
        <w:numPr>
          <w:ilvl w:val="0"/>
          <w:numId w:val="2"/>
        </w:numPr>
        <w:spacing w:after="80" w:before="0"/>
      </w:pPr>
      <w:r>
        <w:rPr>
          <w:rFonts w:ascii="Calibri" w:cs="Calibri" w:eastAsia="Calibri" w:hAnsi="Calibri"/>
          <w:b/>
          <w:bCs/>
          <w:i w:val="false"/>
          <w:iCs w:val="false"/>
          <w:color w:val="1A1A2E"/>
          <w:sz w:val="22"/>
          <w:szCs w:val="22"/>
        </w:rPr>
        <w:t xml:space="preserve">Primary owner of Nucleom’s BC environment</w:t>
      </w:r>
      <w:r>
        <w:rPr>
          <w:rFonts w:ascii="Calibri" w:cs="Calibri" w:eastAsia="Calibri" w:hAnsi="Calibri"/>
          <w:b w:val="false"/>
          <w:bCs w:val="false"/>
          <w:i w:val="false"/>
          <w:iCs w:val="false"/>
          <w:color w:val="1A1A2E"/>
          <w:sz w:val="22"/>
          <w:szCs w:val="22"/>
        </w:rPr>
        <w:t xml:space="preserve"> — all financial configuration, chart of accounts, and reporting structure</w:t>
      </w:r>
    </w:p>
    <w:p>
      <w:pPr>
        <w:pStyle w:val="ListParagraph"/>
        <w:numPr>
          <w:ilvl w:val="0"/>
          <w:numId w:val="2"/>
        </w:numPr>
        <w:spacing w:after="80" w:before="0"/>
      </w:pPr>
      <w:r>
        <w:rPr>
          <w:rFonts w:ascii="Calibri" w:cs="Calibri" w:eastAsia="Calibri" w:hAnsi="Calibri"/>
          <w:b w:val="false"/>
          <w:bCs w:val="false"/>
          <w:i w:val="false"/>
          <w:iCs w:val="false"/>
          <w:color w:val="1A1A2E"/>
          <w:sz w:val="22"/>
          <w:szCs w:val="22"/>
        </w:rPr>
        <w:t xml:space="preserve">Configures and maintains </w:t>
      </w:r>
      <w:r>
        <w:rPr>
          <w:rFonts w:ascii="Calibri" w:cs="Calibri" w:eastAsia="Calibri" w:hAnsi="Calibri"/>
          <w:b/>
          <w:bCs/>
          <w:i w:val="false"/>
          <w:iCs w:val="false"/>
          <w:color w:val="1A1A2E"/>
          <w:sz w:val="22"/>
          <w:szCs w:val="22"/>
        </w:rPr>
        <w:t xml:space="preserve">scheduled BC exports</w:t>
      </w:r>
      <w:r>
        <w:rPr>
          <w:rFonts w:ascii="Calibri" w:cs="Calibri" w:eastAsia="Calibri" w:hAnsi="Calibri"/>
          <w:b w:val="false"/>
          <w:bCs w:val="false"/>
          <w:i w:val="false"/>
          <w:iCs w:val="false"/>
          <w:color w:val="1A1A2E"/>
          <w:sz w:val="22"/>
          <w:szCs w:val="22"/>
        </w:rPr>
        <w:t xml:space="preserve"> that feed the BU Services data system:</w:t>
      </w:r>
    </w:p>
    <w:p>
      <w:pPr>
        <w:pStyle w:val="ListParagraph"/>
        <w:numPr>
          <w:ilvl w:val="1"/>
          <w:numId w:val="2"/>
        </w:numPr>
        <w:spacing w:after="80" w:before="0"/>
      </w:pPr>
      <w:r>
        <w:rPr>
          <w:rFonts w:ascii="Calibri" w:cs="Calibri" w:eastAsia="Calibri" w:hAnsi="Calibri"/>
          <w:b w:val="false"/>
          <w:bCs w:val="false"/>
          <w:i w:val="false"/>
          <w:iCs w:val="false"/>
          <w:color w:val="1A1A2E"/>
          <w:sz w:val="22"/>
          <w:szCs w:val="22"/>
        </w:rPr>
        <w:t xml:space="preserve">Hours_Rolling_13_Weeks — weekly export, Sunday 6PM ET → SharePoint → People Dashboard util rates</w:t>
      </w:r>
    </w:p>
    <w:p>
      <w:pPr>
        <w:pStyle w:val="ListParagraph"/>
        <w:numPr>
          <w:ilvl w:val="1"/>
          <w:numId w:val="2"/>
        </w:numPr>
        <w:spacing w:after="80" w:before="0"/>
      </w:pPr>
      <w:r>
        <w:rPr>
          <w:rFonts w:ascii="Calibri" w:cs="Calibri" w:eastAsia="Calibri" w:hAnsi="Calibri"/>
          <w:b w:val="false"/>
          <w:bCs w:val="false"/>
          <w:i w:val="false"/>
          <w:iCs w:val="false"/>
          <w:color w:val="1A1A2E"/>
          <w:sz w:val="22"/>
          <w:szCs w:val="22"/>
        </w:rPr>
        <w:t xml:space="preserve">Vacances (vacation bank) — weekly export, Sunday 6PM ET → vacation liability tracking</w:t>
      </w:r>
    </w:p>
    <w:p>
      <w:pPr>
        <w:pStyle w:val="ListParagraph"/>
        <w:numPr>
          <w:ilvl w:val="1"/>
          <w:numId w:val="2"/>
        </w:numPr>
        <w:spacing w:after="80" w:before="0"/>
      </w:pPr>
      <w:r>
        <w:rPr>
          <w:rFonts w:ascii="Calibri" w:cs="Calibri" w:eastAsia="Calibri" w:hAnsi="Calibri"/>
          <w:b w:val="false"/>
          <w:bCs w:val="false"/>
          <w:i w:val="false"/>
          <w:iCs w:val="false"/>
          <w:color w:val="1A1A2E"/>
          <w:sz w:val="22"/>
          <w:szCs w:val="22"/>
        </w:rPr>
        <w:t xml:space="preserve">Date_d_embauche (hire dates + years) — monthly export, first Sunday → headcount &amp; tenure data</w:t>
      </w:r>
    </w:p>
    <w:p>
      <w:pPr>
        <w:pStyle w:val="ListParagraph"/>
        <w:numPr>
          <w:ilvl w:val="0"/>
          <w:numId w:val="2"/>
        </w:numPr>
        <w:spacing w:after="80" w:before="0"/>
      </w:pPr>
      <w:r>
        <w:rPr>
          <w:rFonts w:ascii="Calibri" w:cs="Calibri" w:eastAsia="Calibri" w:hAnsi="Calibri"/>
          <w:b w:val="false"/>
          <w:bCs w:val="false"/>
          <w:i w:val="false"/>
          <w:iCs w:val="false"/>
          <w:color w:val="1A1A2E"/>
          <w:sz w:val="22"/>
          <w:szCs w:val="22"/>
        </w:rPr>
        <w:t xml:space="preserve">Point of contact for Éric Carmichael (Lead Software) when configuring the PA P6/P7/P8 flow that parses these exports</w:t>
      </w:r>
    </w:p>
    <w:p>
      <w:pPr>
        <w:pStyle w:val="ListParagraph"/>
        <w:numPr>
          <w:ilvl w:val="0"/>
          <w:numId w:val="2"/>
        </w:numPr>
        <w:spacing w:after="80" w:before="0"/>
      </w:pPr>
      <w:r>
        <w:rPr>
          <w:rFonts w:ascii="Calibri" w:cs="Calibri" w:eastAsia="Calibri" w:hAnsi="Calibri"/>
          <w:b w:val="false"/>
          <w:bCs w:val="false"/>
          <w:i w:val="false"/>
          <w:iCs w:val="false"/>
          <w:color w:val="1A1A2E"/>
          <w:sz w:val="22"/>
          <w:szCs w:val="22"/>
        </w:rPr>
        <w:t xml:space="preserve">Raises BC issues to Jeremy Irwin or Charles (CFO) as needed</w:t>
      </w:r>
    </w:p>
    <w:p>
      <w:pPr>
        <w:spacing w:after="120" w:before="120"/>
      </w:pPr>
    </w:p>
    <w:p>
      <w:pPr>
        <w:pStyle w:val="Heading2"/>
        <w:spacing w:after="100" w:before="280"/>
      </w:pPr>
      <w:r>
        <w:rPr>
          <w:rFonts w:ascii="Calibri" w:cs="Calibri" w:eastAsia="Calibri" w:hAnsi="Calibri"/>
          <w:b/>
          <w:bCs/>
          <w:color w:val="1A5CA8"/>
          <w:sz w:val="26"/>
          <w:szCs w:val="26"/>
        </w:rPr>
        <w:t xml:space="preserve">Financial Reporting &amp; Controls</w:t>
      </w:r>
    </w:p>
    <w:p>
      <w:pPr>
        <w:pStyle w:val="ListParagraph"/>
        <w:numPr>
          <w:ilvl w:val="0"/>
          <w:numId w:val="2"/>
        </w:numPr>
        <w:spacing w:after="80" w:before="0"/>
      </w:pPr>
      <w:r>
        <w:rPr>
          <w:rFonts w:ascii="Calibri" w:cs="Calibri" w:eastAsia="Calibri" w:hAnsi="Calibri"/>
          <w:b w:val="false"/>
          <w:bCs w:val="false"/>
          <w:i w:val="false"/>
          <w:iCs w:val="false"/>
          <w:color w:val="1A1A2E"/>
          <w:sz w:val="22"/>
          <w:szCs w:val="22"/>
        </w:rPr>
        <w:t xml:space="preserve">Prepares </w:t>
      </w:r>
      <w:r>
        <w:rPr>
          <w:rFonts w:ascii="Calibri" w:cs="Calibri" w:eastAsia="Calibri" w:hAnsi="Calibri"/>
          <w:b/>
          <w:bCs/>
          <w:i w:val="false"/>
          <w:iCs w:val="false"/>
          <w:color w:val="1A1A2E"/>
          <w:sz w:val="22"/>
          <w:szCs w:val="22"/>
        </w:rPr>
        <w:t xml:space="preserve">Nucleom monthly financial statements</w:t>
      </w:r>
      <w:r>
        <w:rPr>
          <w:rFonts w:ascii="Calibri" w:cs="Calibri" w:eastAsia="Calibri" w:hAnsi="Calibri"/>
          <w:b w:val="false"/>
          <w:bCs w:val="false"/>
          <w:i w:val="false"/>
          <w:iCs w:val="false"/>
          <w:color w:val="1A1A2E"/>
          <w:sz w:val="22"/>
          <w:szCs w:val="22"/>
        </w:rPr>
        <w:t xml:space="preserve"> — P&amp;L, balance sheet, cash flow</w:t>
      </w:r>
    </w:p>
    <w:p>
      <w:pPr>
        <w:pStyle w:val="ListParagraph"/>
        <w:numPr>
          <w:ilvl w:val="0"/>
          <w:numId w:val="2"/>
        </w:numPr>
        <w:spacing w:after="80" w:before="0"/>
      </w:pPr>
      <w:r>
        <w:rPr>
          <w:rFonts w:ascii="Calibri" w:cs="Calibri" w:eastAsia="Calibri" w:hAnsi="Calibri"/>
          <w:b w:val="false"/>
          <w:bCs w:val="false"/>
          <w:i w:val="false"/>
          <w:iCs w:val="false"/>
          <w:color w:val="1A1A2E"/>
          <w:sz w:val="22"/>
          <w:szCs w:val="22"/>
        </w:rPr>
        <w:t xml:space="preserve">Maintains financial controls and ensures BC data integrity for all Nucleom transactions</w:t>
      </w:r>
    </w:p>
    <w:p>
      <w:pPr>
        <w:pStyle w:val="ListParagraph"/>
        <w:numPr>
          <w:ilvl w:val="0"/>
          <w:numId w:val="2"/>
        </w:numPr>
        <w:spacing w:after="80" w:before="0"/>
      </w:pPr>
      <w:r>
        <w:rPr>
          <w:rFonts w:ascii="Calibri" w:cs="Calibri" w:eastAsia="Calibri" w:hAnsi="Calibri"/>
          <w:b w:val="false"/>
          <w:bCs w:val="false"/>
          <w:i w:val="false"/>
          <w:iCs w:val="false"/>
          <w:color w:val="1A1A2E"/>
          <w:sz w:val="22"/>
          <w:szCs w:val="22"/>
        </w:rPr>
        <w:t xml:space="preserve">Accounts payable and receivable oversight</w:t>
      </w:r>
    </w:p>
    <w:p>
      <w:pPr>
        <w:pStyle w:val="ListParagraph"/>
        <w:numPr>
          <w:ilvl w:val="0"/>
          <w:numId w:val="2"/>
        </w:numPr>
        <w:spacing w:after="80" w:before="0"/>
      </w:pPr>
      <w:r>
        <w:rPr>
          <w:rFonts w:ascii="Calibri" w:cs="Calibri" w:eastAsia="Calibri" w:hAnsi="Calibri"/>
          <w:b/>
          <w:bCs/>
          <w:i w:val="false"/>
          <w:iCs w:val="false"/>
          <w:color w:val="1A1A2E"/>
          <w:sz w:val="22"/>
          <w:szCs w:val="22"/>
        </w:rPr>
        <w:t xml:space="preserve">Vacation liability</w:t>
      </w:r>
      <w:r>
        <w:rPr>
          <w:rFonts w:ascii="Calibri" w:cs="Calibri" w:eastAsia="Calibri" w:hAnsi="Calibri"/>
          <w:b w:val="false"/>
          <w:bCs w:val="false"/>
          <w:i w:val="false"/>
          <w:iCs w:val="false"/>
          <w:color w:val="1A1A2E"/>
          <w:sz w:val="22"/>
          <w:szCs w:val="22"/>
        </w:rPr>
        <w:t xml:space="preserve"> — monitors syndiqués vacation bank balance as a balance sheet item; escalates when liability exceeds threshold</w:t>
      </w:r>
    </w:p>
    <w:p>
      <w:pPr>
        <w:pStyle w:val="ListParagraph"/>
        <w:numPr>
          <w:ilvl w:val="0"/>
          <w:numId w:val="2"/>
        </w:numPr>
        <w:spacing w:after="80" w:before="0"/>
      </w:pPr>
      <w:r>
        <w:rPr>
          <w:rFonts w:ascii="Calibri" w:cs="Calibri" w:eastAsia="Calibri" w:hAnsi="Calibri"/>
          <w:b/>
          <w:bCs/>
          <w:i w:val="false"/>
          <w:iCs w:val="false"/>
          <w:color w:val="1A1A2E"/>
          <w:sz w:val="22"/>
          <w:szCs w:val="22"/>
        </w:rPr>
        <w:t xml:space="preserve">Payroll oversight</w:t>
      </w:r>
      <w:r>
        <w:rPr>
          <w:rFonts w:ascii="Calibri" w:cs="Calibri" w:eastAsia="Calibri" w:hAnsi="Calibri"/>
          <w:b w:val="false"/>
          <w:bCs w:val="false"/>
          <w:i w:val="false"/>
          <w:iCs w:val="false"/>
          <w:color w:val="1A1A2E"/>
          <w:sz w:val="22"/>
          <w:szCs w:val="22"/>
        </w:rPr>
        <w:t xml:space="preserve"> — works alongside Cynthia Dorval (Payroll Administrator) on payroll accuracy and compliance</w:t>
      </w:r>
    </w:p>
    <w:p>
      <w:pPr>
        <w:spacing w:after="120" w:before="120"/>
      </w:pPr>
    </w:p>
    <w:p>
      <w:pPr>
        <w:pStyle w:val="Heading2"/>
        <w:spacing w:after="100" w:before="280"/>
      </w:pPr>
      <w:r>
        <w:rPr>
          <w:rFonts w:ascii="Calibri" w:cs="Calibri" w:eastAsia="Calibri" w:hAnsi="Calibri"/>
          <w:b/>
          <w:bCs/>
          <w:color w:val="1A5CA8"/>
          <w:sz w:val="26"/>
          <w:szCs w:val="26"/>
        </w:rPr>
        <w:t xml:space="preserve">EIG &amp; Eurazeo Reporting Support</w:t>
      </w:r>
    </w:p>
    <w:p>
      <w:pPr>
        <w:pStyle w:val="ListParagraph"/>
        <w:numPr>
          <w:ilvl w:val="0"/>
          <w:numId w:val="2"/>
        </w:numPr>
        <w:spacing w:after="80" w:before="0"/>
      </w:pPr>
      <w:r>
        <w:rPr>
          <w:rFonts w:ascii="Calibri" w:cs="Calibri" w:eastAsia="Calibri" w:hAnsi="Calibri"/>
          <w:b w:val="false"/>
          <w:bCs w:val="false"/>
          <w:i w:val="false"/>
          <w:iCs w:val="false"/>
          <w:color w:val="1A1A2E"/>
          <w:sz w:val="22"/>
          <w:szCs w:val="22"/>
        </w:rPr>
        <w:t xml:space="preserve">Provides Nucleom entity financials to Jeremy Irwin for EIG consolidated reporting</w:t>
      </w:r>
    </w:p>
    <w:p>
      <w:pPr>
        <w:pStyle w:val="ListParagraph"/>
        <w:numPr>
          <w:ilvl w:val="0"/>
          <w:numId w:val="2"/>
        </w:numPr>
        <w:spacing w:after="80" w:before="0"/>
      </w:pPr>
      <w:r>
        <w:rPr>
          <w:rFonts w:ascii="Calibri" w:cs="Calibri" w:eastAsia="Calibri" w:hAnsi="Calibri"/>
          <w:b w:val="false"/>
          <w:bCs w:val="false"/>
          <w:i w:val="false"/>
          <w:iCs w:val="false"/>
          <w:color w:val="1A1A2E"/>
          <w:sz w:val="22"/>
          <w:szCs w:val="22"/>
        </w:rPr>
        <w:t xml:space="preserve">Supports Eurazeo quarterly pack with Nucleom actuals (invoiced, budget vs actual, EBITDA contributions)</w:t>
      </w:r>
    </w:p>
    <w:p>
      <w:pPr>
        <w:pStyle w:val="ListParagraph"/>
        <w:numPr>
          <w:ilvl w:val="0"/>
          <w:numId w:val="2"/>
        </w:numPr>
        <w:spacing w:after="80" w:before="0"/>
      </w:pPr>
      <w:r>
        <w:rPr>
          <w:rFonts w:ascii="Calibri" w:cs="Calibri" w:eastAsia="Calibri" w:hAnsi="Calibri"/>
          <w:b w:val="false"/>
          <w:bCs w:val="false"/>
          <w:i w:val="false"/>
          <w:iCs w:val="false"/>
          <w:color w:val="1A1A2E"/>
          <w:sz w:val="22"/>
          <w:szCs w:val="22"/>
        </w:rPr>
        <w:t xml:space="preserve">Flags anomalies between BC invoiced revenue and Salesforce Closed Won — feeds the Revenue Reconciliation section of the Command Centre once P4 BC connector is live</w:t>
      </w:r>
    </w:p>
    <w:p>
      <w:pPr>
        <w:spacing w:after="120" w:before="120"/>
      </w:pPr>
    </w:p>
    <w:p>
      <w:pPr>
        <w:pStyle w:val="Heading2"/>
        <w:spacing w:after="100" w:before="280"/>
      </w:pPr>
      <w:r>
        <w:rPr>
          <w:rFonts w:ascii="Calibri" w:cs="Calibri" w:eastAsia="Calibri" w:hAnsi="Calibri"/>
          <w:b/>
          <w:bCs/>
          <w:color w:val="1A5CA8"/>
          <w:sz w:val="26"/>
          <w:szCs w:val="26"/>
        </w:rPr>
        <w:t xml:space="preserve">BC People Data Flow — Key Contact</w:t>
      </w:r>
    </w:p>
    <w:p>
      <w:pPr>
        <w:spacing w:after="100" w:before="0"/>
      </w:pPr>
      <w:r>
        <w:rPr>
          <w:rFonts w:ascii="Calibri" w:cs="Calibri" w:eastAsia="Calibri" w:hAnsi="Calibri"/>
          <w:b w:val="false"/>
          <w:bCs w:val="false"/>
          <w:i w:val="false"/>
          <w:iCs w:val="false"/>
          <w:color w:val="1A1A2E"/>
          <w:sz w:val="22"/>
          <w:szCs w:val="22"/>
        </w:rPr>
        <w:t xml:space="preserve">Renée is the </w:t>
      </w:r>
      <w:r>
        <w:rPr>
          <w:rFonts w:ascii="Calibri" w:cs="Calibri" w:eastAsia="Calibri" w:hAnsi="Calibri"/>
          <w:b/>
          <w:bCs/>
          <w:i w:val="false"/>
          <w:iCs w:val="false"/>
          <w:color w:val="1A1A2E"/>
          <w:sz w:val="22"/>
          <w:szCs w:val="22"/>
        </w:rPr>
        <w:t xml:space="preserve">key BC contact</w:t>
      </w:r>
      <w:r>
        <w:rPr>
          <w:rFonts w:ascii="Calibri" w:cs="Calibri" w:eastAsia="Calibri" w:hAnsi="Calibri"/>
          <w:b w:val="false"/>
          <w:bCs w:val="false"/>
          <w:i w:val="false"/>
          <w:iCs w:val="false"/>
          <w:color w:val="1A1A2E"/>
          <w:sz w:val="22"/>
          <w:szCs w:val="22"/>
        </w:rPr>
        <w:t xml:space="preserve"> for the People &amp; Capacity Dashboard data pipeline. When Power Automate P6/P7/P8 is built by Éric Carmichael (Lead Software), Renée’s BC exports are the input. Her responsibilities in this flow:</w:t>
      </w:r>
    </w:p>
    <w:p>
      <w:pPr>
        <w:spacing w:after="120" w:before="40"/>
      </w:pPr>
    </w:p>
    <w:p>
      <w:pPr>
        <w:pStyle w:val="ListParagraph"/>
        <w:numPr>
          <w:ilvl w:val="0"/>
          <w:numId w:val="2"/>
        </w:numPr>
        <w:spacing w:after="80" w:before="0"/>
      </w:pPr>
      <w:r>
        <w:rPr>
          <w:rFonts w:ascii="Calibri" w:cs="Calibri" w:eastAsia="Calibri" w:hAnsi="Calibri"/>
          <w:b w:val="false"/>
          <w:bCs w:val="false"/>
          <w:i w:val="false"/>
          <w:iCs w:val="false"/>
          <w:color w:val="1A1A2E"/>
          <w:sz w:val="22"/>
          <w:szCs w:val="22"/>
        </w:rPr>
        <w:t xml:space="preserve">Ensures the three BC reports are scheduled and exporting correctly to SharePoint every Sunday</w:t>
      </w:r>
    </w:p>
    <w:p>
      <w:pPr>
        <w:pStyle w:val="ListParagraph"/>
        <w:numPr>
          <w:ilvl w:val="0"/>
          <w:numId w:val="2"/>
        </w:numPr>
        <w:spacing w:after="80" w:before="0"/>
      </w:pPr>
      <w:r>
        <w:rPr>
          <w:rFonts w:ascii="Calibri" w:cs="Calibri" w:eastAsia="Calibri" w:hAnsi="Calibri"/>
          <w:b w:val="false"/>
          <w:bCs w:val="false"/>
          <w:i w:val="false"/>
          <w:iCs w:val="false"/>
          <w:color w:val="1A1A2E"/>
          <w:sz w:val="22"/>
          <w:szCs w:val="22"/>
        </w:rPr>
        <w:t xml:space="preserve">Verifies numeric values in the </w:t>
      </w:r>
      <w:r>
        <w:rPr>
          <w:rFonts w:ascii="Calibri" w:cs="Calibri" w:eastAsia="Calibri" w:hAnsi="Calibri"/>
          <w:b/>
          <w:bCs/>
          <w:i w:val="false"/>
          <w:iCs w:val="false"/>
          <w:color w:val="1A1A2E"/>
          <w:sz w:val="22"/>
          <w:szCs w:val="22"/>
        </w:rPr>
        <w:t xml:space="preserve">non-syndiqués Vacances sheet</w:t>
      </w:r>
      <w:r>
        <w:rPr>
          <w:rFonts w:ascii="Calibri" w:cs="Calibri" w:eastAsia="Calibri" w:hAnsi="Calibri"/>
          <w:b w:val="false"/>
          <w:bCs w:val="false"/>
          <w:i w:val="false"/>
          <w:iCs w:val="false"/>
          <w:color w:val="1A1A2E"/>
          <w:sz w:val="22"/>
          <w:szCs w:val="22"/>
        </w:rPr>
        <w:t xml:space="preserve"> (currently exports formula strings instead of numbers — a known BC configuration issue to fix)</w:t>
      </w:r>
    </w:p>
    <w:p>
      <w:pPr>
        <w:pStyle w:val="ListParagraph"/>
        <w:numPr>
          <w:ilvl w:val="0"/>
          <w:numId w:val="2"/>
        </w:numPr>
        <w:spacing w:after="80" w:before="0"/>
      </w:pPr>
      <w:r>
        <w:rPr>
          <w:rFonts w:ascii="Calibri" w:cs="Calibri" w:eastAsia="Calibri" w:hAnsi="Calibri"/>
          <w:b w:val="false"/>
          <w:bCs w:val="false"/>
          <w:i w:val="false"/>
          <w:iCs w:val="false"/>
          <w:color w:val="1A1A2E"/>
          <w:sz w:val="22"/>
          <w:szCs w:val="22"/>
        </w:rPr>
        <w:t xml:space="preserve">Reviews People Dashboard vacation liability figures monthly for accuracy against BC</w:t>
      </w:r>
    </w:p>
    <w:p>
      <w:pPr>
        <w:pStyle w:val="ListParagraph"/>
        <w:numPr>
          <w:ilvl w:val="0"/>
          <w:numId w:val="2"/>
        </w:numPr>
        <w:spacing w:after="80" w:before="0"/>
      </w:pPr>
      <w:r>
        <w:rPr>
          <w:rFonts w:ascii="Calibri" w:cs="Calibri" w:eastAsia="Calibri" w:hAnsi="Calibri"/>
          <w:b w:val="false"/>
          <w:bCs w:val="false"/>
          <w:i w:val="false"/>
          <w:iCs w:val="false"/>
          <w:color w:val="1A1A2E"/>
          <w:sz w:val="22"/>
          <w:szCs w:val="22"/>
        </w:rPr>
        <w:t xml:space="preserve">Coordinates with Jeremy when actuals.json people fields need manual correction between PA runs</w:t>
      </w:r>
    </w:p>
    <w:p>
      <w:pPr>
        <w:spacing w:after="120" w:before="160"/>
      </w:pPr>
    </w:p>
    <w:tbl>
      <w:tblPr>
        <w:tblW w:type="dxa" w:w="10080"/>
        <w:tblBorders>
          <w:top w:val="single" w:color="1A5CA8" w:sz="4"/>
          <w:left w:val="single" w:color="1A5CA8" w:sz="12"/>
          <w:bottom w:val="single" w:color="1A5CA8" w:sz="4"/>
          <w:right w:val="single" w:color="1A5CA8" w:sz="1"/>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AF1FB" w:val="clear"/>
            <w:tcMar>
              <w:top w:type="dxa" w:w="120"/>
              <w:left w:type="dxa" w:w="180"/>
              <w:bottom w:type="dxa" w:w="60"/>
              <w:right w:type="dxa" w:w="180"/>
            </w:tcMar>
          </w:tcPr>
          <w:p>
            <w:pPr>
              <w:spacing w:after="60" w:before="0"/>
            </w:pPr>
            <w:r>
              <w:rPr>
                <w:rFonts w:ascii="Calibri" w:cs="Calibri" w:eastAsia="Calibri" w:hAnsi="Calibri"/>
                <w:b/>
                <w:bCs/>
                <w:color w:val="1A5CA8"/>
                <w:sz w:val="22"/>
                <w:szCs w:val="22"/>
              </w:rPr>
              <w:t xml:space="preserve">Finance pair — how Renée and Jeremy divide the work</w:t>
            </w:r>
          </w:p>
        </w:tc>
      </w:tr>
      <w:tr>
        <w:tc>
          <w:tcPr>
            <w:tcW w:type="dxa" w:w="10080"/>
            <w:tcBorders>
              <w:top w:val="none" w:color="FFFFFF" w:sz="0"/>
              <w:left w:val="none" w:color="FFFFFF" w:sz="0"/>
              <w:bottom w:val="none" w:color="FFFFFF" w:sz="0"/>
              <w:right w:val="none" w:color="FFFFFF" w:sz="0"/>
            </w:tcBorders>
            <w:shd w:fill="EAF1FB" w:val="clear"/>
            <w:tcMar>
              <w:top w:type="dxa" w:w="40"/>
              <w:left w:type="dxa" w:w="180"/>
              <w:bottom w:type="dxa" w:w="40"/>
              <w:right w:type="dxa" w:w="180"/>
            </w:tcMar>
          </w:tcPr>
          <w:p>
            <w:pPr>
              <w:spacing w:after="40" w:before="0"/>
            </w:pPr>
            <w:r>
              <w:rPr>
                <w:rFonts w:ascii="Calibri" w:cs="Calibri" w:eastAsia="Calibri" w:hAnsi="Calibri"/>
                <w:b w:val="false"/>
                <w:bCs w:val="false"/>
                <w:i w:val="false"/>
                <w:iCs w:val="false"/>
                <w:color w:val="1A1A2E"/>
                <w:sz w:val="20"/>
                <w:szCs w:val="20"/>
              </w:rPr>
              <w:t xml:space="preserve">Renée owns:  Nucleom BC system · Nucleom entity financials · Payroll · AP/AR · BC exports</w:t>
            </w:r>
          </w:p>
        </w:tc>
      </w:tr>
      <w:tr>
        <w:tc>
          <w:tcPr>
            <w:tcW w:type="dxa" w:w="10080"/>
            <w:tcBorders>
              <w:top w:val="none" w:color="FFFFFF" w:sz="0"/>
              <w:left w:val="none" w:color="FFFFFF" w:sz="0"/>
              <w:bottom w:val="none" w:color="FFFFFF" w:sz="0"/>
              <w:right w:val="none" w:color="FFFFFF" w:sz="0"/>
            </w:tcBorders>
            <w:shd w:fill="EAF1FB" w:val="clear"/>
            <w:tcMar>
              <w:top w:type="dxa" w:w="40"/>
              <w:left w:type="dxa" w:w="180"/>
              <w:bottom w:type="dxa" w:w="40"/>
              <w:right w:type="dxa" w:w="180"/>
            </w:tcMar>
          </w:tcPr>
          <w:p>
            <w:pPr>
              <w:spacing w:after="40" w:before="0"/>
            </w:pPr>
            <w:r>
              <w:rPr>
                <w:rFonts w:ascii="Calibri" w:cs="Calibri" w:eastAsia="Calibri" w:hAnsi="Calibri"/>
                <w:b w:val="false"/>
                <w:bCs w:val="false"/>
                <w:i w:val="false"/>
                <w:iCs w:val="false"/>
                <w:color w:val="1A1A2E"/>
                <w:sz w:val="20"/>
                <w:szCs w:val="20"/>
              </w:rPr>
              <w:t xml:space="preserve">Jeremy owns: EIG group reporting · Nortech data · Eurazeo pack preparation · actuals.json finance fields</w:t>
            </w:r>
          </w:p>
        </w:tc>
      </w:tr>
      <w:tr>
        <w:tc>
          <w:tcPr>
            <w:tcW w:type="dxa" w:w="10080"/>
            <w:tcBorders>
              <w:top w:val="none" w:color="FFFFFF" w:sz="0"/>
              <w:left w:val="none" w:color="FFFFFF" w:sz="0"/>
              <w:bottom w:val="none" w:color="FFFFFF" w:sz="0"/>
              <w:right w:val="none" w:color="FFFFFF" w:sz="0"/>
            </w:tcBorders>
            <w:shd w:fill="EAF1FB" w:val="clear"/>
            <w:tcMar>
              <w:top w:type="dxa" w:w="40"/>
              <w:left w:type="dxa" w:w="180"/>
              <w:bottom w:type="dxa" w:w="40"/>
              <w:right w:type="dxa" w:w="180"/>
            </w:tcMar>
          </w:tcPr>
          <w:p>
            <w:pPr>
              <w:spacing w:after="40" w:before="0"/>
            </w:pPr>
            <w:r>
              <w:rPr>
                <w:rFonts w:ascii="Calibri" w:cs="Calibri" w:eastAsia="Calibri" w:hAnsi="Calibri"/>
                <w:b w:val="false"/>
                <w:bCs w:val="false"/>
                <w:i w:val="false"/>
                <w:iCs w:val="false"/>
                <w:color w:val="1A1A2E"/>
                <w:sz w:val="20"/>
                <w:szCs w:val="20"/>
              </w:rPr>
              <w:t xml:space="preserve"/>
            </w:r>
          </w:p>
        </w:tc>
      </w:tr>
      <w:tr>
        <w:tc>
          <w:tcPr>
            <w:tcW w:type="dxa" w:w="10080"/>
            <w:tcBorders>
              <w:top w:val="none" w:color="FFFFFF" w:sz="0"/>
              <w:left w:val="none" w:color="FFFFFF" w:sz="0"/>
              <w:bottom w:val="none" w:color="FFFFFF" w:sz="0"/>
              <w:right w:val="none" w:color="FFFFFF" w:sz="0"/>
            </w:tcBorders>
            <w:shd w:fill="EAF1FB" w:val="clear"/>
            <w:tcMar>
              <w:top w:type="dxa" w:w="40"/>
              <w:left w:type="dxa" w:w="180"/>
              <w:bottom w:type="dxa" w:w="40"/>
              <w:right w:type="dxa" w:w="180"/>
            </w:tcMar>
          </w:tcPr>
          <w:p>
            <w:pPr>
              <w:spacing w:after="40" w:before="0"/>
            </w:pPr>
            <w:r>
              <w:rPr>
                <w:rFonts w:ascii="Calibri" w:cs="Calibri" w:eastAsia="Calibri" w:hAnsi="Calibri"/>
                <w:b w:val="false"/>
                <w:bCs w:val="false"/>
                <w:i w:val="false"/>
                <w:iCs w:val="false"/>
                <w:color w:val="1A1A2E"/>
                <w:sz w:val="20"/>
                <w:szCs w:val="20"/>
              </w:rPr>
              <w:t xml:space="preserve">Overlap zone: Monthly Nucleom actuals flow from Renée’s BC into Jeremy’s EIG reporting pack.</w:t>
            </w:r>
          </w:p>
        </w:tc>
      </w:tr>
      <w:tr>
        <w:tc>
          <w:tcPr>
            <w:tcW w:type="dxa" w:w="10080"/>
            <w:tcBorders>
              <w:top w:val="none" w:color="FFFFFF" w:sz="0"/>
              <w:left w:val="none" w:color="FFFFFF" w:sz="0"/>
              <w:bottom w:val="none" w:color="FFFFFF" w:sz="0"/>
              <w:right w:val="none" w:color="FFFFFF" w:sz="0"/>
            </w:tcBorders>
            <w:shd w:fill="EAF1FB" w:val="clear"/>
            <w:tcMar>
              <w:top w:type="dxa" w:w="40"/>
              <w:left w:type="dxa" w:w="180"/>
              <w:bottom w:type="dxa" w:w="40"/>
              <w:right w:type="dxa" w:w="180"/>
            </w:tcMar>
          </w:tcPr>
          <w:p>
            <w:pPr>
              <w:spacing w:after="40" w:before="0"/>
            </w:pPr>
            <w:r>
              <w:rPr>
                <w:rFonts w:ascii="Calibri" w:cs="Calibri" w:eastAsia="Calibri" w:hAnsi="Calibri"/>
                <w:b w:val="false"/>
                <w:bCs w:val="false"/>
                <w:i w:val="false"/>
                <w:iCs w:val="false"/>
                <w:color w:val="1A1A2E"/>
                <w:sz w:val="20"/>
                <w:szCs w:val="20"/>
              </w:rPr>
              <w:t xml:space="preserve">Until the P4 BC connector is live, Jeremy manually enters BC interim data into actuals.json</w:t>
            </w:r>
          </w:p>
        </w:tc>
      </w:tr>
      <w:tr>
        <w:tc>
          <w:tcPr>
            <w:tcW w:type="dxa" w:w="10080"/>
            <w:tcBorders>
              <w:top w:val="none" w:color="FFFFFF" w:sz="0"/>
              <w:left w:val="none" w:color="FFFFFF" w:sz="0"/>
              <w:bottom w:val="none" w:color="FFFFFF" w:sz="0"/>
              <w:right w:val="none" w:color="FFFFFF" w:sz="0"/>
            </w:tcBorders>
            <w:shd w:fill="EAF1FB" w:val="clear"/>
            <w:tcMar>
              <w:top w:type="dxa" w:w="40"/>
              <w:left w:type="dxa" w:w="180"/>
              <w:bottom w:type="dxa" w:w="40"/>
              <w:right w:type="dxa" w:w="180"/>
            </w:tcMar>
          </w:tcPr>
          <w:p>
            <w:pPr>
              <w:spacing w:after="40" w:before="0"/>
            </w:pPr>
            <w:r>
              <w:rPr>
                <w:rFonts w:ascii="Calibri" w:cs="Calibri" w:eastAsia="Calibri" w:hAnsi="Calibri"/>
                <w:b w:val="false"/>
                <w:bCs w:val="false"/>
                <w:i w:val="false"/>
                <w:iCs w:val="false"/>
                <w:color w:val="1A1A2E"/>
                <w:sz w:val="20"/>
                <w:szCs w:val="20"/>
              </w:rPr>
              <w:t xml:space="preserve">using figures provided by Renée from her BC reports.</w:t>
            </w:r>
          </w:p>
        </w:tc>
      </w:tr>
    </w:tbl>
    <w:p>
      <w:pPr>
        <w:spacing w:after="120" w:before="200"/>
      </w:pPr>
    </w:p>
    <w:p>
      <w:pPr>
        <w:pStyle w:val="Heading1"/>
        <w:pBdr>
          <w:bottom w:val="single" w:color="1A5CA8" w:sz="8" w:space="4"/>
        </w:pBdr>
        <w:spacing w:after="140" w:before="360"/>
      </w:pPr>
      <w:r>
        <w:rPr>
          <w:rFonts w:ascii="Calibri" w:cs="Calibri" w:eastAsia="Calibri" w:hAnsi="Calibri"/>
          <w:b/>
          <w:bCs/>
          <w:color w:val="0A1F5C"/>
          <w:sz w:val="36"/>
          <w:szCs w:val="36"/>
        </w:rPr>
        <w:t xml:space="preserve">Weekly &amp; Monthly Rhythm</w:t>
      </w:r>
    </w:p>
    <w:p>
      <w:pPr>
        <w:spacing w:after="12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Calibri" w:cs="Calibri" w:eastAsia="Calibri" w:hAnsi="Calibri"/>
                <w:b/>
                <w:bCs/>
                <w:i w:val="false"/>
                <w:iCs w:val="false"/>
                <w:color w:val="0A1F5C"/>
                <w:sz w:val="20"/>
                <w:szCs w:val="20"/>
              </w:rPr>
              <w:t xml:space="preserve">Every Sunday 6PM</w:t>
            </w:r>
          </w:p>
        </w:tc>
        <w:tc>
          <w:tcPr>
            <w:tcW w:type="dxa" w:w="7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Calibri" w:cs="Calibri" w:eastAsia="Calibri" w:hAnsi="Calibri"/>
                <w:b w:val="false"/>
                <w:bCs w:val="false"/>
                <w:i w:val="false"/>
                <w:iCs w:val="false"/>
                <w:color w:val="1A1A2E"/>
                <w:sz w:val="20"/>
                <w:szCs w:val="20"/>
              </w:rPr>
              <w:t xml:space="preserve">BC Hours_Rolling_13_Weeks export → SharePoint / BC Exports / Hours /</w:t>
            </w:r>
          </w:p>
        </w:tc>
      </w:tr>
      <w:tr>
        <w:tc>
          <w:tcPr>
            <w:tcW w:type="dxa" w:w="2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Calibri" w:cs="Calibri" w:eastAsia="Calibri" w:hAnsi="Calibri"/>
                <w:b/>
                <w:bCs/>
                <w:i w:val="false"/>
                <w:iCs w:val="false"/>
                <w:color w:val="0A1F5C"/>
                <w:sz w:val="20"/>
                <w:szCs w:val="20"/>
              </w:rPr>
              <w:t xml:space="preserve">Every Sunday 6PM</w:t>
            </w:r>
          </w:p>
        </w:tc>
        <w:tc>
          <w:tcPr>
            <w:tcW w:type="dxa" w:w="72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1A1A2E"/>
                <w:sz w:val="20"/>
                <w:szCs w:val="20"/>
              </w:rPr>
              <w:t xml:space="preserve">BC Vacances export → SharePoint / BC Exports / Vacances /</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Calibri" w:cs="Calibri" w:eastAsia="Calibri" w:hAnsi="Calibri"/>
                <w:b/>
                <w:bCs/>
                <w:i w:val="false"/>
                <w:iCs w:val="false"/>
                <w:color w:val="0A1F5C"/>
                <w:sz w:val="20"/>
                <w:szCs w:val="20"/>
              </w:rPr>
              <w:t xml:space="preserve">First Sunday/month</w:t>
            </w:r>
          </w:p>
        </w:tc>
        <w:tc>
          <w:tcPr>
            <w:tcW w:type="dxa" w:w="7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Calibri" w:cs="Calibri" w:eastAsia="Calibri" w:hAnsi="Calibri"/>
                <w:b w:val="false"/>
                <w:bCs w:val="false"/>
                <w:i w:val="false"/>
                <w:iCs w:val="false"/>
                <w:color w:val="1A1A2E"/>
                <w:sz w:val="20"/>
                <w:szCs w:val="20"/>
              </w:rPr>
              <w:t xml:space="preserve">BC Date_d_embauche export → SharePoint / BC Exports / Embauche /</w:t>
            </w:r>
          </w:p>
        </w:tc>
      </w:tr>
      <w:tr>
        <w:tc>
          <w:tcPr>
            <w:tcW w:type="dxa" w:w="2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Calibri" w:cs="Calibri" w:eastAsia="Calibri" w:hAnsi="Calibri"/>
                <w:b/>
                <w:bCs/>
                <w:i w:val="false"/>
                <w:iCs w:val="false"/>
                <w:color w:val="0A1F5C"/>
                <w:sz w:val="20"/>
                <w:szCs w:val="20"/>
              </w:rPr>
              <w:t xml:space="preserve">First Monday/month</w:t>
            </w:r>
          </w:p>
        </w:tc>
        <w:tc>
          <w:tcPr>
            <w:tcW w:type="dxa" w:w="72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1A1A2E"/>
                <w:sz w:val="20"/>
                <w:szCs w:val="20"/>
              </w:rPr>
              <w:t xml:space="preserve">Coordinate with Jeremy: BC interim actuals into actuals.json (until P4 live)</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Calibri" w:cs="Calibri" w:eastAsia="Calibri" w:hAnsi="Calibri"/>
                <w:b/>
                <w:bCs/>
                <w:i w:val="false"/>
                <w:iCs w:val="false"/>
                <w:color w:val="0A1F5C"/>
                <w:sz w:val="20"/>
                <w:szCs w:val="20"/>
              </w:rPr>
              <w:t xml:space="preserve">Monthly</w:t>
            </w:r>
          </w:p>
        </w:tc>
        <w:tc>
          <w:tcPr>
            <w:tcW w:type="dxa" w:w="7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Calibri" w:cs="Calibri" w:eastAsia="Calibri" w:hAnsi="Calibri"/>
                <w:b w:val="false"/>
                <w:bCs w:val="false"/>
                <w:i w:val="false"/>
                <w:iCs w:val="false"/>
                <w:color w:val="1A1A2E"/>
                <w:sz w:val="20"/>
                <w:szCs w:val="20"/>
              </w:rPr>
              <w:t xml:space="preserve">Nucleom P&amp;L and financial statements preparation</w:t>
            </w:r>
          </w:p>
        </w:tc>
      </w:tr>
      <w:tr>
        <w:tc>
          <w:tcPr>
            <w:tcW w:type="dxa" w:w="2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Calibri" w:cs="Calibri" w:eastAsia="Calibri" w:hAnsi="Calibri"/>
                <w:b/>
                <w:bCs/>
                <w:i w:val="false"/>
                <w:iCs w:val="false"/>
                <w:color w:val="0A1F5C"/>
                <w:sz w:val="20"/>
                <w:szCs w:val="20"/>
              </w:rPr>
              <w:t xml:space="preserve">Monthly</w:t>
            </w:r>
          </w:p>
        </w:tc>
        <w:tc>
          <w:tcPr>
            <w:tcW w:type="dxa" w:w="72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1A1A2E"/>
                <w:sz w:val="20"/>
                <w:szCs w:val="20"/>
              </w:rPr>
              <w:t xml:space="preserve">Review vacation liability report — flag high balances to Jon</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Calibri" w:cs="Calibri" w:eastAsia="Calibri" w:hAnsi="Calibri"/>
                <w:b/>
                <w:bCs/>
                <w:i w:val="false"/>
                <w:iCs w:val="false"/>
                <w:color w:val="0A1F5C"/>
                <w:sz w:val="20"/>
                <w:szCs w:val="20"/>
              </w:rPr>
              <w:t xml:space="preserve">Quarterly</w:t>
            </w:r>
          </w:p>
        </w:tc>
        <w:tc>
          <w:tcPr>
            <w:tcW w:type="dxa" w:w="7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Calibri" w:cs="Calibri" w:eastAsia="Calibri" w:hAnsi="Calibri"/>
                <w:b w:val="false"/>
                <w:bCs w:val="false"/>
                <w:i w:val="false"/>
                <w:iCs w:val="false"/>
                <w:color w:val="1A1A2E"/>
                <w:sz w:val="20"/>
                <w:szCs w:val="20"/>
              </w:rPr>
              <w:t xml:space="preserve">Eurazeo reporting support — Nucleom entity actuals to Jeremy</w:t>
            </w:r>
          </w:p>
        </w:tc>
      </w:tr>
    </w:tbl>
    <w:p>
      <w:pPr>
        <w:spacing w:after="120" w:before="200"/>
      </w:pPr>
    </w:p>
    <w:p>
      <w:pPr>
        <w:pStyle w:val="Heading1"/>
        <w:pBdr>
          <w:bottom w:val="single" w:color="1A5CA8" w:sz="8" w:space="4"/>
        </w:pBdr>
        <w:spacing w:after="140" w:before="360"/>
      </w:pPr>
      <w:r>
        <w:rPr>
          <w:rFonts w:ascii="Calibri" w:cs="Calibri" w:eastAsia="Calibri" w:hAnsi="Calibri"/>
          <w:b/>
          <w:bCs/>
          <w:color w:val="0A1F5C"/>
          <w:sz w:val="36"/>
          <w:szCs w:val="36"/>
        </w:rPr>
        <w:t xml:space="preserve">Key Relationships</w:t>
      </w:r>
    </w:p>
    <w:p>
      <w:pPr>
        <w:spacing w:after="12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Calibri" w:cs="Calibri" w:eastAsia="Calibri" w:hAnsi="Calibri"/>
                <w:b/>
                <w:bCs/>
                <w:i w:val="false"/>
                <w:iCs w:val="false"/>
                <w:color w:val="0A1F5C"/>
                <w:sz w:val="20"/>
                <w:szCs w:val="20"/>
              </w:rPr>
              <w:t xml:space="preserve">Jon Eustace</w:t>
            </w:r>
          </w:p>
        </w:tc>
        <w:tc>
          <w:tcPr>
            <w:tcW w:type="dxa" w:w="7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Calibri" w:cs="Calibri" w:eastAsia="Calibri" w:hAnsi="Calibri"/>
                <w:b w:val="false"/>
                <w:bCs w:val="false"/>
                <w:i w:val="false"/>
                <w:iCs w:val="false"/>
                <w:color w:val="1A1A2E"/>
                <w:sz w:val="20"/>
                <w:szCs w:val="20"/>
              </w:rPr>
              <w:t xml:space="preserve">CEO NA — direct report relationship; escalation for financial decisions</w:t>
            </w:r>
          </w:p>
        </w:tc>
      </w:tr>
      <w:tr>
        <w:tc>
          <w:tcPr>
            <w:tcW w:type="dxa" w:w="2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Calibri" w:cs="Calibri" w:eastAsia="Calibri" w:hAnsi="Calibri"/>
                <w:b/>
                <w:bCs/>
                <w:i w:val="false"/>
                <w:iCs w:val="false"/>
                <w:color w:val="0A1F5C"/>
                <w:sz w:val="20"/>
                <w:szCs w:val="20"/>
              </w:rPr>
              <w:t xml:space="preserve">Jeremy Irwin</w:t>
            </w:r>
          </w:p>
        </w:tc>
        <w:tc>
          <w:tcPr>
            <w:tcW w:type="dxa" w:w="72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1A1A2E"/>
                <w:sz w:val="20"/>
                <w:szCs w:val="20"/>
              </w:rPr>
              <w:t xml:space="preserve">Finance pair — Nucleom entity data flows to Jeremy for EIG-level consolidation</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Calibri" w:cs="Calibri" w:eastAsia="Calibri" w:hAnsi="Calibri"/>
                <w:b/>
                <w:bCs/>
                <w:i w:val="false"/>
                <w:iCs w:val="false"/>
                <w:color w:val="0A1F5C"/>
                <w:sz w:val="20"/>
                <w:szCs w:val="20"/>
              </w:rPr>
              <w:t xml:space="preserve">Charles (CFO)</w:t>
            </w:r>
          </w:p>
        </w:tc>
        <w:tc>
          <w:tcPr>
            <w:tcW w:type="dxa" w:w="7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Calibri" w:cs="Calibri" w:eastAsia="Calibri" w:hAnsi="Calibri"/>
                <w:b w:val="false"/>
                <w:bCs w:val="false"/>
                <w:i w:val="false"/>
                <w:iCs w:val="false"/>
                <w:color w:val="1A1A2E"/>
                <w:sz w:val="20"/>
                <w:szCs w:val="20"/>
              </w:rPr>
              <w:t xml:space="preserve">Ekoscan Group CFO — functional financial reporting line</w:t>
            </w:r>
          </w:p>
        </w:tc>
      </w:tr>
      <w:tr>
        <w:tc>
          <w:tcPr>
            <w:tcW w:type="dxa" w:w="2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Calibri" w:cs="Calibri" w:eastAsia="Calibri" w:hAnsi="Calibri"/>
                <w:b/>
                <w:bCs/>
                <w:i w:val="false"/>
                <w:iCs w:val="false"/>
                <w:color w:val="0A1F5C"/>
                <w:sz w:val="20"/>
                <w:szCs w:val="20"/>
              </w:rPr>
              <w:t xml:space="preserve">Éric Carmichael</w:t>
            </w:r>
          </w:p>
        </w:tc>
        <w:tc>
          <w:tcPr>
            <w:tcW w:type="dxa" w:w="72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1A1A2E"/>
                <w:sz w:val="20"/>
                <w:szCs w:val="20"/>
              </w:rPr>
              <w:t xml:space="preserve">IT/PA — Renée’s BC exports are the input for his PA P6/P7/P8 build; coordinate on export scheduling and format</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Calibri" w:cs="Calibri" w:eastAsia="Calibri" w:hAnsi="Calibri"/>
                <w:b/>
                <w:bCs/>
                <w:i w:val="false"/>
                <w:iCs w:val="false"/>
                <w:color w:val="0A1F5C"/>
                <w:sz w:val="20"/>
                <w:szCs w:val="20"/>
              </w:rPr>
              <w:t xml:space="preserve">Cynthia Dorval</w:t>
            </w:r>
          </w:p>
        </w:tc>
        <w:tc>
          <w:tcPr>
            <w:tcW w:type="dxa" w:w="7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Calibri" w:cs="Calibri" w:eastAsia="Calibri" w:hAnsi="Calibri"/>
                <w:b w:val="false"/>
                <w:bCs w:val="false"/>
                <w:i w:val="false"/>
                <w:iCs w:val="false"/>
                <w:color w:val="1A1A2E"/>
                <w:sz w:val="20"/>
                <w:szCs w:val="20"/>
              </w:rPr>
              <w:t xml:space="preserve">Payroll Administrator — direct coordination on payroll accuracy</w:t>
            </w:r>
          </w:p>
        </w:tc>
      </w:tr>
      <w:tr>
        <w:tc>
          <w:tcPr>
            <w:tcW w:type="dxa" w:w="2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Calibri" w:cs="Calibri" w:eastAsia="Calibri" w:hAnsi="Calibri"/>
                <w:b/>
                <w:bCs/>
                <w:i w:val="false"/>
                <w:iCs w:val="false"/>
                <w:color w:val="0A1F5C"/>
                <w:sz w:val="20"/>
                <w:szCs w:val="20"/>
              </w:rPr>
              <w:t xml:space="preserve">Kassandra Lemay</w:t>
            </w:r>
          </w:p>
        </w:tc>
        <w:tc>
          <w:tcPr>
            <w:tcW w:type="dxa" w:w="72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1A1A2E"/>
                <w:sz w:val="20"/>
                <w:szCs w:val="20"/>
              </w:rPr>
              <w:t xml:space="preserve">Accounting Clerk — AP/AR support</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Calibri" w:cs="Calibri" w:eastAsia="Calibri" w:hAnsi="Calibri"/>
                <w:b/>
                <w:bCs/>
                <w:i w:val="false"/>
                <w:iCs w:val="false"/>
                <w:color w:val="0A1F5C"/>
                <w:sz w:val="20"/>
                <w:szCs w:val="20"/>
              </w:rPr>
              <w:t xml:space="preserve">Claudya Desjardins</w:t>
            </w:r>
          </w:p>
        </w:tc>
        <w:tc>
          <w:tcPr>
            <w:tcW w:type="dxa" w:w="7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Calibri" w:cs="Calibri" w:eastAsia="Calibri" w:hAnsi="Calibri"/>
                <w:b w:val="false"/>
                <w:bCs w:val="false"/>
                <w:i w:val="false"/>
                <w:iCs w:val="false"/>
                <w:color w:val="1A1A2E"/>
                <w:sz w:val="20"/>
                <w:szCs w:val="20"/>
              </w:rPr>
              <w:t xml:space="preserve">Accounting Clerk — AP/AR support</w:t>
            </w:r>
          </w:p>
        </w:tc>
      </w:tr>
      <w:tr>
        <w:tc>
          <w:tcPr>
            <w:tcW w:type="dxa" w:w="2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Calibri" w:cs="Calibri" w:eastAsia="Calibri" w:hAnsi="Calibri"/>
                <w:b/>
                <w:bCs/>
                <w:i w:val="false"/>
                <w:iCs w:val="false"/>
                <w:color w:val="0A1F5C"/>
                <w:sz w:val="20"/>
                <w:szCs w:val="20"/>
              </w:rPr>
              <w:t xml:space="preserve">Carol-Anne Lindsay</w:t>
            </w:r>
          </w:p>
        </w:tc>
        <w:tc>
          <w:tcPr>
            <w:tcW w:type="dxa" w:w="72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1A1A2E"/>
                <w:sz w:val="20"/>
                <w:szCs w:val="20"/>
              </w:rPr>
              <w:t xml:space="preserve">Sr. Director Internal Services — coordinates on HR cost data that flows through payroll</w:t>
            </w:r>
          </w:p>
        </w:tc>
      </w:tr>
    </w:tbl>
    <w:p>
      <w:pPr>
        <w:spacing w:after="120" w:before="200"/>
      </w:pPr>
    </w:p>
    <w:p>
      <w:pPr>
        <w:pStyle w:val="Heading1"/>
        <w:pBdr>
          <w:bottom w:val="single" w:color="1A5CA8" w:sz="8" w:space="4"/>
        </w:pBdr>
        <w:spacing w:after="140" w:before="360"/>
      </w:pPr>
      <w:r>
        <w:rPr>
          <w:rFonts w:ascii="Calibri" w:cs="Calibri" w:eastAsia="Calibri" w:hAnsi="Calibri"/>
          <w:b/>
          <w:bCs/>
          <w:color w:val="0A1F5C"/>
          <w:sz w:val="36"/>
          <w:szCs w:val="36"/>
        </w:rPr>
        <w:t xml:space="preserve">Key Files &amp; References</w:t>
      </w:r>
    </w:p>
    <w:p>
      <w:pPr>
        <w:pStyle w:val="ListParagraph"/>
        <w:numPr>
          <w:ilvl w:val="0"/>
          <w:numId w:val="2"/>
        </w:numPr>
        <w:spacing w:after="80" w:before="0"/>
      </w:pPr>
      <w:r>
        <w:rPr>
          <w:rFonts w:ascii="Calibri" w:cs="Calibri" w:eastAsia="Calibri" w:hAnsi="Calibri"/>
          <w:b/>
          <w:bCs/>
          <w:i w:val="false"/>
          <w:iCs w:val="false"/>
          <w:color w:val="1A1A2E"/>
          <w:sz w:val="22"/>
          <w:szCs w:val="22"/>
        </w:rPr>
        <w:t xml:space="preserve">BC People Data — PA Build Guide</w:t>
      </w:r>
      <w:r>
        <w:rPr>
          <w:rFonts w:ascii="Calibri" w:cs="Calibri" w:eastAsia="Calibri" w:hAnsi="Calibri"/>
          <w:b w:val="false"/>
          <w:bCs w:val="false"/>
          <w:i w:val="false"/>
          <w:iCs w:val="false"/>
          <w:color w:val="1A1A2E"/>
          <w:sz w:val="22"/>
          <w:szCs w:val="22"/>
        </w:rPr>
        <w:t xml:space="preserve"> — </w:t>
      </w:r>
      <w:r>
        <w:rPr>
          <w:rFonts w:ascii="Courier New" w:cs="Courier New" w:eastAsia="Courier New" w:hAnsi="Courier New"/>
          <w:color w:val="1A5CA8"/>
          <w:sz w:val="20"/>
          <w:szCs w:val="20"/>
        </w:rPr>
        <w:t xml:space="preserve">BU_Services_BC_People_PA_Build_Guide.docx</w:t>
      </w:r>
      <w:r>
        <w:rPr>
          <w:rFonts w:ascii="Calibri" w:cs="Calibri" w:eastAsia="Calibri" w:hAnsi="Calibri"/>
          <w:b w:val="false"/>
          <w:bCs w:val="false"/>
          <w:i w:val="false"/>
          <w:iCs w:val="false"/>
          <w:color w:val="1A1A2E"/>
          <w:sz w:val="22"/>
          <w:szCs w:val="22"/>
        </w:rPr>
        <w:t xml:space="preserve"> — Éric’s guide; Renée is the BC owner referenced throughout</w:t>
      </w:r>
    </w:p>
    <w:p>
      <w:pPr>
        <w:pStyle w:val="ListParagraph"/>
        <w:numPr>
          <w:ilvl w:val="0"/>
          <w:numId w:val="2"/>
        </w:numPr>
        <w:spacing w:after="80" w:before="0"/>
      </w:pPr>
      <w:r>
        <w:rPr>
          <w:rFonts w:ascii="Calibri" w:cs="Calibri" w:eastAsia="Calibri" w:hAnsi="Calibri"/>
          <w:b/>
          <w:bCs/>
          <w:i w:val="false"/>
          <w:iCs w:val="false"/>
          <w:color w:val="1A1A2E"/>
          <w:sz w:val="22"/>
          <w:szCs w:val="22"/>
        </w:rPr>
        <w:t xml:space="preserve">Dynamics Integration Guide</w:t>
      </w:r>
      <w:r>
        <w:rPr>
          <w:rFonts w:ascii="Calibri" w:cs="Calibri" w:eastAsia="Calibri" w:hAnsi="Calibri"/>
          <w:b w:val="false"/>
          <w:bCs w:val="false"/>
          <w:i w:val="false"/>
          <w:iCs w:val="false"/>
          <w:color w:val="1A1A2E"/>
          <w:sz w:val="22"/>
          <w:szCs w:val="22"/>
        </w:rPr>
        <w:t xml:space="preserve"> — </w:t>
      </w:r>
      <w:r>
        <w:rPr>
          <w:rFonts w:ascii="Courier New" w:cs="Courier New" w:eastAsia="Courier New" w:hAnsi="Courier New"/>
          <w:color w:val="1A5CA8"/>
          <w:sz w:val="20"/>
          <w:szCs w:val="20"/>
        </w:rPr>
        <w:t xml:space="preserve">BU_Services_Dynamics_Integration_Guide.docx</w:t>
      </w:r>
      <w:r>
        <w:rPr>
          <w:rFonts w:ascii="Calibri" w:cs="Calibri" w:eastAsia="Calibri" w:hAnsi="Calibri"/>
          <w:b w:val="false"/>
          <w:bCs w:val="false"/>
          <w:i w:val="false"/>
          <w:iCs w:val="false"/>
          <w:color w:val="1A1A2E"/>
          <w:sz w:val="22"/>
          <w:szCs w:val="22"/>
        </w:rPr>
        <w:t xml:space="preserve"> — BC connector reference</w:t>
      </w:r>
    </w:p>
    <w:p>
      <w:pPr>
        <w:pStyle w:val="ListParagraph"/>
        <w:numPr>
          <w:ilvl w:val="0"/>
          <w:numId w:val="2"/>
        </w:numPr>
        <w:spacing w:after="80" w:before="0"/>
      </w:pPr>
      <w:r>
        <w:rPr>
          <w:rFonts w:ascii="Calibri" w:cs="Calibri" w:eastAsia="Calibri" w:hAnsi="Calibri"/>
          <w:b/>
          <w:bCs/>
          <w:i w:val="false"/>
          <w:iCs w:val="false"/>
          <w:color w:val="1A1A2E"/>
          <w:sz w:val="22"/>
          <w:szCs w:val="22"/>
        </w:rPr>
        <w:t xml:space="preserve">Quote-to-Cash Recon Guide</w:t>
      </w:r>
      <w:r>
        <w:rPr>
          <w:rFonts w:ascii="Calibri" w:cs="Calibri" w:eastAsia="Calibri" w:hAnsi="Calibri"/>
          <w:b w:val="false"/>
          <w:bCs w:val="false"/>
          <w:i w:val="false"/>
          <w:iCs w:val="false"/>
          <w:color w:val="1A1A2E"/>
          <w:sz w:val="22"/>
          <w:szCs w:val="22"/>
        </w:rPr>
        <w:t xml:space="preserve"> — </w:t>
      </w:r>
      <w:r>
        <w:rPr>
          <w:rFonts w:ascii="Courier New" w:cs="Courier New" w:eastAsia="Courier New" w:hAnsi="Courier New"/>
          <w:color w:val="1A5CA8"/>
          <w:sz w:val="20"/>
          <w:szCs w:val="20"/>
        </w:rPr>
        <w:t xml:space="preserve">BU_Services_Quote_Cash_Recon_Guide.docx</w:t>
      </w:r>
      <w:r>
        <w:rPr>
          <w:rFonts w:ascii="Calibri" w:cs="Calibri" w:eastAsia="Calibri" w:hAnsi="Calibri"/>
          <w:b w:val="false"/>
          <w:bCs w:val="false"/>
          <w:i w:val="false"/>
          <w:iCs w:val="false"/>
          <w:color w:val="1A1A2E"/>
          <w:sz w:val="22"/>
          <w:szCs w:val="22"/>
        </w:rPr>
        <w:t xml:space="preserve"> — BC invoiced vs SF Closed Won reconciliation (live once P4 connector is built)</w:t>
      </w:r>
    </w:p>
    <w:p>
      <w:pPr>
        <w:pStyle w:val="ListParagraph"/>
        <w:numPr>
          <w:ilvl w:val="0"/>
          <w:numId w:val="2"/>
        </w:numPr>
        <w:spacing w:after="80" w:before="0"/>
      </w:pPr>
      <w:r>
        <w:rPr>
          <w:rFonts w:ascii="Calibri" w:cs="Calibri" w:eastAsia="Calibri" w:hAnsi="Calibri"/>
          <w:b/>
          <w:bCs/>
          <w:i w:val="false"/>
          <w:iCs w:val="false"/>
          <w:color w:val="1A1A2E"/>
          <w:sz w:val="22"/>
          <w:szCs w:val="22"/>
        </w:rPr>
        <w:t xml:space="preserve">People &amp; Capacity Dashboard</w:t>
      </w:r>
      <w:r>
        <w:rPr>
          <w:rFonts w:ascii="Calibri" w:cs="Calibri" w:eastAsia="Calibri" w:hAnsi="Calibri"/>
          <w:b w:val="false"/>
          <w:bCs w:val="false"/>
          <w:i w:val="false"/>
          <w:iCs w:val="false"/>
          <w:color w:val="1A1A2E"/>
          <w:sz w:val="22"/>
          <w:szCs w:val="22"/>
        </w:rPr>
        <w:t xml:space="preserve"> — </w:t>
      </w:r>
      <w:r>
        <w:rPr>
          <w:rFonts w:ascii="Courier New" w:cs="Courier New" w:eastAsia="Courier New" w:hAnsi="Courier New"/>
          <w:color w:val="1A5CA8"/>
          <w:sz w:val="20"/>
          <w:szCs w:val="20"/>
        </w:rPr>
        <w:t xml:space="preserve">BU_Services_People_Dashboard.html</w:t>
      </w:r>
      <w:r>
        <w:rPr>
          <w:rFonts w:ascii="Calibri" w:cs="Calibri" w:eastAsia="Calibri" w:hAnsi="Calibri"/>
          <w:b w:val="false"/>
          <w:bCs w:val="false"/>
          <w:i w:val="false"/>
          <w:iCs w:val="false"/>
          <w:color w:val="1A1A2E"/>
          <w:sz w:val="22"/>
          <w:szCs w:val="22"/>
        </w:rPr>
        <w:t xml:space="preserve"> — reads the BC exports Renée schedules</w:t>
      </w:r>
    </w:p>
    <w:p>
      <w:pPr>
        <w:spacing w:after="120" w:before="200"/>
      </w:pPr>
    </w:p>
    <w:p>
      <w:pPr>
        <w:pBdr>
          <w:bottom w:val="single" w:color="D0DCF0" w:sz="4" w:space="1"/>
        </w:pBdr>
        <w:spacing w:after="120" w:before="120"/>
      </w:pPr>
    </w:p>
    <w:p>
      <w:pPr>
        <w:spacing w:after="0" w:before="120"/>
      </w:pPr>
      <w:r>
        <w:rPr>
          <w:rFonts w:ascii="Calibri" w:cs="Calibri" w:eastAsia="Calibri" w:hAnsi="Calibri"/>
          <w:b w:val="false"/>
          <w:bCs w:val="false"/>
          <w:i w:val="false"/>
          <w:iCs w:val="false"/>
          <w:color w:val="6678A0"/>
          <w:sz w:val="18"/>
          <w:szCs w:val="18"/>
        </w:rPr>
        <w:t xml:space="preserve">Ekoscan Integrity Group  ·  Nucleom Inc.  ·  Confidential  ·  </w:t>
      </w:r>
      <w:r>
        <w:rPr>
          <w:rFonts w:ascii="Calibri" w:cs="Calibri" w:eastAsia="Calibri" w:hAnsi="Calibri"/>
          <w:b w:val="false"/>
          <w:bCs w:val="false"/>
          <w:i/>
          <w:iCs/>
          <w:color w:val="6678A0"/>
          <w:sz w:val="18"/>
          <w:szCs w:val="18"/>
        </w:rPr>
        <w:t xml:space="preserve">Prepared by Jon Eustace, CEO North America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F0" w:sz="4" w:space="4"/>
      </w:pBdr>
      <w:tabs>
        <w:tab w:val="right" w:pos="9026"/>
      </w:tabs>
      <w:spacing w:after="0" w:before="80"/>
    </w:pPr>
    <w:r>
      <w:rPr>
        <w:rFonts w:ascii="Calibri" w:cs="Calibri" w:eastAsia="Calibri" w:hAnsi="Calibri"/>
        <w:b w:val="false"/>
        <w:bCs w:val="false"/>
        <w:i w:val="false"/>
        <w:iCs w:val="false"/>
        <w:color w:val="6678A0"/>
        <w:sz w:val="18"/>
        <w:szCs w:val="18"/>
      </w:rPr>
      <w:t xml:space="preserve">Ekoscan Integrity Group · BU Services · Confidential</w:t>
    </w:r>
    <w:r>
      <w:rPr>
        <w:rFonts w:ascii="Calibri" w:cs="Calibri" w:eastAsia="Calibri" w:hAnsi="Calibri"/>
        <w:b w:val="false"/>
        <w:bCs w:val="false"/>
        <w:i/>
        <w:iCs/>
        <w:color w:val="6678A0"/>
        <w:sz w:val="18"/>
        <w:szCs w:val="18"/>
      </w:rPr>
      <w:t xml:space="preserve">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CF0" w:sz="4" w:space="4"/>
      </w:pBdr>
      <w:tabs>
        <w:tab w:val="right" w:pos="9026"/>
      </w:tabs>
      <w:spacing w:after="80" w:before="0"/>
    </w:pPr>
    <w:r>
      <w:rPr>
        <w:rFonts w:ascii="Calibri" w:cs="Calibri" w:eastAsia="Calibri" w:hAnsi="Calibri"/>
        <w:b w:val="false"/>
        <w:bCs w:val="false"/>
        <w:i w:val="false"/>
        <w:iCs w:val="false"/>
        <w:color w:val="6678A0"/>
        <w:sz w:val="18"/>
        <w:szCs w:val="18"/>
      </w:rPr>
      <w:t xml:space="preserve">Role Brief — Renée Lachance</w:t>
    </w:r>
    <w:r>
      <w:rPr>
        <w:rFonts w:ascii="Calibri" w:cs="Calibri" w:eastAsia="Calibri" w:hAnsi="Calibri"/>
        <w:b w:val="false"/>
        <w:bCs w:val="false"/>
        <w:i w:val="false"/>
        <w:iCs w:val="false"/>
        <w:color w:val="1A1A2E"/>
        <w:sz w:val="18"/>
        <w:szCs w:val="18"/>
      </w:rPr>
      <w:t xml:space="preserve">	</w:t>
    </w:r>
    <w:r>
      <w:rPr>
        <w:rFonts w:ascii="Calibri" w:cs="Calibri" w:eastAsia="Calibri" w:hAnsi="Calibri"/>
        <w:b w:val="false"/>
        <w:bCs w:val="false"/>
        <w:i/>
        <w:iCs/>
        <w:color w:val="6678A0"/>
        <w:sz w:val="18"/>
        <w:szCs w:val="18"/>
      </w:rPr>
      <w:t xml:space="preserve">Nucleom Inc.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A1F5C"/>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1A5C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2026-04-20T19:27:12.903Z</dcterms:created>
  <dcterms:modified xsi:type="dcterms:W3CDTF">2026-04-20T19:27:12.904Z</dcterms:modified>
</cp:coreProperties>
</file>

<file path=docProps/custom.xml><?xml version="1.0" encoding="utf-8"?>
<Properties xmlns="http://schemas.openxmlformats.org/officeDocument/2006/custom-properties" xmlns:vt="http://schemas.openxmlformats.org/officeDocument/2006/docPropsVTypes"/>
</file>