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caps/>
          <w:color w:val="6678A0"/>
          <w:spacing w:val="80"/>
          <w:sz w:val="18"/>
          <w:szCs w:val="18"/>
        </w:rPr>
        <w:t xml:space="preserve">EKOSCAN INTEGRITY GROUP — BU SERVICES</w:t>
      </w:r>
    </w:p>
    <w:p>
      <w:pPr>
        <w:spacing w:after="120"/>
      </w:pPr>
      <w:r>
        <w:rPr>
          <w:rFonts w:ascii="Arial" w:cs="Arial" w:eastAsia="Arial" w:hAnsi="Arial"/>
          <w:b/>
          <w:bCs/>
          <w:color w:val="0A1F5C"/>
          <w:sz w:val="52"/>
          <w:szCs w:val="52"/>
        </w:rPr>
        <w:t xml:space="preserve">Salesforce Conference Entry Guide</w:t>
      </w:r>
    </w:p>
    <w:p>
      <w:pPr>
        <w:spacing w:after="80"/>
      </w:pPr>
      <w:r>
        <w:rPr>
          <w:rFonts w:ascii="Arial" w:cs="Arial" w:eastAsia="Arial" w:hAnsi="Arial"/>
          <w:color w:val="1A5CA8"/>
          <w:sz w:val="26"/>
          <w:szCs w:val="26"/>
        </w:rPr>
        <w:t xml:space="preserve">How to enter leads, opportunities, and contacts after every BU Services conference</w:t>
      </w:r>
    </w:p>
    <w:p>
      <w:pPr>
        <w:pBdr>
          <w:bottom w:val="single" w:color="00AEEF" w:sz="4" w:space="1"/>
        </w:pBdr>
        <w:spacing w:after="160" w:before="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4"/>
              <w:bottom w:val="single" w:color="B91C1C" w:sz="4"/>
              <w:right w:val="single" w:color="B91C1C" w:sz="4"/>
            </w:tcBorders>
            <w:shd w:fill="FEE2E2" w:val="clear"/>
            <w:tcMar>
              <w:top w:type="dxa" w:w="100"/>
              <w:left w:type="dxa" w:w="200"/>
              <w:bottom w:type="dxa" w:w="100"/>
              <w:right w:type="dxa" w:w="200"/>
            </w:tcMar>
          </w:tcPr>
          <w:p>
            <w:r>
              <w:rPr>
                <w:rFonts w:ascii="Arial" w:cs="Arial" w:eastAsia="Arial" w:hAnsi="Arial"/>
                <w:b/>
                <w:bCs/>
                <w:color w:val="B91C1C"/>
                <w:sz w:val="20"/>
                <w:szCs w:val="20"/>
              </w:rPr>
              <w:t xml:space="preserve">🔴  The 48-Hour Rule — Non-Negotiable</w:t>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00"/>
              <w:bottom w:type="dxa" w:w="60"/>
              <w:right w:type="dxa" w:w="200"/>
            </w:tcMar>
          </w:tcPr>
          <w:p>
            <w:pPr>
              <w:spacing w:after="80"/>
            </w:pPr>
            <w:r>
              <w:rPr>
                <w:rFonts w:ascii="Arial" w:cs="Arial" w:eastAsia="Arial" w:hAnsi="Arial"/>
                <w:color w:val="1A2A4A"/>
                <w:sz w:val="19"/>
                <w:szCs w:val="19"/>
              </w:rPr>
              <w:t xml:space="preserve">Every lead and contact you collect at a BU Services conference MUST be entered into Salesforce within 48 hours of returning home.</w:t>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00"/>
              <w:bottom w:type="dxa" w:w="60"/>
              <w:right w:type="dxa" w:w="200"/>
            </w:tcMar>
          </w:tcPr>
          <w:p>
            <w:pPr>
              <w:spacing w:after="80"/>
            </w:pPr>
            <w:r>
              <w:rPr>
                <w:rFonts w:ascii="Arial" w:cs="Arial" w:eastAsia="Arial" w:hAnsi="Arial"/>
                <w:color w:val="1A2A4A"/>
                <w:sz w:val="19"/>
                <w:szCs w:val="19"/>
              </w:rPr>
              <w:t xml:space="preserve"/>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00"/>
              <w:bottom w:type="dxa" w:w="60"/>
              <w:right w:type="dxa" w:w="200"/>
            </w:tcMar>
          </w:tcPr>
          <w:p>
            <w:pPr>
              <w:spacing w:after="80"/>
            </w:pPr>
            <w:r>
              <w:rPr>
                <w:rFonts w:ascii="Arial" w:cs="Arial" w:eastAsia="Arial" w:hAnsi="Arial"/>
                <w:color w:val="1A2A4A"/>
                <w:sz w:val="19"/>
                <w:szCs w:val="19"/>
              </w:rPr>
              <w:t xml:space="preserve">This is not a suggestion. The Sunday Power Automate flow reads Salesforce to calculate conference ROI, update the Command Centre, and generate the Monday morning commercial KPI email. If you don't enter leads, the system shows zeros — and the data Jon presents to Eurazeo will be wrong.</w:t>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00"/>
              <w:bottom w:type="dxa" w:w="60"/>
              <w:right w:type="dxa" w:w="200"/>
            </w:tcMar>
          </w:tcPr>
          <w:p>
            <w:pPr>
              <w:spacing w:after="80"/>
            </w:pPr>
            <w:r>
              <w:rPr>
                <w:rFonts w:ascii="Arial" w:cs="Arial" w:eastAsia="Arial" w:hAnsi="Arial"/>
                <w:color w:val="1A2A4A"/>
                <w:sz w:val="19"/>
                <w:szCs w:val="19"/>
              </w:rPr>
              <w:t xml:space="preserve"/>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00"/>
              <w:bottom w:type="dxa" w:w="60"/>
              <w:right w:type="dxa" w:w="200"/>
            </w:tcMar>
          </w:tcPr>
          <w:p>
            <w:pPr>
              <w:spacing w:after="80"/>
            </w:pPr>
            <w:r>
              <w:rPr>
                <w:rFonts w:ascii="Arial" w:cs="Arial" w:eastAsia="Arial" w:hAnsi="Arial"/>
                <w:color w:val="1A2A4A"/>
                <w:sz w:val="19"/>
                <w:szCs w:val="19"/>
              </w:rPr>
              <w:t xml:space="preserve">No exceptions. No 'I'll do it next week.' 48 hours.</w:t>
            </w:r>
          </w:p>
        </w:tc>
      </w:tr>
    </w:tbl>
    <w:p>
      <w:pPr>
        <w:spacing w:after="80"/>
      </w:pPr>
    </w:p>
    <w:p>
      <w:pPr>
        <w:spacing w:after="80"/>
      </w:pPr>
      <w:r>
        <w:rPr>
          <w:rFonts w:ascii="Arial" w:cs="Arial" w:eastAsia="Arial" w:hAnsi="Arial"/>
          <w:b/>
          <w:bCs/>
          <w:color w:val="0A1F5C"/>
          <w:sz w:val="20"/>
          <w:szCs w:val="20"/>
        </w:rPr>
        <w:t xml:space="preserve">Who this guide is for:</w:t>
      </w:r>
    </w:p>
    <w:p>
      <w:pPr>
        <w:pStyle w:val="ListParagraph"/>
        <w:numPr>
          <w:ilvl w:val="0"/>
          <w:numId w:val="2"/>
        </w:numPr>
        <w:spacing w:after="80"/>
      </w:pPr>
      <w:r>
        <w:rPr>
          <w:rFonts w:ascii="Arial" w:cs="Arial" w:eastAsia="Arial" w:hAnsi="Arial"/>
          <w:color w:val="1A2A4A"/>
          <w:sz w:val="20"/>
          <w:szCs w:val="20"/>
        </w:rPr>
        <w:t xml:space="preserve">Commercial attendees — Vinoth, Max, Rick, Mathieu, Olivier, Alex, and anyone attending a BU Services conference</w:t>
      </w:r>
    </w:p>
    <w:p>
      <w:pPr>
        <w:pStyle w:val="ListParagraph"/>
        <w:numPr>
          <w:ilvl w:val="0"/>
          <w:numId w:val="2"/>
        </w:numPr>
        <w:spacing w:after="80"/>
      </w:pPr>
      <w:r>
        <w:rPr>
          <w:rFonts w:ascii="Arial" w:cs="Arial" w:eastAsia="Arial" w:hAnsi="Arial"/>
          <w:color w:val="1A2A4A"/>
          <w:sz w:val="20"/>
          <w:szCs w:val="20"/>
        </w:rPr>
        <w:t xml:space="preserve">Éric Carmichael — Section 4 covers the Salesforce configuration he needs to verify/build to support conference tracking</w:t>
      </w:r>
    </w:p>
    <w:p>
      <w:pPr>
        <w:spacing w:after="80"/>
      </w:pPr>
    </w:p>
    <w:p>
      <w:r>
        <w:br w:type="page"/>
      </w:r>
    </w:p>
    <w:p>
      <w:pPr>
        <w:pStyle w:val="Heading1"/>
      </w:pPr>
      <w:r>
        <w:t xml:space="preserve">1.  Quick Reference — What to Enter and Where</w:t>
      </w:r>
    </w:p>
    <w:p>
      <w:pPr>
        <w:spacing w:after="120"/>
      </w:pPr>
      <w:r>
        <w:rPr>
          <w:rFonts w:ascii="Arial" w:cs="Arial" w:eastAsia="Arial" w:hAnsi="Arial"/>
          <w:sz w:val="20"/>
          <w:szCs w:val="20"/>
        </w:rPr>
        <w:t xml:space="preserve">Every time you meet someone relevant at a conference, you create one of three things in Salesforce depending on how qualified they are: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pPr>
              <w:jc w:val="left"/>
            </w:pPr>
            <w:r>
              <w:rPr>
                <w:rFonts w:ascii="Arial" w:cs="Arial" w:eastAsia="Arial" w:hAnsi="Arial"/>
                <w:b/>
                <w:bCs/>
                <w:color w:val="FFFFFF"/>
                <w:sz w:val="18"/>
                <w:szCs w:val="18"/>
              </w:rPr>
              <w:t xml:space="preserve">What you create</w:t>
            </w:r>
          </w:p>
        </w:tc>
        <w:tc>
          <w:tcPr>
            <w:tcW w:type="dxa" w:w="24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pPr>
              <w:jc w:val="left"/>
            </w:pPr>
            <w:r>
              <w:rPr>
                <w:rFonts w:ascii="Arial" w:cs="Arial" w:eastAsia="Arial" w:hAnsi="Arial"/>
                <w:b/>
                <w:bCs/>
                <w:color w:val="FFFFFF"/>
                <w:sz w:val="18"/>
                <w:szCs w:val="18"/>
              </w:rPr>
              <w:t xml:space="preserve">When to use it</w:t>
            </w:r>
          </w:p>
        </w:tc>
        <w:tc>
          <w:tcPr>
            <w:tcW w:type="dxa" w:w="24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pPr>
              <w:jc w:val="left"/>
            </w:pPr>
            <w:r>
              <w:rPr>
                <w:rFonts w:ascii="Arial" w:cs="Arial" w:eastAsia="Arial" w:hAnsi="Arial"/>
                <w:b/>
                <w:bCs/>
                <w:color w:val="FFFFFF"/>
                <w:sz w:val="18"/>
                <w:szCs w:val="18"/>
              </w:rPr>
              <w:t xml:space="preserve">Key fields to fill</w:t>
            </w:r>
          </w:p>
        </w:tc>
        <w:tc>
          <w:tcPr>
            <w:tcW w:type="dxa" w:w="276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pPr>
              <w:jc w:val="left"/>
            </w:pPr>
            <w:r>
              <w:rPr>
                <w:rFonts w:ascii="Arial" w:cs="Arial" w:eastAsia="Arial" w:hAnsi="Arial"/>
                <w:b/>
                <w:bCs/>
                <w:color w:val="FFFFFF"/>
                <w:sz w:val="18"/>
                <w:szCs w:val="18"/>
              </w:rPr>
              <w:t xml:space="preserve">What happens next</w:t>
            </w:r>
          </w:p>
        </w:tc>
      </w:tr>
      <w:tr>
        <w:tc>
          <w:tcPr>
            <w:tcW w:type="dxa" w:w="1800"/>
            <w:tcBorders>
              <w:top w:val="single" w:color="D0DCF0" w:sz="1"/>
              <w:left w:val="single" w:color="D0DCF0" w:sz="1"/>
              <w:bottom w:val="single" w:color="D0DCF0" w:sz="1"/>
              <w:right w:val="single" w:color="D0DCF0" w:sz="1"/>
            </w:tcBorders>
            <w:shd w:fill="DCFCE7" w:val="clear"/>
            <w:tcMar>
              <w:top w:type="dxa" w:w="70"/>
              <w:left w:type="dxa" w:w="140"/>
              <w:bottom w:type="dxa" w:w="70"/>
              <w:right w:type="dxa" w:w="140"/>
            </w:tcMar>
          </w:tcPr>
          <w:p>
            <w:pPr>
              <w:jc w:val="left"/>
            </w:pPr>
            <w:r>
              <w:rPr>
                <w:rFonts w:ascii="Arial" w:cs="Arial" w:eastAsia="Arial" w:hAnsi="Arial"/>
                <w:b/>
                <w:bCs/>
                <w:color w:val="16A34A"/>
                <w:sz w:val="20"/>
                <w:szCs w:val="20"/>
              </w:rPr>
              <w:t xml:space="preserve">LEAD</w:t>
            </w:r>
          </w:p>
        </w:tc>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9"/>
                <w:szCs w:val="19"/>
              </w:rPr>
              <w:t xml:space="preserve">Someone you met who might become a client. No existing relationship in SF.</w:t>
            </w:r>
          </w:p>
        </w:tc>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First Name, Last Name, Company, Title, Email, Phone, Lead Source = Conference Name, BU_Initiative__c</w:t>
            </w:r>
          </w:p>
        </w:tc>
        <w:tc>
          <w:tcPr>
            <w:tcW w:type="dxa" w:w="27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Rick/Vinoth/Max follows up within 5 days. If qualified: Convert to Contact + Account + Opportunity.</w:t>
            </w:r>
          </w:p>
        </w:tc>
      </w:tr>
      <w:tr>
        <w:tc>
          <w:tcPr>
            <w:tcW w:type="dxa" w:w="1800"/>
            <w:tcBorders>
              <w:top w:val="single" w:color="D0DCF0" w:sz="1"/>
              <w:left w:val="single" w:color="D0DCF0" w:sz="1"/>
              <w:bottom w:val="single" w:color="D0DCF0" w:sz="1"/>
              <w:right w:val="single" w:color="D0DCF0" w:sz="1"/>
            </w:tcBorders>
            <w:shd w:fill="FEF3C7" w:val="clear"/>
            <w:tcMar>
              <w:top w:type="dxa" w:w="70"/>
              <w:left w:type="dxa" w:w="140"/>
              <w:bottom w:type="dxa" w:w="70"/>
              <w:right w:type="dxa" w:w="140"/>
            </w:tcMar>
          </w:tcPr>
          <w:p>
            <w:pPr>
              <w:jc w:val="left"/>
            </w:pPr>
            <w:r>
              <w:rPr>
                <w:rFonts w:ascii="Arial" w:cs="Arial" w:eastAsia="Arial" w:hAnsi="Arial"/>
                <w:b/>
                <w:bCs/>
                <w:color w:val="C9860A"/>
                <w:sz w:val="20"/>
                <w:szCs w:val="20"/>
              </w:rPr>
              <w:t xml:space="preserve">CONTACT</w:t>
            </w:r>
          </w:p>
        </w:tc>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9"/>
                <w:szCs w:val="19"/>
              </w:rPr>
              <w:t xml:space="preserve">Someone already in Salesforce (existing client, known contact). Just update their record and log the interaction.</w:t>
            </w:r>
          </w:p>
        </w:tc>
        <w:tc>
          <w:tcPr>
            <w:tcW w:type="dxa" w:w="2400"/>
            <w:tcBorders>
              <w:top w:val="single" w:color="D0DCF0" w:sz="1"/>
              <w:left w:val="single" w:color="D0DCF0" w:sz="1"/>
              <w:bottom w:val="single" w:color="D0DCF0" w:sz="1"/>
              <w:right w:val="single" w:color="D0DCF0" w:sz="1"/>
            </w:tcBorders>
            <w:shd w:fill="FEF3C7"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Log an Activity: type = 'Conference Meeting', Subject = conference name + date. Add notes.</w:t>
            </w:r>
          </w:p>
        </w:tc>
        <w:tc>
          <w:tcPr>
            <w:tcW w:type="dxa" w:w="27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Activity appears in the contact timeline. Triggers follow-up task.</w:t>
            </w:r>
          </w:p>
        </w:tc>
      </w:tr>
      <w:tr>
        <w:tc>
          <w:tcPr>
            <w:tcW w:type="dxa" w:w="1800"/>
            <w:tcBorders>
              <w:top w:val="single" w:color="D0DCF0" w:sz="1"/>
              <w:left w:val="single" w:color="D0DCF0" w:sz="1"/>
              <w:bottom w:val="single" w:color="D0DCF0" w:sz="1"/>
              <w:right w:val="single" w:color="D0DCF0" w:sz="1"/>
            </w:tcBorders>
            <w:shd w:fill="EDE9FE" w:val="clear"/>
            <w:tcMar>
              <w:top w:type="dxa" w:w="70"/>
              <w:left w:type="dxa" w:w="140"/>
              <w:bottom w:type="dxa" w:w="70"/>
              <w:right w:type="dxa" w:w="140"/>
            </w:tcMar>
          </w:tcPr>
          <w:p>
            <w:pPr>
              <w:jc w:val="left"/>
            </w:pPr>
            <w:r>
              <w:rPr>
                <w:rFonts w:ascii="Arial" w:cs="Arial" w:eastAsia="Arial" w:hAnsi="Arial"/>
                <w:b/>
                <w:bCs/>
                <w:color w:val="6D28D9"/>
                <w:sz w:val="20"/>
                <w:szCs w:val="20"/>
              </w:rPr>
              <w:t xml:space="preserve">OPPORTUNITY</w:t>
            </w:r>
          </w:p>
        </w:tc>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9"/>
                <w:szCs w:val="19"/>
              </w:rPr>
              <w:t xml:space="preserve">A specific piece of work is on the table — they've expressed interest in a project, outage, or service.</w:t>
            </w:r>
          </w:p>
        </w:tc>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Opportunity Name, Account, Stage = Qualifying, BU_Initiative__c, Lead Source = Conference Name, Amount estimate, Close Date estimate.</w:t>
            </w:r>
          </w:p>
        </w:tc>
        <w:tc>
          <w:tcPr>
            <w:tcW w:type="dxa" w:w="27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Enters the commercial pipeline. Appears in Command Centre initiative progress. Jon reviews weekly.</w:t>
            </w:r>
          </w:p>
        </w:tc>
      </w:tr>
    </w:tbl>
    <w:p>
      <w:pPr>
        <w:spacing w:after="80"/>
      </w:pPr>
    </w:p>
    <w:p>
      <w:pPr>
        <w:spacing w:after="80"/>
      </w:pPr>
      <w:r>
        <w:rPr>
          <w:rFonts w:ascii="Arial" w:cs="Arial" w:eastAsia="Arial" w:hAnsi="Arial"/>
          <w:i/>
          <w:iCs/>
          <w:color w:val="6678A0"/>
          <w:sz w:val="18"/>
          <w:szCs w:val="18"/>
        </w:rPr>
        <w:t xml:space="preserve">Note: When in doubt, create a Lead. It takes 2 minutes and can be converted later. Not entering anything is never the right answer.</w:t>
      </w:r>
    </w:p>
    <w:p>
      <w:pPr>
        <w:spacing w:after="80"/>
      </w:pPr>
    </w:p>
    <w:p>
      <w:pPr>
        <w:pStyle w:val="Heading1"/>
      </w:pPr>
      <w:r>
        <w:t xml:space="preserve">2.  Step-by-Step — Creating a Lead After a Conference</w:t>
      </w:r>
    </w:p>
    <w:p>
      <w:pPr>
        <w:spacing w:after="120"/>
      </w:pPr>
      <w:r>
        <w:rPr>
          <w:rFonts w:ascii="Arial" w:cs="Arial" w:eastAsia="Arial" w:hAnsi="Arial"/>
          <w:sz w:val="20"/>
          <w:szCs w:val="20"/>
        </w:rPr>
        <w:t xml:space="preserve">Follow these exact steps when you get back to the office (or hotel room — the sooner the better):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A1F5C" w:sz="4"/>
              <w:left w:val="single" w:color="0A1F5C" w:sz="4"/>
              <w:bottom w:val="single" w:color="0A1F5C" w:sz="4"/>
              <w:right w:val="single" w:color="0A1F5C" w:sz="4"/>
            </w:tcBorders>
            <w:shd w:fill="0A1F5C" w:val="clear"/>
            <w:tcMar>
              <w:top w:type="dxa" w:w="100"/>
              <w:left w:type="dxa" w:w="100"/>
              <w:bottom w:type="dxa" w:w="100"/>
              <w:right w:type="dxa" w:w="100"/>
            </w:tcMar>
            <w:vAlign w:val="center"/>
          </w:tcPr>
          <w:p>
            <w:pPr>
              <w:jc w:val="center"/>
            </w:pPr>
            <w:r>
              <w:rPr>
                <w:rFonts w:ascii="Arial" w:cs="Arial" w:eastAsia="Arial" w:hAnsi="Arial"/>
                <w:b/>
                <w:bCs/>
                <w:color w:val="FFFFFF"/>
                <w:sz w:val="36"/>
                <w:szCs w:val="36"/>
              </w:rPr>
              <w:t xml:space="preserve">1</w:t>
            </w:r>
          </w:p>
        </w:tc>
        <w:tc>
          <w:tcPr>
            <w:tcW w:type="dxa" w:w="8800"/>
            <w:tcBorders>
              <w:top w:val="single" w:color="0A1F5C" w:sz="4"/>
              <w:left w:val="single" w:color="0A1F5C" w:sz="4"/>
              <w:bottom w:val="single" w:color="0A1F5C" w:sz="4"/>
              <w:right w:val="single" w:color="0A1F5C" w:sz="4"/>
            </w:tcBorders>
            <w:shd w:fill="F4F7FB" w:val="clear"/>
            <w:tcMar>
              <w:top w:type="dxa" w:w="100"/>
              <w:left w:type="dxa" w:w="200"/>
              <w:bottom w:type="dxa" w:w="100"/>
              <w:right w:type="dxa" w:w="200"/>
            </w:tcMar>
          </w:tcPr>
          <w:p>
            <w:pPr>
              <w:spacing w:after="60"/>
            </w:pPr>
            <w:r>
              <w:rPr>
                <w:rFonts w:ascii="Arial" w:cs="Arial" w:eastAsia="Arial" w:hAnsi="Arial"/>
                <w:b/>
                <w:bCs/>
                <w:color w:val="0A1F5C"/>
                <w:sz w:val="22"/>
                <w:szCs w:val="22"/>
              </w:rPr>
              <w:t xml:space="preserve">Go to Salesforce and navigate to Leads</w:t>
            </w:r>
          </w:p>
          <w:p>
            <w:pPr>
              <w:spacing w:after="60"/>
            </w:pPr>
            <w:r>
              <w:rPr>
                <w:rFonts w:ascii="Arial" w:cs="Arial" w:eastAsia="Arial" w:hAnsi="Arial"/>
                <w:color w:val="1A2A4A"/>
                <w:sz w:val="19"/>
                <w:szCs w:val="19"/>
              </w:rPr>
              <w:t xml:space="preserve">URL: your Salesforce org URL (same one you always use)</w:t>
            </w:r>
          </w:p>
          <w:p>
            <w:pPr>
              <w:spacing w:after="60"/>
            </w:pPr>
            <w:r>
              <w:rPr>
                <w:rFonts w:ascii="Arial" w:cs="Arial" w:eastAsia="Arial" w:hAnsi="Arial"/>
                <w:color w:val="1A2A4A"/>
                <w:sz w:val="19"/>
                <w:szCs w:val="19"/>
              </w:rPr>
              <w:t xml:space="preserve">Top navigation: click the grid icon → Leads  OR  type 'Leads' in the search bar</w:t>
            </w:r>
          </w:p>
          <w:p>
            <w:pPr>
              <w:spacing w:after="60"/>
            </w:pPr>
            <w:r>
              <w:rPr>
                <w:rFonts w:ascii="Arial" w:cs="Arial" w:eastAsia="Arial" w:hAnsi="Arial"/>
                <w:color w:val="1A2A4A"/>
                <w:sz w:val="19"/>
                <w:szCs w:val="19"/>
              </w:rPr>
              <w:t xml:space="preserve">Click the blue 'New' button (top right)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A1F5C" w:sz="4"/>
              <w:left w:val="single" w:color="0A1F5C" w:sz="4"/>
              <w:bottom w:val="single" w:color="0A1F5C" w:sz="4"/>
              <w:right w:val="single" w:color="0A1F5C" w:sz="4"/>
            </w:tcBorders>
            <w:shd w:fill="B91C1C" w:val="clear"/>
            <w:tcMar>
              <w:top w:type="dxa" w:w="100"/>
              <w:left w:type="dxa" w:w="100"/>
              <w:bottom w:type="dxa" w:w="100"/>
              <w:right w:type="dxa" w:w="100"/>
            </w:tcMar>
            <w:vAlign w:val="center"/>
          </w:tcPr>
          <w:p>
            <w:pPr>
              <w:jc w:val="center"/>
            </w:pPr>
            <w:r>
              <w:rPr>
                <w:rFonts w:ascii="Arial" w:cs="Arial" w:eastAsia="Arial" w:hAnsi="Arial"/>
                <w:b/>
                <w:bCs/>
                <w:color w:val="FFFFFF"/>
                <w:sz w:val="36"/>
                <w:szCs w:val="36"/>
              </w:rPr>
              <w:t xml:space="preserve">2</w:t>
            </w:r>
          </w:p>
        </w:tc>
        <w:tc>
          <w:tcPr>
            <w:tcW w:type="dxa" w:w="8800"/>
            <w:tcBorders>
              <w:top w:val="single" w:color="0A1F5C" w:sz="4"/>
              <w:left w:val="single" w:color="0A1F5C" w:sz="4"/>
              <w:bottom w:val="single" w:color="0A1F5C" w:sz="4"/>
              <w:right w:val="single" w:color="0A1F5C" w:sz="4"/>
            </w:tcBorders>
            <w:shd w:fill="F4F7FB" w:val="clear"/>
            <w:tcMar>
              <w:top w:type="dxa" w:w="100"/>
              <w:left w:type="dxa" w:w="200"/>
              <w:bottom w:type="dxa" w:w="100"/>
              <w:right w:type="dxa" w:w="200"/>
            </w:tcMar>
          </w:tcPr>
          <w:p>
            <w:pPr>
              <w:spacing w:after="60"/>
            </w:pPr>
            <w:r>
              <w:rPr>
                <w:rFonts w:ascii="Arial" w:cs="Arial" w:eastAsia="Arial" w:hAnsi="Arial"/>
                <w:b/>
                <w:bCs/>
                <w:color w:val="B91C1C"/>
                <w:sz w:val="22"/>
                <w:szCs w:val="22"/>
              </w:rPr>
              <w:t xml:space="preserve">Fill in the Lead record — these fields are MANDATORY</w:t>
            </w:r>
          </w:p>
          <w:p>
            <w:pPr>
              <w:spacing w:after="60"/>
            </w:pPr>
            <w:r>
              <w:rPr>
                <w:rFonts w:ascii="Arial" w:cs="Arial" w:eastAsia="Arial" w:hAnsi="Arial"/>
                <w:color w:val="1A2A4A"/>
                <w:sz w:val="19"/>
                <w:szCs w:val="19"/>
              </w:rPr>
              <w:t xml:space="preserve">See the field-by-field guide below. Red asterisk (*) fields are required by Salesforce.</w:t>
            </w:r>
          </w:p>
          <w:p>
            <w:pPr>
              <w:spacing w:after="60"/>
            </w:pPr>
            <w:r>
              <w:rPr>
                <w:rFonts w:ascii="Arial" w:cs="Arial" w:eastAsia="Arial" w:hAnsi="Arial"/>
                <w:color w:val="1A2A4A"/>
                <w:sz w:val="19"/>
                <w:szCs w:val="19"/>
              </w:rPr>
              <w:t xml:space="preserve">The BU_Initiative__c and Lead Source fields are critical for reporting — do not leave them blank.</w:t>
            </w:r>
          </w:p>
          <w:p>
            <w:pPr>
              <w:spacing w:after="60"/>
            </w:pPr>
            <w:r>
              <w:rPr>
                <w:rFonts w:ascii="Arial" w:cs="Arial" w:eastAsia="Arial" w:hAnsi="Arial"/>
                <w:color w:val="1A2A4A"/>
                <w:sz w:val="19"/>
                <w:szCs w:val="19"/>
              </w:rPr>
              <w:t xml:space="preserve">If you are unsure of their exact title or email, enter what you have and note 'verify' in the Description field.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Lead Record — Field-by-Field Guide</w:t>
            </w:r>
          </w:p>
        </w:tc>
      </w:tr>
      <w:tr>
        <w:tc>
          <w:tcPr>
            <w:tcW w:type="dxa" w:w="9360"/>
            <w:tcBorders>
              <w:top w:val="single" w:color="D0DCF0" w:sz="1"/>
              <w:left w:val="single" w:color="D0DCF0" w:sz="1"/>
              <w:bottom w:val="single" w:color="D0DCF0" w:sz="1"/>
              <w:right w:val="single" w:color="D0DCF0" w:sz="1"/>
            </w:tcBorders>
            <w:shd w:fill="F4F7FB" w:val="clear"/>
            <w:tcMar>
              <w:top w:type="dxa" w:w="70"/>
              <w:left w:type="dxa" w:w="160"/>
              <w:bottom w:type="dxa" w:w="70"/>
              <w:right w:type="dxa" w:w="160"/>
            </w:tcMar>
          </w:tcPr>
          <w:p>
            <w:r>
              <w:rPr>
                <w:rFonts w:ascii="Arial" w:cs="Arial" w:eastAsia="Arial" w:hAnsi="Arial"/>
                <w:b/>
                <w:bCs/>
                <w:color w:val="B91C1C"/>
                <w:sz w:val="18"/>
                <w:szCs w:val="18"/>
              </w:rPr>
              <w:t xml:space="preserve">First Name * *</w:t>
            </w:r>
            <w:r>
              <w:rPr>
                <w:rFonts w:ascii="Arial" w:cs="Arial" w:eastAsia="Arial" w:hAnsi="Arial"/>
                <w:color w:val="6678A0"/>
                <w:sz w:val="18"/>
                <w:szCs w:val="18"/>
              </w:rPr>
              <w:t xml:space="preserve">   →   </w:t>
            </w:r>
            <w:r>
              <w:rPr>
                <w:rFonts w:ascii="Courier New" w:cs="Courier New" w:eastAsia="Courier New" w:hAnsi="Courier New"/>
                <w:color w:val="1A5CA8"/>
                <w:sz w:val="18"/>
                <w:szCs w:val="18"/>
                <w:shd w:fill="EFF6FF" w:val="clear"/>
              </w:rPr>
              <w:t xml:space="preserve">Contact's first name</w:t>
            </w:r>
          </w:p>
        </w:tc>
      </w:tr>
      <w:tr>
        <w:tc>
          <w:tcPr>
            <w:tcW w:type="dxa" w:w="9360"/>
            <w:tcBorders>
              <w:top w:val="single" w:color="D0DCF0" w:sz="1"/>
              <w:left w:val="single" w:color="D0DCF0" w:sz="1"/>
              <w:bottom w:val="single" w:color="D0DCF0" w:sz="1"/>
              <w:right w:val="single" w:color="D0DCF0" w:sz="1"/>
            </w:tcBorders>
            <w:shd w:fill="FFFFFF" w:val="clear"/>
            <w:tcMar>
              <w:top w:type="dxa" w:w="70"/>
              <w:left w:type="dxa" w:w="160"/>
              <w:bottom w:type="dxa" w:w="70"/>
              <w:right w:type="dxa" w:w="160"/>
            </w:tcMar>
          </w:tcPr>
          <w:p>
            <w:r>
              <w:rPr>
                <w:rFonts w:ascii="Arial" w:cs="Arial" w:eastAsia="Arial" w:hAnsi="Arial"/>
                <w:b/>
                <w:bCs/>
                <w:color w:val="B91C1C"/>
                <w:sz w:val="18"/>
                <w:szCs w:val="18"/>
              </w:rPr>
              <w:t xml:space="preserve">Last Name * *</w:t>
            </w:r>
            <w:r>
              <w:rPr>
                <w:rFonts w:ascii="Arial" w:cs="Arial" w:eastAsia="Arial" w:hAnsi="Arial"/>
                <w:color w:val="6678A0"/>
                <w:sz w:val="18"/>
                <w:szCs w:val="18"/>
              </w:rPr>
              <w:t xml:space="preserve">   →   </w:t>
            </w:r>
            <w:r>
              <w:rPr>
                <w:rFonts w:ascii="Courier New" w:cs="Courier New" w:eastAsia="Courier New" w:hAnsi="Courier New"/>
                <w:color w:val="1A5CA8"/>
                <w:sz w:val="18"/>
                <w:szCs w:val="18"/>
                <w:shd w:fill="EFF6FF" w:val="clear"/>
              </w:rPr>
              <w:t xml:space="preserve">Contact's last name</w:t>
            </w:r>
          </w:p>
        </w:tc>
      </w:tr>
      <w:tr>
        <w:tc>
          <w:tcPr>
            <w:tcW w:type="dxa" w:w="9360"/>
            <w:tcBorders>
              <w:top w:val="single" w:color="D0DCF0" w:sz="1"/>
              <w:left w:val="single" w:color="D0DCF0" w:sz="1"/>
              <w:bottom w:val="single" w:color="D0DCF0" w:sz="1"/>
              <w:right w:val="single" w:color="D0DCF0" w:sz="1"/>
            </w:tcBorders>
            <w:shd w:fill="F4F7FB" w:val="clear"/>
            <w:tcMar>
              <w:top w:type="dxa" w:w="70"/>
              <w:left w:type="dxa" w:w="160"/>
              <w:bottom w:type="dxa" w:w="70"/>
              <w:right w:type="dxa" w:w="160"/>
            </w:tcMar>
          </w:tcPr>
          <w:p>
            <w:r>
              <w:rPr>
                <w:rFonts w:ascii="Arial" w:cs="Arial" w:eastAsia="Arial" w:hAnsi="Arial"/>
                <w:b/>
                <w:bCs/>
                <w:color w:val="B91C1C"/>
                <w:sz w:val="18"/>
                <w:szCs w:val="18"/>
              </w:rPr>
              <w:t xml:space="preserve">Company * *</w:t>
            </w:r>
            <w:r>
              <w:rPr>
                <w:rFonts w:ascii="Arial" w:cs="Arial" w:eastAsia="Arial" w:hAnsi="Arial"/>
                <w:color w:val="6678A0"/>
                <w:sz w:val="18"/>
                <w:szCs w:val="18"/>
              </w:rPr>
              <w:t xml:space="preserve">   →   </w:t>
            </w:r>
            <w:r>
              <w:rPr>
                <w:rFonts w:ascii="Courier New" w:cs="Courier New" w:eastAsia="Courier New" w:hAnsi="Courier New"/>
                <w:color w:val="1A5CA8"/>
                <w:sz w:val="18"/>
                <w:szCs w:val="18"/>
                <w:shd w:fill="EFF6FF" w:val="clear"/>
              </w:rPr>
              <w:t xml:space="preserve">Their company / employer</w:t>
            </w:r>
          </w:p>
        </w:tc>
      </w:tr>
      <w:tr>
        <w:tc>
          <w:tcPr>
            <w:tcW w:type="dxa" w:w="9360"/>
            <w:tcBorders>
              <w:top w:val="single" w:color="D0DCF0" w:sz="1"/>
              <w:left w:val="single" w:color="D0DCF0" w:sz="1"/>
              <w:bottom w:val="single" w:color="D0DCF0" w:sz="1"/>
              <w:right w:val="single" w:color="D0DCF0" w:sz="1"/>
            </w:tcBorders>
            <w:shd w:fill="FFFFFF" w:val="clear"/>
            <w:tcMar>
              <w:top w:type="dxa" w:w="70"/>
              <w:left w:type="dxa" w:w="160"/>
              <w:bottom w:type="dxa" w:w="70"/>
              <w:right w:type="dxa" w:w="160"/>
            </w:tcMar>
          </w:tcPr>
          <w:p>
            <w:r>
              <w:rPr>
                <w:rFonts w:ascii="Arial" w:cs="Arial" w:eastAsia="Arial" w:hAnsi="Arial"/>
                <w:b/>
                <w:bCs/>
                <w:color w:val="0A1F5C"/>
                <w:sz w:val="18"/>
                <w:szCs w:val="18"/>
              </w:rPr>
              <w:t xml:space="preserve">Title</w:t>
            </w:r>
            <w:r>
              <w:rPr>
                <w:rFonts w:ascii="Arial" w:cs="Arial" w:eastAsia="Arial" w:hAnsi="Arial"/>
                <w:color w:val="6678A0"/>
                <w:sz w:val="18"/>
                <w:szCs w:val="18"/>
              </w:rPr>
              <w:t xml:space="preserve">   →   </w:t>
            </w:r>
            <w:r>
              <w:rPr>
                <w:rFonts w:ascii="Courier New" w:cs="Courier New" w:eastAsia="Courier New" w:hAnsi="Courier New"/>
                <w:color w:val="1A5CA8"/>
                <w:sz w:val="18"/>
                <w:szCs w:val="18"/>
                <w:shd w:fill="EFF6FF" w:val="clear"/>
              </w:rPr>
              <w:t xml:space="preserve">Job title (e.g. 'Integrity Manager', 'VP Operations')</w:t>
            </w:r>
          </w:p>
        </w:tc>
      </w:tr>
      <w:tr>
        <w:tc>
          <w:tcPr>
            <w:tcW w:type="dxa" w:w="9360"/>
            <w:tcBorders>
              <w:top w:val="single" w:color="D0DCF0" w:sz="1"/>
              <w:left w:val="single" w:color="D0DCF0" w:sz="1"/>
              <w:bottom w:val="single" w:color="D0DCF0" w:sz="1"/>
              <w:right w:val="single" w:color="D0DCF0" w:sz="1"/>
            </w:tcBorders>
            <w:shd w:fill="F4F7FB" w:val="clear"/>
            <w:tcMar>
              <w:top w:type="dxa" w:w="70"/>
              <w:left w:type="dxa" w:w="160"/>
              <w:bottom w:type="dxa" w:w="70"/>
              <w:right w:type="dxa" w:w="160"/>
            </w:tcMar>
          </w:tcPr>
          <w:p>
            <w:r>
              <w:rPr>
                <w:rFonts w:ascii="Arial" w:cs="Arial" w:eastAsia="Arial" w:hAnsi="Arial"/>
                <w:b/>
                <w:bCs/>
                <w:color w:val="0A1F5C"/>
                <w:sz w:val="18"/>
                <w:szCs w:val="18"/>
              </w:rPr>
              <w:t xml:space="preserve">Email</w:t>
            </w:r>
            <w:r>
              <w:rPr>
                <w:rFonts w:ascii="Arial" w:cs="Arial" w:eastAsia="Arial" w:hAnsi="Arial"/>
                <w:color w:val="6678A0"/>
                <w:sz w:val="18"/>
                <w:szCs w:val="18"/>
              </w:rPr>
              <w:t xml:space="preserve">   →   </w:t>
            </w:r>
            <w:r>
              <w:rPr>
                <w:rFonts w:ascii="Courier New" w:cs="Courier New" w:eastAsia="Courier New" w:hAnsi="Courier New"/>
                <w:color w:val="1A5CA8"/>
                <w:sz w:val="18"/>
                <w:szCs w:val="18"/>
                <w:shd w:fill="EFF6FF" w:val="clear"/>
              </w:rPr>
              <w:t xml:space="preserve">Business email — verify from business card</w:t>
            </w:r>
            <w:r>
              <w:rPr>
                <w:rFonts w:ascii="Arial" w:cs="Arial" w:eastAsia="Arial" w:hAnsi="Arial"/>
                <w:i/>
                <w:iCs/>
                <w:color w:val="6678A0"/>
                <w:sz w:val="16"/>
                <w:szCs w:val="16"/>
              </w:rPr>
              <w:t xml:space="preserve">   (verify if unsure)</w:t>
            </w:r>
          </w:p>
        </w:tc>
      </w:tr>
      <w:tr>
        <w:tc>
          <w:tcPr>
            <w:tcW w:type="dxa" w:w="9360"/>
            <w:tcBorders>
              <w:top w:val="single" w:color="D0DCF0" w:sz="1"/>
              <w:left w:val="single" w:color="D0DCF0" w:sz="1"/>
              <w:bottom w:val="single" w:color="D0DCF0" w:sz="1"/>
              <w:right w:val="single" w:color="D0DCF0" w:sz="1"/>
            </w:tcBorders>
            <w:shd w:fill="FFFFFF" w:val="clear"/>
            <w:tcMar>
              <w:top w:type="dxa" w:w="70"/>
              <w:left w:type="dxa" w:w="160"/>
              <w:bottom w:type="dxa" w:w="70"/>
              <w:right w:type="dxa" w:w="160"/>
            </w:tcMar>
          </w:tcPr>
          <w:p>
            <w:r>
              <w:rPr>
                <w:rFonts w:ascii="Arial" w:cs="Arial" w:eastAsia="Arial" w:hAnsi="Arial"/>
                <w:b/>
                <w:bCs/>
                <w:color w:val="0A1F5C"/>
                <w:sz w:val="18"/>
                <w:szCs w:val="18"/>
              </w:rPr>
              <w:t xml:space="preserve">Phone</w:t>
            </w:r>
            <w:r>
              <w:rPr>
                <w:rFonts w:ascii="Arial" w:cs="Arial" w:eastAsia="Arial" w:hAnsi="Arial"/>
                <w:color w:val="6678A0"/>
                <w:sz w:val="18"/>
                <w:szCs w:val="18"/>
              </w:rPr>
              <w:t xml:space="preserve">   →   </w:t>
            </w:r>
            <w:r>
              <w:rPr>
                <w:rFonts w:ascii="Courier New" w:cs="Courier New" w:eastAsia="Courier New" w:hAnsi="Courier New"/>
                <w:color w:val="1A5CA8"/>
                <w:sz w:val="18"/>
                <w:szCs w:val="18"/>
                <w:shd w:fill="EFF6FF" w:val="clear"/>
              </w:rPr>
              <w:t xml:space="preserve">Direct line or mobile</w:t>
            </w:r>
          </w:p>
        </w:tc>
      </w:tr>
      <w:tr>
        <w:tc>
          <w:tcPr>
            <w:tcW w:type="dxa" w:w="9360"/>
            <w:tcBorders>
              <w:top w:val="single" w:color="D0DCF0" w:sz="1"/>
              <w:left w:val="single" w:color="D0DCF0" w:sz="1"/>
              <w:bottom w:val="single" w:color="D0DCF0" w:sz="1"/>
              <w:right w:val="single" w:color="D0DCF0" w:sz="1"/>
            </w:tcBorders>
            <w:shd w:fill="F4F7FB" w:val="clear"/>
            <w:tcMar>
              <w:top w:type="dxa" w:w="70"/>
              <w:left w:type="dxa" w:w="160"/>
              <w:bottom w:type="dxa" w:w="70"/>
              <w:right w:type="dxa" w:w="160"/>
            </w:tcMar>
          </w:tcPr>
          <w:p>
            <w:r>
              <w:rPr>
                <w:rFonts w:ascii="Arial" w:cs="Arial" w:eastAsia="Arial" w:hAnsi="Arial"/>
                <w:b/>
                <w:bCs/>
                <w:color w:val="B91C1C"/>
                <w:sz w:val="18"/>
                <w:szCs w:val="18"/>
              </w:rPr>
              <w:t xml:space="preserve">Lead Source * *</w:t>
            </w:r>
            <w:r>
              <w:rPr>
                <w:rFonts w:ascii="Arial" w:cs="Arial" w:eastAsia="Arial" w:hAnsi="Arial"/>
                <w:color w:val="6678A0"/>
                <w:sz w:val="18"/>
                <w:szCs w:val="18"/>
              </w:rPr>
              <w:t xml:space="preserve">   →   </w:t>
            </w:r>
            <w:r>
              <w:rPr>
                <w:rFonts w:ascii="Courier New" w:cs="Courier New" w:eastAsia="Courier New" w:hAnsi="Courier New"/>
                <w:color w:val="1A5CA8"/>
                <w:sz w:val="18"/>
                <w:szCs w:val="18"/>
                <w:shd w:fill="EFF6FF" w:val="clear"/>
              </w:rPr>
              <w:t xml:space="preserve">CONFERENCE NAME (e.g. 'IPEIA 2026')</w:t>
            </w:r>
            <w:r>
              <w:rPr>
                <w:rFonts w:ascii="Arial" w:cs="Arial" w:eastAsia="Arial" w:hAnsi="Arial"/>
                <w:i/>
                <w:iCs/>
                <w:color w:val="6678A0"/>
                <w:sz w:val="16"/>
                <w:szCs w:val="16"/>
              </w:rPr>
              <w:t xml:space="preserve">   (exact conference name — see list below)</w:t>
            </w:r>
          </w:p>
        </w:tc>
      </w:tr>
      <w:tr>
        <w:tc>
          <w:tcPr>
            <w:tcW w:type="dxa" w:w="9360"/>
            <w:tcBorders>
              <w:top w:val="single" w:color="D0DCF0" w:sz="1"/>
              <w:left w:val="single" w:color="D0DCF0" w:sz="1"/>
              <w:bottom w:val="single" w:color="D0DCF0" w:sz="1"/>
              <w:right w:val="single" w:color="D0DCF0" w:sz="1"/>
            </w:tcBorders>
            <w:shd w:fill="FFFFFF" w:val="clear"/>
            <w:tcMar>
              <w:top w:type="dxa" w:w="70"/>
              <w:left w:type="dxa" w:w="160"/>
              <w:bottom w:type="dxa" w:w="70"/>
              <w:right w:type="dxa" w:w="160"/>
            </w:tcMar>
          </w:tcPr>
          <w:p>
            <w:r>
              <w:rPr>
                <w:rFonts w:ascii="Arial" w:cs="Arial" w:eastAsia="Arial" w:hAnsi="Arial"/>
                <w:b/>
                <w:bCs/>
                <w:color w:val="B91C1C"/>
                <w:sz w:val="18"/>
                <w:szCs w:val="18"/>
              </w:rPr>
              <w:t xml:space="preserve">BU_Initiative__c * *</w:t>
            </w:r>
            <w:r>
              <w:rPr>
                <w:rFonts w:ascii="Arial" w:cs="Arial" w:eastAsia="Arial" w:hAnsi="Arial"/>
                <w:color w:val="6678A0"/>
                <w:sz w:val="18"/>
                <w:szCs w:val="18"/>
              </w:rPr>
              <w:t xml:space="preserve">   →   </w:t>
            </w:r>
            <w:r>
              <w:rPr>
                <w:rFonts w:ascii="Courier New" w:cs="Courier New" w:eastAsia="Courier New" w:hAnsi="Courier New"/>
                <w:color w:val="1A5CA8"/>
                <w:sz w:val="18"/>
                <w:szCs w:val="18"/>
                <w:shd w:fill="EFF6FF" w:val="clear"/>
              </w:rPr>
              <w:t xml:space="preserve">Pick from: Mining NDT / Pipeline DA / Powerline / Nuclear-OPG / 3X Composite / Base Business</w:t>
            </w:r>
            <w:r>
              <w:rPr>
                <w:rFonts w:ascii="Arial" w:cs="Arial" w:eastAsia="Arial" w:hAnsi="Arial"/>
                <w:i/>
                <w:iCs/>
                <w:color w:val="6678A0"/>
                <w:sz w:val="16"/>
                <w:szCs w:val="16"/>
              </w:rPr>
              <w:t xml:space="preserve">   (most important field for reporting)</w:t>
            </w:r>
          </w:p>
        </w:tc>
      </w:tr>
      <w:tr>
        <w:tc>
          <w:tcPr>
            <w:tcW w:type="dxa" w:w="9360"/>
            <w:tcBorders>
              <w:top w:val="single" w:color="D0DCF0" w:sz="1"/>
              <w:left w:val="single" w:color="D0DCF0" w:sz="1"/>
              <w:bottom w:val="single" w:color="D0DCF0" w:sz="1"/>
              <w:right w:val="single" w:color="D0DCF0" w:sz="1"/>
            </w:tcBorders>
            <w:shd w:fill="F4F7FB" w:val="clear"/>
            <w:tcMar>
              <w:top w:type="dxa" w:w="70"/>
              <w:left w:type="dxa" w:w="160"/>
              <w:bottom w:type="dxa" w:w="70"/>
              <w:right w:type="dxa" w:w="160"/>
            </w:tcMar>
          </w:tcPr>
          <w:p>
            <w:r>
              <w:rPr>
                <w:rFonts w:ascii="Arial" w:cs="Arial" w:eastAsia="Arial" w:hAnsi="Arial"/>
                <w:b/>
                <w:bCs/>
                <w:color w:val="0A1F5C"/>
                <w:sz w:val="18"/>
                <w:szCs w:val="18"/>
              </w:rPr>
              <w:t xml:space="preserve">Description</w:t>
            </w:r>
            <w:r>
              <w:rPr>
                <w:rFonts w:ascii="Arial" w:cs="Arial" w:eastAsia="Arial" w:hAnsi="Arial"/>
                <w:color w:val="6678A0"/>
                <w:sz w:val="18"/>
                <w:szCs w:val="18"/>
              </w:rPr>
              <w:t xml:space="preserve">   →   </w:t>
            </w:r>
            <w:r>
              <w:rPr>
                <w:rFonts w:ascii="Courier New" w:cs="Courier New" w:eastAsia="Courier New" w:hAnsi="Courier New"/>
                <w:color w:val="1A5CA8"/>
                <w:sz w:val="18"/>
                <w:szCs w:val="18"/>
                <w:shd w:fill="EFF6FF" w:val="clear"/>
              </w:rPr>
              <w:t xml:space="preserve">Notes from your conversation — what did they need? What's the opportunity? When to follow up?</w:t>
            </w:r>
            <w:r>
              <w:rPr>
                <w:rFonts w:ascii="Arial" w:cs="Arial" w:eastAsia="Arial" w:hAnsi="Arial"/>
                <w:i/>
                <w:iCs/>
                <w:color w:val="6678A0"/>
                <w:sz w:val="16"/>
                <w:szCs w:val="16"/>
              </w:rPr>
              <w:t xml:space="preserve">   (be specific)</w:t>
            </w:r>
          </w:p>
        </w:tc>
      </w:tr>
      <w:tr>
        <w:tc>
          <w:tcPr>
            <w:tcW w:type="dxa" w:w="9360"/>
            <w:tcBorders>
              <w:top w:val="single" w:color="D0DCF0" w:sz="1"/>
              <w:left w:val="single" w:color="D0DCF0" w:sz="1"/>
              <w:bottom w:val="single" w:color="D0DCF0" w:sz="1"/>
              <w:right w:val="single" w:color="D0DCF0" w:sz="1"/>
            </w:tcBorders>
            <w:shd w:fill="FFFFFF" w:val="clear"/>
            <w:tcMar>
              <w:top w:type="dxa" w:w="70"/>
              <w:left w:type="dxa" w:w="160"/>
              <w:bottom w:type="dxa" w:w="70"/>
              <w:right w:type="dxa" w:w="160"/>
            </w:tcMar>
          </w:tcPr>
          <w:p>
            <w:r>
              <w:rPr>
                <w:rFonts w:ascii="Arial" w:cs="Arial" w:eastAsia="Arial" w:hAnsi="Arial"/>
                <w:b/>
                <w:bCs/>
                <w:color w:val="0A1F5C"/>
                <w:sz w:val="18"/>
                <w:szCs w:val="18"/>
              </w:rPr>
              <w:t xml:space="preserve">Lead Status</w:t>
            </w:r>
            <w:r>
              <w:rPr>
                <w:rFonts w:ascii="Arial" w:cs="Arial" w:eastAsia="Arial" w:hAnsi="Arial"/>
                <w:color w:val="6678A0"/>
                <w:sz w:val="18"/>
                <w:szCs w:val="18"/>
              </w:rPr>
              <w:t xml:space="preserve">   →   </w:t>
            </w:r>
            <w:r>
              <w:rPr>
                <w:rFonts w:ascii="Courier New" w:cs="Courier New" w:eastAsia="Courier New" w:hAnsi="Courier New"/>
                <w:color w:val="1A5CA8"/>
                <w:sz w:val="18"/>
                <w:szCs w:val="18"/>
                <w:shd w:fill="EFF6FF" w:val="clear"/>
              </w:rPr>
              <w:t xml:space="preserve">Open — Not Contacted  (default)</w:t>
            </w:r>
          </w:p>
        </w:tc>
      </w:tr>
      <w:tr>
        <w:tc>
          <w:tcPr>
            <w:tcW w:type="dxa" w:w="9360"/>
            <w:tcBorders>
              <w:top w:val="single" w:color="D0DCF0" w:sz="1"/>
              <w:left w:val="single" w:color="D0DCF0" w:sz="1"/>
              <w:bottom w:val="single" w:color="D0DCF0" w:sz="1"/>
              <w:right w:val="single" w:color="D0DCF0" w:sz="1"/>
            </w:tcBorders>
            <w:shd w:fill="F4F7FB" w:val="clear"/>
            <w:tcMar>
              <w:top w:type="dxa" w:w="70"/>
              <w:left w:type="dxa" w:w="160"/>
              <w:bottom w:type="dxa" w:w="70"/>
              <w:right w:type="dxa" w:w="160"/>
            </w:tcMar>
          </w:tcPr>
          <w:p>
            <w:r>
              <w:rPr>
                <w:rFonts w:ascii="Arial" w:cs="Arial" w:eastAsia="Arial" w:hAnsi="Arial"/>
                <w:b/>
                <w:bCs/>
                <w:color w:val="0A1F5C"/>
                <w:sz w:val="18"/>
                <w:szCs w:val="18"/>
              </w:rPr>
              <w:t xml:space="preserve">Rating</w:t>
            </w:r>
            <w:r>
              <w:rPr>
                <w:rFonts w:ascii="Arial" w:cs="Arial" w:eastAsia="Arial" w:hAnsi="Arial"/>
                <w:color w:val="6678A0"/>
                <w:sz w:val="18"/>
                <w:szCs w:val="18"/>
              </w:rPr>
              <w:t xml:space="preserve">   →   </w:t>
            </w:r>
            <w:r>
              <w:rPr>
                <w:rFonts w:ascii="Courier New" w:cs="Courier New" w:eastAsia="Courier New" w:hAnsi="Courier New"/>
                <w:color w:val="1A5CA8"/>
                <w:sz w:val="18"/>
                <w:szCs w:val="18"/>
                <w:shd w:fill="EFF6FF" w:val="clear"/>
              </w:rPr>
              <w:t xml:space="preserve">Hot / Warm / Cold based on your gut feeling</w:t>
            </w:r>
          </w:p>
        </w:tc>
      </w:tr>
    </w:tbl>
    <w:p>
      <w:pPr>
        <w:spacing w:after="80"/>
      </w:pPr>
    </w:p>
    <w:p>
      <w:pPr>
        <w:spacing w:after="80"/>
      </w:pPr>
      <w:r>
        <w:rPr>
          <w:rFonts w:ascii="Arial" w:cs="Arial" w:eastAsia="Arial" w:hAnsi="Arial"/>
          <w:i/>
          <w:iCs/>
          <w:color w:val="6678A0"/>
          <w:sz w:val="18"/>
          <w:szCs w:val="18"/>
        </w:rPr>
        <w:t xml:space="preserve">Note: Lead Source must match the conference name EXACTLY as it appears in the list below. This is how the Command Centre matches leads to conferences.</w:t>
      </w:r>
    </w:p>
    <w:p>
      <w:pPr>
        <w:spacing w:after="80"/>
      </w:pPr>
    </w:p>
    <w:p>
      <w:pPr>
        <w:pStyle w:val="Heading2"/>
      </w:pPr>
      <w:r>
        <w:t xml:space="preserve">Conference Names — Use These Exactly in the Lead Source Field</w:t>
      </w:r>
    </w:p>
    <w:p>
      <w:pPr>
        <w:spacing w:after="120"/>
      </w:pPr>
      <w:r>
        <w:rPr>
          <w:rFonts w:ascii="Arial" w:cs="Arial" w:eastAsia="Arial" w:hAnsi="Arial"/>
          <w:sz w:val="20"/>
          <w:szCs w:val="20"/>
        </w:rPr>
        <w:t xml:space="preserve">Copy the conference name from this table into the Lead Source field. Spelling and spacing must match exactly.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2400"/>
        <w:gridCol w:w="1600"/>
      </w:tblGrid>
      <w:tr>
        <w:tc>
          <w:tcPr>
            <w:tcW w:type="dxa" w:w="32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pPr>
              <w:jc w:val="left"/>
            </w:pPr>
            <w:r>
              <w:rPr>
                <w:rFonts w:ascii="Arial" w:cs="Arial" w:eastAsia="Arial" w:hAnsi="Arial"/>
                <w:b/>
                <w:bCs/>
                <w:color w:val="FFFFFF"/>
                <w:sz w:val="18"/>
                <w:szCs w:val="18"/>
              </w:rPr>
              <w:t xml:space="preserve">Conference Name (copy exactly)</w:t>
            </w:r>
          </w:p>
        </w:tc>
        <w:tc>
          <w:tcPr>
            <w:tcW w:type="dxa" w:w="216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pPr>
              <w:jc w:val="left"/>
            </w:pPr>
            <w:r>
              <w:rPr>
                <w:rFonts w:ascii="Arial" w:cs="Arial" w:eastAsia="Arial" w:hAnsi="Arial"/>
                <w:b/>
                <w:bCs/>
                <w:color w:val="FFFFFF"/>
                <w:sz w:val="18"/>
                <w:szCs w:val="18"/>
              </w:rPr>
              <w:t xml:space="preserve">Dates</w:t>
            </w:r>
          </w:p>
        </w:tc>
        <w:tc>
          <w:tcPr>
            <w:tcW w:type="dxa" w:w="24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pPr>
              <w:jc w:val="left"/>
            </w:pPr>
            <w:r>
              <w:rPr>
                <w:rFonts w:ascii="Arial" w:cs="Arial" w:eastAsia="Arial" w:hAnsi="Arial"/>
                <w:b/>
                <w:bCs/>
                <w:color w:val="FFFFFF"/>
                <w:sz w:val="18"/>
                <w:szCs w:val="18"/>
              </w:rPr>
              <w:t xml:space="preserve">Initiative</w:t>
            </w:r>
          </w:p>
        </w:tc>
        <w:tc>
          <w:tcPr>
            <w:tcW w:type="dxa" w:w="16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pPr>
              <w:jc w:val="left"/>
            </w:pPr>
            <w:r>
              <w:rPr>
                <w:rFonts w:ascii="Arial" w:cs="Arial" w:eastAsia="Arial" w:hAnsi="Arial"/>
                <w:b/>
                <w:bCs/>
                <w:color w:val="FFFFFF"/>
                <w:sz w:val="18"/>
                <w:szCs w:val="18"/>
              </w:rPr>
              <w:t xml:space="preserve">BU Owner</w:t>
            </w:r>
          </w:p>
        </w:tc>
      </w:tr>
      <w:tr>
        <w:tc>
          <w:tcPr>
            <w:tcW w:type="dxa" w:w="32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9"/>
                <w:szCs w:val="19"/>
              </w:rPr>
              <w:t xml:space="preserve">IPEIA 2026</w:t>
            </w:r>
          </w:p>
        </w:tc>
        <w:tc>
          <w:tcPr>
            <w:tcW w:type="dxa" w:w="21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Mar 10-12, 2026</w:t>
            </w:r>
          </w:p>
        </w:tc>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All Initiatives</w:t>
            </w:r>
          </w:p>
        </w:tc>
        <w:tc>
          <w:tcPr>
            <w:tcW w:type="dxa" w:w="16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16A34A"/>
                <w:sz w:val="17"/>
                <w:szCs w:val="17"/>
              </w:rPr>
              <w:t xml:space="preserve">BU Services</w:t>
            </w:r>
          </w:p>
        </w:tc>
      </w:tr>
      <w:tr>
        <w:tc>
          <w:tcPr>
            <w:tcW w:type="dxa" w:w="32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9"/>
                <w:szCs w:val="19"/>
              </w:rPr>
              <w:t xml:space="preserve">Smart Energy Halifax</w:t>
            </w:r>
          </w:p>
        </w:tc>
        <w:tc>
          <w:tcPr>
            <w:tcW w:type="dxa" w:w="21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Apr 14-15, 2026</w:t>
            </w:r>
          </w:p>
        </w:tc>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Powerline</w:t>
            </w:r>
          </w:p>
        </w:tc>
        <w:tc>
          <w:tcPr>
            <w:tcW w:type="dxa" w:w="16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16A34A"/>
                <w:sz w:val="17"/>
                <w:szCs w:val="17"/>
              </w:rPr>
              <w:t xml:space="preserve">BU Services</w:t>
            </w:r>
          </w:p>
        </w:tc>
      </w:tr>
      <w:tr>
        <w:tc>
          <w:tcPr>
            <w:tcW w:type="dxa" w:w="32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9"/>
                <w:szCs w:val="19"/>
              </w:rPr>
              <w:t xml:space="preserve">CNA 2026</w:t>
            </w:r>
          </w:p>
        </w:tc>
        <w:tc>
          <w:tcPr>
            <w:tcW w:type="dxa" w:w="21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Apr 28-30, 2026</w:t>
            </w:r>
          </w:p>
        </w:tc>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Nuclear/OPG</w:t>
            </w:r>
          </w:p>
        </w:tc>
        <w:tc>
          <w:tcPr>
            <w:tcW w:type="dxa" w:w="16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16A34A"/>
                <w:sz w:val="17"/>
                <w:szCs w:val="17"/>
              </w:rPr>
              <w:t xml:space="preserve">BU Services</w:t>
            </w:r>
          </w:p>
        </w:tc>
      </w:tr>
      <w:tr>
        <w:tc>
          <w:tcPr>
            <w:tcW w:type="dxa" w:w="32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9"/>
                <w:szCs w:val="19"/>
              </w:rPr>
              <w:t xml:space="preserve">T&amp;D Conference 2026</w:t>
            </w:r>
          </w:p>
        </w:tc>
        <w:tc>
          <w:tcPr>
            <w:tcW w:type="dxa" w:w="21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May 4-7, 2026</w:t>
            </w:r>
          </w:p>
        </w:tc>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Powerline</w:t>
            </w:r>
          </w:p>
        </w:tc>
        <w:tc>
          <w:tcPr>
            <w:tcW w:type="dxa" w:w="16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16A34A"/>
                <w:sz w:val="17"/>
                <w:szCs w:val="17"/>
              </w:rPr>
              <w:t xml:space="preserve">BU Services</w:t>
            </w:r>
          </w:p>
        </w:tc>
      </w:tr>
      <w:tr>
        <w:tc>
          <w:tcPr>
            <w:tcW w:type="dxa" w:w="32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9"/>
                <w:szCs w:val="19"/>
              </w:rPr>
              <w:t xml:space="preserve">CIM Vancouver 2026</w:t>
            </w:r>
          </w:p>
        </w:tc>
        <w:tc>
          <w:tcPr>
            <w:tcW w:type="dxa" w:w="21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May 4-6, 2026</w:t>
            </w:r>
          </w:p>
        </w:tc>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Mining NDT</w:t>
            </w:r>
          </w:p>
        </w:tc>
        <w:tc>
          <w:tcPr>
            <w:tcW w:type="dxa" w:w="16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16A34A"/>
                <w:sz w:val="17"/>
                <w:szCs w:val="17"/>
              </w:rPr>
              <w:t xml:space="preserve">BU Services</w:t>
            </w:r>
          </w:p>
        </w:tc>
      </w:tr>
      <w:tr>
        <w:tc>
          <w:tcPr>
            <w:tcW w:type="dxa" w:w="32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9"/>
                <w:szCs w:val="19"/>
              </w:rPr>
              <w:t xml:space="preserve">Canadian Mining Expo 2026</w:t>
            </w:r>
          </w:p>
        </w:tc>
        <w:tc>
          <w:tcPr>
            <w:tcW w:type="dxa" w:w="21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Jun 9-11, 2026</w:t>
            </w:r>
          </w:p>
        </w:tc>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Mining NDT</w:t>
            </w:r>
          </w:p>
        </w:tc>
        <w:tc>
          <w:tcPr>
            <w:tcW w:type="dxa" w:w="16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16A34A"/>
                <w:sz w:val="17"/>
                <w:szCs w:val="17"/>
              </w:rPr>
              <w:t xml:space="preserve">BU Services</w:t>
            </w:r>
          </w:p>
        </w:tc>
      </w:tr>
      <w:tr>
        <w:tc>
          <w:tcPr>
            <w:tcW w:type="dxa" w:w="32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9"/>
                <w:szCs w:val="19"/>
              </w:rPr>
              <w:t xml:space="preserve">ECNDT Verona 2026</w:t>
            </w:r>
          </w:p>
        </w:tc>
        <w:tc>
          <w:tcPr>
            <w:tcW w:type="dxa" w:w="21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Jun 15-19, 2026</w:t>
            </w:r>
          </w:p>
        </w:tc>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All Initiatives</w:t>
            </w:r>
          </w:p>
        </w:tc>
        <w:tc>
          <w:tcPr>
            <w:tcW w:type="dxa" w:w="16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C9860A"/>
                <w:sz w:val="17"/>
                <w:szCs w:val="17"/>
              </w:rPr>
              <w:t xml:space="preserve">Joint</w:t>
            </w:r>
          </w:p>
        </w:tc>
      </w:tr>
      <w:tr>
        <w:tc>
          <w:tcPr>
            <w:tcW w:type="dxa" w:w="32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9"/>
                <w:szCs w:val="19"/>
              </w:rPr>
              <w:t xml:space="preserve">API Inspection Summit 2026</w:t>
            </w:r>
          </w:p>
        </w:tc>
        <w:tc>
          <w:tcPr>
            <w:tcW w:type="dxa" w:w="21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Jul 20-23, 2026</w:t>
            </w:r>
          </w:p>
        </w:tc>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Pipeline DA</w:t>
            </w:r>
          </w:p>
        </w:tc>
        <w:tc>
          <w:tcPr>
            <w:tcW w:type="dxa" w:w="16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16A34A"/>
                <w:sz w:val="17"/>
                <w:szCs w:val="17"/>
              </w:rPr>
              <w:t xml:space="preserve">BU Services</w:t>
            </w:r>
          </w:p>
        </w:tc>
      </w:tr>
      <w:tr>
        <w:tc>
          <w:tcPr>
            <w:tcW w:type="dxa" w:w="32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9"/>
                <w:szCs w:val="19"/>
              </w:rPr>
              <w:t xml:space="preserve">Cigre Paris 2026</w:t>
            </w:r>
          </w:p>
        </w:tc>
        <w:tc>
          <w:tcPr>
            <w:tcW w:type="dxa" w:w="21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Aug 23-28, 2026</w:t>
            </w:r>
          </w:p>
        </w:tc>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Powerline</w:t>
            </w:r>
          </w:p>
        </w:tc>
        <w:tc>
          <w:tcPr>
            <w:tcW w:type="dxa" w:w="16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16A34A"/>
                <w:sz w:val="17"/>
                <w:szCs w:val="17"/>
              </w:rPr>
              <w:t xml:space="preserve">BU Services</w:t>
            </w:r>
          </w:p>
        </w:tc>
      </w:tr>
      <w:tr>
        <w:tc>
          <w:tcPr>
            <w:tcW w:type="dxa" w:w="32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9"/>
                <w:szCs w:val="19"/>
              </w:rPr>
              <w:t xml:space="preserve">CEN CAN Expo 2026</w:t>
            </w:r>
          </w:p>
        </w:tc>
        <w:tc>
          <w:tcPr>
            <w:tcW w:type="dxa" w:w="21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Sep 9-10, 2026</w:t>
            </w:r>
          </w:p>
        </w:tc>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Mining NDT</w:t>
            </w:r>
          </w:p>
        </w:tc>
        <w:tc>
          <w:tcPr>
            <w:tcW w:type="dxa" w:w="16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16A34A"/>
                <w:sz w:val="17"/>
                <w:szCs w:val="17"/>
              </w:rPr>
              <w:t xml:space="preserve">BU Services</w:t>
            </w:r>
          </w:p>
        </w:tc>
      </w:tr>
      <w:tr>
        <w:tc>
          <w:tcPr>
            <w:tcW w:type="dxa" w:w="32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9"/>
                <w:szCs w:val="19"/>
              </w:rPr>
              <w:t xml:space="preserve">IPC Pipeline 2026</w:t>
            </w:r>
          </w:p>
        </w:tc>
        <w:tc>
          <w:tcPr>
            <w:tcW w:type="dxa" w:w="21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Sep 21-25, 2026</w:t>
            </w:r>
          </w:p>
        </w:tc>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Pipeline DA</w:t>
            </w:r>
          </w:p>
        </w:tc>
        <w:tc>
          <w:tcPr>
            <w:tcW w:type="dxa" w:w="16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16A34A"/>
                <w:sz w:val="17"/>
                <w:szCs w:val="17"/>
              </w:rPr>
              <w:t xml:space="preserve">BU Services</w:t>
            </w:r>
          </w:p>
        </w:tc>
      </w:tr>
      <w:tr>
        <w:tc>
          <w:tcPr>
            <w:tcW w:type="dxa" w:w="32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9"/>
                <w:szCs w:val="19"/>
              </w:rPr>
              <w:t xml:space="preserve">IPCE 2026</w:t>
            </w:r>
          </w:p>
        </w:tc>
        <w:tc>
          <w:tcPr>
            <w:tcW w:type="dxa" w:w="21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Sep 22-24, 2026</w:t>
            </w:r>
          </w:p>
        </w:tc>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Pipeline DA</w:t>
            </w:r>
          </w:p>
        </w:tc>
        <w:tc>
          <w:tcPr>
            <w:tcW w:type="dxa" w:w="16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16A34A"/>
                <w:sz w:val="17"/>
                <w:szCs w:val="17"/>
              </w:rPr>
              <w:t xml:space="preserve">BU Services</w:t>
            </w:r>
          </w:p>
        </w:tc>
      </w:tr>
      <w:tr>
        <w:tc>
          <w:tcPr>
            <w:tcW w:type="dxa" w:w="32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9"/>
                <w:szCs w:val="19"/>
              </w:rPr>
              <w:t xml:space="preserve">ASNT 2026</w:t>
            </w:r>
          </w:p>
        </w:tc>
        <w:tc>
          <w:tcPr>
            <w:tcW w:type="dxa" w:w="21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Oct 12-15, 2026</w:t>
            </w:r>
          </w:p>
        </w:tc>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Mining NDT</w:t>
            </w:r>
          </w:p>
        </w:tc>
        <w:tc>
          <w:tcPr>
            <w:tcW w:type="dxa" w:w="16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C9860A"/>
                <w:sz w:val="17"/>
                <w:szCs w:val="17"/>
              </w:rPr>
              <w:t xml:space="preserve">Joint</w:t>
            </w:r>
          </w:p>
        </w:tc>
      </w:tr>
      <w:tr>
        <w:tc>
          <w:tcPr>
            <w:tcW w:type="dxa" w:w="32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9"/>
                <w:szCs w:val="19"/>
              </w:rPr>
              <w:t xml:space="preserve">API Storage Tank 2026</w:t>
            </w:r>
          </w:p>
        </w:tc>
        <w:tc>
          <w:tcPr>
            <w:tcW w:type="dxa" w:w="21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Oct 19-22, 2026</w:t>
            </w:r>
          </w:p>
        </w:tc>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Pipeline DA</w:t>
            </w:r>
          </w:p>
        </w:tc>
        <w:tc>
          <w:tcPr>
            <w:tcW w:type="dxa" w:w="16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16A34A"/>
                <w:sz w:val="17"/>
                <w:szCs w:val="17"/>
              </w:rPr>
              <w:t xml:space="preserve">BU Services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A1F5C" w:sz="4"/>
              <w:left w:val="single" w:color="0A1F5C" w:sz="4"/>
              <w:bottom w:val="single" w:color="0A1F5C" w:sz="4"/>
              <w:right w:val="single" w:color="0A1F5C" w:sz="4"/>
            </w:tcBorders>
            <w:shd w:fill="B91C1C" w:val="clear"/>
            <w:tcMar>
              <w:top w:type="dxa" w:w="100"/>
              <w:left w:type="dxa" w:w="100"/>
              <w:bottom w:type="dxa" w:w="100"/>
              <w:right w:type="dxa" w:w="100"/>
            </w:tcMar>
            <w:vAlign w:val="center"/>
          </w:tcPr>
          <w:p>
            <w:pPr>
              <w:jc w:val="center"/>
            </w:pPr>
            <w:r>
              <w:rPr>
                <w:rFonts w:ascii="Arial" w:cs="Arial" w:eastAsia="Arial" w:hAnsi="Arial"/>
                <w:b/>
                <w:bCs/>
                <w:color w:val="FFFFFF"/>
                <w:sz w:val="36"/>
                <w:szCs w:val="36"/>
              </w:rPr>
              <w:t xml:space="preserve">3</w:t>
            </w:r>
          </w:p>
        </w:tc>
        <w:tc>
          <w:tcPr>
            <w:tcW w:type="dxa" w:w="8800"/>
            <w:tcBorders>
              <w:top w:val="single" w:color="0A1F5C" w:sz="4"/>
              <w:left w:val="single" w:color="0A1F5C" w:sz="4"/>
              <w:bottom w:val="single" w:color="0A1F5C" w:sz="4"/>
              <w:right w:val="single" w:color="0A1F5C" w:sz="4"/>
            </w:tcBorders>
            <w:shd w:fill="F4F7FB" w:val="clear"/>
            <w:tcMar>
              <w:top w:type="dxa" w:w="100"/>
              <w:left w:type="dxa" w:w="200"/>
              <w:bottom w:type="dxa" w:w="100"/>
              <w:right w:type="dxa" w:w="200"/>
            </w:tcMar>
          </w:tcPr>
          <w:p>
            <w:pPr>
              <w:spacing w:after="60"/>
            </w:pPr>
            <w:r>
              <w:rPr>
                <w:rFonts w:ascii="Arial" w:cs="Arial" w:eastAsia="Arial" w:hAnsi="Arial"/>
                <w:b/>
                <w:bCs/>
                <w:color w:val="B91C1C"/>
                <w:sz w:val="22"/>
                <w:szCs w:val="22"/>
              </w:rPr>
              <w:t xml:space="preserve">Set BU_Initiative__c — the most important field for reporting</w:t>
            </w:r>
          </w:p>
          <w:p>
            <w:pPr>
              <w:spacing w:after="60"/>
            </w:pPr>
            <w:r>
              <w:rPr>
                <w:rFonts w:ascii="Arial" w:cs="Arial" w:eastAsia="Arial" w:hAnsi="Arial"/>
                <w:color w:val="1A2A4A"/>
                <w:sz w:val="19"/>
                <w:szCs w:val="19"/>
              </w:rPr>
              <w:t xml:space="preserve">This field tags the lead to one of the five BU Services growth initiatives.</w:t>
            </w:r>
          </w:p>
          <w:p>
            <w:pPr>
              <w:spacing w:after="60"/>
            </w:pPr>
            <w:r>
              <w:rPr>
                <w:rFonts w:ascii="Arial" w:cs="Arial" w:eastAsia="Arial" w:hAnsi="Arial"/>
                <w:color w:val="1A2A4A"/>
                <w:sz w:val="19"/>
                <w:szCs w:val="19"/>
              </w:rPr>
              <w:t xml:space="preserve">The Sunday Power Automate flow uses this field to calculate initiative-level pipeline and revenue.</w:t>
            </w:r>
          </w:p>
          <w:p>
            <w:pPr>
              <w:spacing w:after="60"/>
            </w:pPr>
            <w:r>
              <w:rPr>
                <w:rFonts w:ascii="Arial" w:cs="Arial" w:eastAsia="Arial" w:hAnsi="Arial"/>
                <w:color w:val="1A2A4A"/>
                <w:sz w:val="19"/>
                <w:szCs w:val="19"/>
              </w:rPr>
              <w:t xml:space="preserve">If a contact is relevant to more than one initiative (e.g. Mining NDT + 3X Composite), create one lead per initiative.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pPr>
              <w:jc w:val="left"/>
            </w:pPr>
            <w:r>
              <w:rPr>
                <w:rFonts w:ascii="Arial" w:cs="Arial" w:eastAsia="Arial" w:hAnsi="Arial"/>
                <w:b/>
                <w:bCs/>
                <w:color w:val="FFFFFF"/>
                <w:sz w:val="18"/>
                <w:szCs w:val="18"/>
              </w:rPr>
              <w:t xml:space="preserve">BU_Initiative__c Value</w:t>
            </w:r>
          </w:p>
        </w:tc>
        <w:tc>
          <w:tcPr>
            <w:tcW w:type="dxa" w:w="30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pPr>
              <w:jc w:val="left"/>
            </w:pPr>
            <w:r>
              <w:rPr>
                <w:rFonts w:ascii="Arial" w:cs="Arial" w:eastAsia="Arial" w:hAnsi="Arial"/>
                <w:b/>
                <w:bCs/>
                <w:color w:val="FFFFFF"/>
                <w:sz w:val="18"/>
                <w:szCs w:val="18"/>
              </w:rPr>
              <w:t xml:space="preserve">Use when...</w:t>
            </w:r>
          </w:p>
        </w:tc>
        <w:tc>
          <w:tcPr>
            <w:tcW w:type="dxa" w:w="396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pPr>
              <w:jc w:val="left"/>
            </w:pPr>
            <w:r>
              <w:rPr>
                <w:rFonts w:ascii="Arial" w:cs="Arial" w:eastAsia="Arial" w:hAnsi="Arial"/>
                <w:b/>
                <w:bCs/>
                <w:color w:val="FFFFFF"/>
                <w:sz w:val="18"/>
                <w:szCs w:val="18"/>
              </w:rPr>
              <w:t xml:space="preserve">Examples</w:t>
            </w:r>
          </w:p>
        </w:tc>
      </w:tr>
      <w:tr>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9"/>
                <w:szCs w:val="19"/>
              </w:rPr>
              <w:t xml:space="preserve">Mining NDT</w:t>
            </w:r>
          </w:p>
        </w:tc>
        <w:tc>
          <w:tcPr>
            <w:tcW w:type="dxa" w:w="30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Contact works in mining and might need TFM, PCI, TOFD or other NDT inspection services</w:t>
            </w:r>
          </w:p>
        </w:tc>
        <w:tc>
          <w:tcPr>
            <w:tcW w:type="dxa" w:w="39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Teck Resources, Kinross, Barrick, Vale, Newmont — any mining operator</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9"/>
                <w:szCs w:val="19"/>
              </w:rPr>
              <w:t xml:space="preserve">Pipeline DA</w:t>
            </w:r>
          </w:p>
        </w:tc>
        <w:tc>
          <w:tcPr>
            <w:tcW w:type="dxa" w:w="30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Contact works in pipeline integrity, inspection or operations</w:t>
            </w:r>
          </w:p>
        </w:tc>
        <w:tc>
          <w:tcPr>
            <w:tcW w:type="dxa" w:w="39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Enbridge, TC Energy, Pembina, TransAlta — pipeline operators, integrity managers</w:t>
            </w:r>
          </w:p>
        </w:tc>
      </w:tr>
      <w:tr>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9"/>
                <w:szCs w:val="19"/>
              </w:rPr>
              <w:t xml:space="preserve">Powerline</w:t>
            </w:r>
          </w:p>
        </w:tc>
        <w:tc>
          <w:tcPr>
            <w:tcW w:type="dxa" w:w="30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Contact works in electrical transmission and distribution (utilities)</w:t>
            </w:r>
          </w:p>
        </w:tc>
        <w:tc>
          <w:tcPr>
            <w:tcW w:type="dxa" w:w="39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Hydro One, AltaLink, ATCO, BC Hydro, Emera, NS Power — utility companies</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9"/>
                <w:szCs w:val="19"/>
              </w:rPr>
              <w:t xml:space="preserve">Nuclear-OPG</w:t>
            </w:r>
          </w:p>
        </w:tc>
        <w:tc>
          <w:tcPr>
            <w:tcW w:type="dxa" w:w="30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Contact works in nuclear power generation or nuclear maintenance</w:t>
            </w:r>
          </w:p>
        </w:tc>
        <w:tc>
          <w:tcPr>
            <w:tcW w:type="dxa" w:w="39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OPG, Bruce Power, NB Power, Aecon, SNC-Lavalin Nuclear</w:t>
            </w:r>
          </w:p>
        </w:tc>
      </w:tr>
      <w:tr>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9"/>
                <w:szCs w:val="19"/>
              </w:rPr>
              <w:t xml:space="preserve">3X Composite</w:t>
            </w:r>
          </w:p>
        </w:tc>
        <w:tc>
          <w:tcPr>
            <w:tcW w:type="dxa" w:w="30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Contact has failed AMBER or RED findings that could qualify for composite repair</w:t>
            </w:r>
          </w:p>
        </w:tc>
        <w:tc>
          <w:tcPr>
            <w:tcW w:type="dxa" w:w="39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Any operator with corroding pipe, storage tanks, or structural defects</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9"/>
                <w:szCs w:val="19"/>
              </w:rPr>
              <w:t xml:space="preserve">Base Business</w:t>
            </w:r>
          </w:p>
        </w:tc>
        <w:tc>
          <w:tcPr>
            <w:tcW w:type="dxa" w:w="30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Existing client relationship — maintenance, general inspection, ongoing work</w:t>
            </w:r>
          </w:p>
        </w:tc>
        <w:tc>
          <w:tcPr>
            <w:tcW w:type="dxa" w:w="39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Recurring Nucleom/Nortech clients not tied to a specific initiative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A1F5C" w:sz="4"/>
              <w:left w:val="single" w:color="0A1F5C" w:sz="4"/>
              <w:bottom w:val="single" w:color="0A1F5C" w:sz="4"/>
              <w:right w:val="single" w:color="0A1F5C" w:sz="4"/>
            </w:tcBorders>
            <w:shd w:fill="16A34A" w:val="clear"/>
            <w:tcMar>
              <w:top w:type="dxa" w:w="100"/>
              <w:left w:type="dxa" w:w="100"/>
              <w:bottom w:type="dxa" w:w="100"/>
              <w:right w:type="dxa" w:w="100"/>
            </w:tcMar>
            <w:vAlign w:val="center"/>
          </w:tcPr>
          <w:p>
            <w:pPr>
              <w:jc w:val="center"/>
            </w:pPr>
            <w:r>
              <w:rPr>
                <w:rFonts w:ascii="Arial" w:cs="Arial" w:eastAsia="Arial" w:hAnsi="Arial"/>
                <w:b/>
                <w:bCs/>
                <w:color w:val="FFFFFF"/>
                <w:sz w:val="36"/>
                <w:szCs w:val="36"/>
              </w:rPr>
              <w:t xml:space="preserve">4</w:t>
            </w:r>
          </w:p>
        </w:tc>
        <w:tc>
          <w:tcPr>
            <w:tcW w:type="dxa" w:w="8800"/>
            <w:tcBorders>
              <w:top w:val="single" w:color="0A1F5C" w:sz="4"/>
              <w:left w:val="single" w:color="0A1F5C" w:sz="4"/>
              <w:bottom w:val="single" w:color="0A1F5C" w:sz="4"/>
              <w:right w:val="single" w:color="0A1F5C" w:sz="4"/>
            </w:tcBorders>
            <w:shd w:fill="F4F7FB" w:val="clear"/>
            <w:tcMar>
              <w:top w:type="dxa" w:w="100"/>
              <w:left w:type="dxa" w:w="200"/>
              <w:bottom w:type="dxa" w:w="100"/>
              <w:right w:type="dxa" w:w="200"/>
            </w:tcMar>
          </w:tcPr>
          <w:p>
            <w:pPr>
              <w:spacing w:after="60"/>
            </w:pPr>
            <w:r>
              <w:rPr>
                <w:rFonts w:ascii="Arial" w:cs="Arial" w:eastAsia="Arial" w:hAnsi="Arial"/>
                <w:b/>
                <w:bCs/>
                <w:color w:val="16A34A"/>
                <w:sz w:val="22"/>
                <w:szCs w:val="22"/>
              </w:rPr>
              <w:t xml:space="preserve">Save the Lead and set a Follow-up Task</w:t>
            </w:r>
          </w:p>
          <w:p>
            <w:pPr>
              <w:spacing w:after="60"/>
            </w:pPr>
            <w:r>
              <w:rPr>
                <w:rFonts w:ascii="Arial" w:cs="Arial" w:eastAsia="Arial" w:hAnsi="Arial"/>
                <w:color w:val="1A2A4A"/>
                <w:sz w:val="19"/>
                <w:szCs w:val="19"/>
              </w:rPr>
              <w:t xml:space="preserve">Click Save. Salesforce will assign a Lead ID.</w:t>
            </w:r>
          </w:p>
          <w:p>
            <w:pPr>
              <w:spacing w:after="60"/>
            </w:pPr>
            <w:r>
              <w:rPr>
                <w:rFonts w:ascii="Arial" w:cs="Arial" w:eastAsia="Arial" w:hAnsi="Arial"/>
                <w:color w:val="1A2A4A"/>
                <w:sz w:val="19"/>
                <w:szCs w:val="19"/>
              </w:rPr>
              <w:t xml:space="preserve">Immediately create a Task: click 'New Task' on the Lead record.</w:t>
            </w:r>
          </w:p>
          <w:p>
            <w:pPr>
              <w:spacing w:after="60"/>
            </w:pPr>
            <w:r>
              <w:rPr>
                <w:rFonts w:ascii="Arial" w:cs="Arial" w:eastAsia="Arial" w:hAnsi="Arial"/>
                <w:color w:val="1A2A4A"/>
                <w:sz w:val="19"/>
                <w:szCs w:val="19"/>
              </w:rPr>
              <w:t xml:space="preserve">Task Subject: 'Follow up — [Conference Name]'</w:t>
            </w:r>
          </w:p>
          <w:p>
            <w:pPr>
              <w:spacing w:after="60"/>
            </w:pPr>
            <w:r>
              <w:rPr>
                <w:rFonts w:ascii="Arial" w:cs="Arial" w:eastAsia="Arial" w:hAnsi="Arial"/>
                <w:color w:val="1A2A4A"/>
                <w:sz w:val="19"/>
                <w:szCs w:val="19"/>
              </w:rPr>
              <w:t xml:space="preserve">Due Date: 5 business days from today</w:t>
            </w:r>
          </w:p>
          <w:p>
            <w:pPr>
              <w:spacing w:after="60"/>
            </w:pPr>
            <w:r>
              <w:rPr>
                <w:rFonts w:ascii="Arial" w:cs="Arial" w:eastAsia="Arial" w:hAnsi="Arial"/>
                <w:color w:val="1A2A4A"/>
                <w:sz w:val="19"/>
                <w:szCs w:val="19"/>
              </w:rPr>
              <w:t xml:space="preserve">Assigned To: yourself</w:t>
            </w:r>
          </w:p>
          <w:p>
            <w:pPr>
              <w:spacing w:after="60"/>
            </w:pPr>
            <w:r>
              <w:rPr>
                <w:rFonts w:ascii="Arial" w:cs="Arial" w:eastAsia="Arial" w:hAnsi="Arial"/>
                <w:color w:val="1A2A4A"/>
                <w:sz w:val="19"/>
                <w:szCs w:val="19"/>
              </w:rPr>
              <w:t xml:space="preserve">This follow-up task will appear in your Salesforce task list and in the Monday morning email digest.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A1F5C" w:sz="4"/>
              <w:left w:val="single" w:color="0A1F5C" w:sz="4"/>
              <w:bottom w:val="single" w:color="0A1F5C" w:sz="4"/>
              <w:right w:val="single" w:color="0A1F5C" w:sz="4"/>
            </w:tcBorders>
            <w:shd w:fill="6D28D9" w:val="clear"/>
            <w:tcMar>
              <w:top w:type="dxa" w:w="100"/>
              <w:left w:type="dxa" w:w="100"/>
              <w:bottom w:type="dxa" w:w="100"/>
              <w:right w:type="dxa" w:w="100"/>
            </w:tcMar>
            <w:vAlign w:val="center"/>
          </w:tcPr>
          <w:p>
            <w:pPr>
              <w:jc w:val="center"/>
            </w:pPr>
            <w:r>
              <w:rPr>
                <w:rFonts w:ascii="Arial" w:cs="Arial" w:eastAsia="Arial" w:hAnsi="Arial"/>
                <w:b/>
                <w:bCs/>
                <w:color w:val="FFFFFF"/>
                <w:sz w:val="36"/>
                <w:szCs w:val="36"/>
              </w:rPr>
              <w:t xml:space="preserve">5</w:t>
            </w:r>
          </w:p>
        </w:tc>
        <w:tc>
          <w:tcPr>
            <w:tcW w:type="dxa" w:w="8800"/>
            <w:tcBorders>
              <w:top w:val="single" w:color="0A1F5C" w:sz="4"/>
              <w:left w:val="single" w:color="0A1F5C" w:sz="4"/>
              <w:bottom w:val="single" w:color="0A1F5C" w:sz="4"/>
              <w:right w:val="single" w:color="0A1F5C" w:sz="4"/>
            </w:tcBorders>
            <w:shd w:fill="F4F7FB" w:val="clear"/>
            <w:tcMar>
              <w:top w:type="dxa" w:w="100"/>
              <w:left w:type="dxa" w:w="200"/>
              <w:bottom w:type="dxa" w:w="100"/>
              <w:right w:type="dxa" w:w="200"/>
            </w:tcMar>
          </w:tcPr>
          <w:p>
            <w:pPr>
              <w:spacing w:after="60"/>
            </w:pPr>
            <w:r>
              <w:rPr>
                <w:rFonts w:ascii="Arial" w:cs="Arial" w:eastAsia="Arial" w:hAnsi="Arial"/>
                <w:b/>
                <w:bCs/>
                <w:color w:val="6D28D9"/>
                <w:sz w:val="22"/>
                <w:szCs w:val="22"/>
              </w:rPr>
              <w:t xml:space="preserve">If the lead is strong — convert to Opportunity immediately</w:t>
            </w:r>
          </w:p>
          <w:p>
            <w:pPr>
              <w:spacing w:after="60"/>
            </w:pPr>
            <w:r>
              <w:rPr>
                <w:rFonts w:ascii="Arial" w:cs="Arial" w:eastAsia="Arial" w:hAnsi="Arial"/>
                <w:color w:val="1A2A4A"/>
                <w:sz w:val="19"/>
                <w:szCs w:val="19"/>
              </w:rPr>
              <w:t xml:space="preserve">If the person expressed clear intent to buy / evaluate / shortlist — don't wait.</w:t>
            </w:r>
          </w:p>
          <w:p>
            <w:pPr>
              <w:spacing w:after="60"/>
            </w:pPr>
            <w:r>
              <w:rPr>
                <w:rFonts w:ascii="Arial" w:cs="Arial" w:eastAsia="Arial" w:hAnsi="Arial"/>
                <w:color w:val="1A2A4A"/>
                <w:sz w:val="19"/>
                <w:szCs w:val="19"/>
              </w:rPr>
              <w:t xml:space="preserve">Click 'Convert' on the Lead record.</w:t>
            </w:r>
          </w:p>
          <w:p>
            <w:pPr>
              <w:spacing w:after="60"/>
            </w:pPr>
            <w:r>
              <w:rPr>
                <w:rFonts w:ascii="Arial" w:cs="Arial" w:eastAsia="Arial" w:hAnsi="Arial"/>
                <w:color w:val="1A2A4A"/>
                <w:sz w:val="19"/>
                <w:szCs w:val="19"/>
              </w:rPr>
              <w:t xml:space="preserve">Salesforce will create: Contact + Account (if new) + Opportunity.</w:t>
            </w:r>
          </w:p>
          <w:p>
            <w:pPr>
              <w:spacing w:after="60"/>
            </w:pPr>
            <w:r>
              <w:rPr>
                <w:rFonts w:ascii="Arial" w:cs="Arial" w:eastAsia="Arial" w:hAnsi="Arial"/>
                <w:color w:val="1A2A4A"/>
                <w:sz w:val="19"/>
                <w:szCs w:val="19"/>
              </w:rPr>
              <w:t xml:space="preserve">On the Opportunity: set Stage = 'Qualifying', Amount = your estimate, Close Date = realistic target.</w:t>
            </w:r>
          </w:p>
          <w:p>
            <w:pPr>
              <w:spacing w:after="60"/>
            </w:pPr>
            <w:r>
              <w:rPr>
                <w:rFonts w:ascii="Arial" w:cs="Arial" w:eastAsia="Arial" w:hAnsi="Arial"/>
                <w:color w:val="1A2A4A"/>
                <w:sz w:val="19"/>
                <w:szCs w:val="19"/>
              </w:rPr>
              <w:t xml:space="preserve">Fill BU_Initiative__c and Lead Source on the Opportunity too (same values as the Lead).</w:t>
            </w:r>
          </w:p>
          <w:p>
            <w:pPr>
              <w:spacing w:after="60"/>
            </w:pPr>
            <w:r>
              <w:rPr>
                <w:rFonts w:ascii="Arial" w:cs="Arial" w:eastAsia="Arial" w:hAnsi="Arial"/>
                <w:color w:val="1A2A4A"/>
                <w:sz w:val="19"/>
                <w:szCs w:val="19"/>
              </w:rPr>
              <w:t xml:space="preserve">This is what shows up in Jon's initiative pipeline charts.</w:t>
            </w:r>
          </w:p>
        </w:tc>
      </w:tr>
    </w:tbl>
    <w:p>
      <w:pPr>
        <w:spacing w:after="80"/>
      </w:pPr>
    </w:p>
    <w:p>
      <w:r>
        <w:br w:type="page"/>
      </w:r>
    </w:p>
    <w:p>
      <w:pPr>
        <w:pStyle w:val="Heading1"/>
      </w:pPr>
      <w:r>
        <w:t xml:space="preserve">3.  Common Mistakes — What Goes Wrong and How to Fix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pPr>
              <w:jc w:val="left"/>
            </w:pPr>
            <w:r>
              <w:rPr>
                <w:rFonts w:ascii="Arial" w:cs="Arial" w:eastAsia="Arial" w:hAnsi="Arial"/>
                <w:b/>
                <w:bCs/>
                <w:color w:val="FFFFFF"/>
                <w:sz w:val="18"/>
                <w:szCs w:val="18"/>
              </w:rPr>
              <w:t xml:space="preserve">Mistake</w:t>
            </w:r>
          </w:p>
        </w:tc>
        <w:tc>
          <w:tcPr>
            <w:tcW w:type="dxa" w:w="32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pPr>
              <w:jc w:val="left"/>
            </w:pPr>
            <w:r>
              <w:rPr>
                <w:rFonts w:ascii="Arial" w:cs="Arial" w:eastAsia="Arial" w:hAnsi="Arial"/>
                <w:b/>
                <w:bCs/>
                <w:color w:val="FFFFFF"/>
                <w:sz w:val="18"/>
                <w:szCs w:val="18"/>
              </w:rPr>
              <w:t xml:space="preserve">Why it matters</w:t>
            </w:r>
          </w:p>
        </w:tc>
        <w:tc>
          <w:tcPr>
            <w:tcW w:type="dxa" w:w="296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pPr>
              <w:jc w:val="left"/>
            </w:pPr>
            <w:r>
              <w:rPr>
                <w:rFonts w:ascii="Arial" w:cs="Arial" w:eastAsia="Arial" w:hAnsi="Arial"/>
                <w:b/>
                <w:bCs/>
                <w:color w:val="FFFFFF"/>
                <w:sz w:val="18"/>
                <w:szCs w:val="18"/>
              </w:rPr>
              <w:t xml:space="preserve">Fix</w:t>
            </w:r>
          </w:p>
        </w:tc>
      </w:tr>
      <w:tr>
        <w:tc>
          <w:tcPr>
            <w:tcW w:type="dxa" w:w="3200"/>
            <w:tcBorders>
              <w:top w:val="single" w:color="D0DCF0" w:sz="1"/>
              <w:left w:val="single" w:color="D0DCF0" w:sz="1"/>
              <w:bottom w:val="single" w:color="D0DCF0" w:sz="1"/>
              <w:right w:val="single" w:color="D0DCF0" w:sz="1"/>
            </w:tcBorders>
            <w:shd w:fill="FEE2E2" w:val="clear"/>
            <w:tcMar>
              <w:top w:type="dxa" w:w="70"/>
              <w:left w:type="dxa" w:w="140"/>
              <w:bottom w:type="dxa" w:w="70"/>
              <w:right w:type="dxa" w:w="140"/>
            </w:tcMar>
          </w:tcPr>
          <w:p>
            <w:pPr>
              <w:jc w:val="left"/>
            </w:pPr>
            <w:r>
              <w:rPr>
                <w:rFonts w:ascii="Arial" w:cs="Arial" w:eastAsia="Arial" w:hAnsi="Arial"/>
                <w:b/>
                <w:bCs/>
                <w:color w:val="B91C1C"/>
                <w:sz w:val="18"/>
                <w:szCs w:val="18"/>
              </w:rPr>
              <w:t xml:space="preserve">Leaving BU_Initiative__c blank</w:t>
            </w:r>
          </w:p>
        </w:tc>
        <w:tc>
          <w:tcPr>
            <w:tcW w:type="dxa" w:w="3200"/>
            <w:tcBorders>
              <w:top w:val="single" w:color="D0DCF0" w:sz="1"/>
              <w:left w:val="single" w:color="D0DCF0" w:sz="1"/>
              <w:bottom w:val="single" w:color="D0DCF0" w:sz="1"/>
              <w:right w:val="single" w:color="D0DCF0" w:sz="1"/>
            </w:tcBorders>
            <w:shd w:fill="FEE2E2"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The Power Automate flow cannot count this lead toward any initiative. Jon's pipeline dashboard shows lower numbers than reality. Conference ROI metrics are understated.</w:t>
            </w:r>
          </w:p>
        </w:tc>
        <w:tc>
          <w:tcPr>
            <w:tcW w:type="dxa" w:w="2960"/>
            <w:tcBorders>
              <w:top w:val="single" w:color="D0DCF0" w:sz="1"/>
              <w:left w:val="single" w:color="D0DCF0" w:sz="1"/>
              <w:bottom w:val="single" w:color="D0DCF0" w:sz="1"/>
              <w:right w:val="single" w:color="D0DCF0" w:sz="1"/>
            </w:tcBorders>
            <w:shd w:fill="FEE2E2" w:val="clear"/>
            <w:tcMar>
              <w:top w:type="dxa" w:w="70"/>
              <w:left w:type="dxa" w:w="140"/>
              <w:bottom w:type="dxa" w:w="70"/>
              <w:right w:type="dxa" w:w="140"/>
            </w:tcMar>
          </w:tcPr>
          <w:p>
            <w:pPr>
              <w:jc w:val="left"/>
            </w:pPr>
            <w:r>
              <w:rPr>
                <w:rFonts w:ascii="Arial" w:cs="Arial" w:eastAsia="Arial" w:hAnsi="Arial"/>
                <w:b w:val="false"/>
                <w:bCs w:val="false"/>
                <w:color w:val="16A34A"/>
                <w:sz w:val="18"/>
                <w:szCs w:val="18"/>
              </w:rPr>
              <w:t xml:space="preserve">Go back to the Lead → edit → set BU_Initiative__c. Can be done anytime.</w:t>
            </w:r>
          </w:p>
        </w:tc>
      </w:tr>
      <w:tr>
        <w:tc>
          <w:tcPr>
            <w:tcW w:type="dxa" w:w="32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B91C1C"/>
                <w:sz w:val="18"/>
                <w:szCs w:val="18"/>
              </w:rPr>
              <w:t xml:space="preserve">Entering the wrong conference name in Lead Source</w:t>
            </w:r>
          </w:p>
        </w:tc>
        <w:tc>
          <w:tcPr>
            <w:tcW w:type="dxa" w:w="32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The system can't match this lead to the right conference. The Conference ROI section in the Command Centre won't count it.</w:t>
            </w:r>
          </w:p>
        </w:tc>
        <w:tc>
          <w:tcPr>
            <w:tcW w:type="dxa" w:w="29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6A34A"/>
                <w:sz w:val="18"/>
                <w:szCs w:val="18"/>
              </w:rPr>
              <w:t xml:space="preserve">Use the exact conference name from the table in Section 2. Edit the Lead Source field if you already saved it wrong.</w:t>
            </w:r>
          </w:p>
        </w:tc>
      </w:tr>
      <w:tr>
        <w:tc>
          <w:tcPr>
            <w:tcW w:type="dxa" w:w="3200"/>
            <w:tcBorders>
              <w:top w:val="single" w:color="D0DCF0" w:sz="1"/>
              <w:left w:val="single" w:color="D0DCF0" w:sz="1"/>
              <w:bottom w:val="single" w:color="D0DCF0" w:sz="1"/>
              <w:right w:val="single" w:color="D0DCF0" w:sz="1"/>
            </w:tcBorders>
            <w:shd w:fill="FEE2E2" w:val="clear"/>
            <w:tcMar>
              <w:top w:type="dxa" w:w="70"/>
              <w:left w:type="dxa" w:w="140"/>
              <w:bottom w:type="dxa" w:w="70"/>
              <w:right w:type="dxa" w:w="140"/>
            </w:tcMar>
          </w:tcPr>
          <w:p>
            <w:pPr>
              <w:jc w:val="left"/>
            </w:pPr>
            <w:r>
              <w:rPr>
                <w:rFonts w:ascii="Arial" w:cs="Arial" w:eastAsia="Arial" w:hAnsi="Arial"/>
                <w:b/>
                <w:bCs/>
                <w:color w:val="B91C1C"/>
                <w:sz w:val="18"/>
                <w:szCs w:val="18"/>
              </w:rPr>
              <w:t xml:space="preserve">Creating a duplicate Contact instead of logging an activity</w:t>
            </w:r>
          </w:p>
        </w:tc>
        <w:tc>
          <w:tcPr>
            <w:tcW w:type="dxa" w:w="3200"/>
            <w:tcBorders>
              <w:top w:val="single" w:color="D0DCF0" w:sz="1"/>
              <w:left w:val="single" w:color="D0DCF0" w:sz="1"/>
              <w:bottom w:val="single" w:color="D0DCF0" w:sz="1"/>
              <w:right w:val="single" w:color="D0DCF0" w:sz="1"/>
            </w:tcBorders>
            <w:shd w:fill="FEE2E2"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Pollutes Salesforce with duplicates. Makes pipeline reports unreliable.</w:t>
            </w:r>
          </w:p>
        </w:tc>
        <w:tc>
          <w:tcPr>
            <w:tcW w:type="dxa" w:w="2960"/>
            <w:tcBorders>
              <w:top w:val="single" w:color="D0DCF0" w:sz="1"/>
              <w:left w:val="single" w:color="D0DCF0" w:sz="1"/>
              <w:bottom w:val="single" w:color="D0DCF0" w:sz="1"/>
              <w:right w:val="single" w:color="D0DCF0" w:sz="1"/>
            </w:tcBorders>
            <w:shd w:fill="FEE2E2" w:val="clear"/>
            <w:tcMar>
              <w:top w:type="dxa" w:w="70"/>
              <w:left w:type="dxa" w:w="140"/>
              <w:bottom w:type="dxa" w:w="70"/>
              <w:right w:type="dxa" w:w="140"/>
            </w:tcMar>
          </w:tcPr>
          <w:p>
            <w:pPr>
              <w:jc w:val="left"/>
            </w:pPr>
            <w:r>
              <w:rPr>
                <w:rFonts w:ascii="Arial" w:cs="Arial" w:eastAsia="Arial" w:hAnsi="Arial"/>
                <w:b w:val="false"/>
                <w:bCs w:val="false"/>
                <w:color w:val="16A34A"/>
                <w:sz w:val="18"/>
                <w:szCs w:val="18"/>
              </w:rPr>
              <w:t xml:space="preserve">Search for the person's name BEFORE creating anything. If they exist: open their record, click New Activity &gt; Log a Call.</w:t>
            </w:r>
          </w:p>
        </w:tc>
      </w:tr>
      <w:tr>
        <w:tc>
          <w:tcPr>
            <w:tcW w:type="dxa" w:w="32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B91C1C"/>
                <w:sz w:val="18"/>
                <w:szCs w:val="18"/>
              </w:rPr>
              <w:t xml:space="preserve">Waiting more than 48 hours</w:t>
            </w:r>
          </w:p>
        </w:tc>
        <w:tc>
          <w:tcPr>
            <w:tcW w:type="dxa" w:w="32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The Sunday PA flow runs at 7PM ET. If you enter leads on Monday they won't appear in the Command Centre until the following Monday.</w:t>
            </w:r>
          </w:p>
        </w:tc>
        <w:tc>
          <w:tcPr>
            <w:tcW w:type="dxa" w:w="29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6A34A"/>
                <w:sz w:val="18"/>
                <w:szCs w:val="18"/>
              </w:rPr>
              <w:t xml:space="preserve">Enter on the plane, in the hotel, or at dinner. Your phone has the Salesforce app. 5 minutes per lead maximum.</w:t>
            </w:r>
          </w:p>
        </w:tc>
      </w:tr>
      <w:tr>
        <w:tc>
          <w:tcPr>
            <w:tcW w:type="dxa" w:w="3200"/>
            <w:tcBorders>
              <w:top w:val="single" w:color="D0DCF0" w:sz="1"/>
              <w:left w:val="single" w:color="D0DCF0" w:sz="1"/>
              <w:bottom w:val="single" w:color="D0DCF0" w:sz="1"/>
              <w:right w:val="single" w:color="D0DCF0" w:sz="1"/>
            </w:tcBorders>
            <w:shd w:fill="FEE2E2" w:val="clear"/>
            <w:tcMar>
              <w:top w:type="dxa" w:w="70"/>
              <w:left w:type="dxa" w:w="140"/>
              <w:bottom w:type="dxa" w:w="70"/>
              <w:right w:type="dxa" w:w="140"/>
            </w:tcMar>
          </w:tcPr>
          <w:p>
            <w:pPr>
              <w:jc w:val="left"/>
            </w:pPr>
            <w:r>
              <w:rPr>
                <w:rFonts w:ascii="Arial" w:cs="Arial" w:eastAsia="Arial" w:hAnsi="Arial"/>
                <w:b/>
                <w:bCs/>
                <w:color w:val="B91C1C"/>
                <w:sz w:val="18"/>
                <w:szCs w:val="18"/>
              </w:rPr>
              <w:t xml:space="preserve">Not setting a Close Date on Opportunities</w:t>
            </w:r>
          </w:p>
        </w:tc>
        <w:tc>
          <w:tcPr>
            <w:tcW w:type="dxa" w:w="3200"/>
            <w:tcBorders>
              <w:top w:val="single" w:color="D0DCF0" w:sz="1"/>
              <w:left w:val="single" w:color="D0DCF0" w:sz="1"/>
              <w:bottom w:val="single" w:color="D0DCF0" w:sz="1"/>
              <w:right w:val="single" w:color="D0DCF0" w:sz="1"/>
            </w:tcBorders>
            <w:shd w:fill="FEE2E2"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Salesforce won't include undated opportunities in pipeline forecasts.</w:t>
            </w:r>
          </w:p>
        </w:tc>
        <w:tc>
          <w:tcPr>
            <w:tcW w:type="dxa" w:w="2960"/>
            <w:tcBorders>
              <w:top w:val="single" w:color="D0DCF0" w:sz="1"/>
              <w:left w:val="single" w:color="D0DCF0" w:sz="1"/>
              <w:bottom w:val="single" w:color="D0DCF0" w:sz="1"/>
              <w:right w:val="single" w:color="D0DCF0" w:sz="1"/>
            </w:tcBorders>
            <w:shd w:fill="FEE2E2" w:val="clear"/>
            <w:tcMar>
              <w:top w:type="dxa" w:w="70"/>
              <w:left w:type="dxa" w:w="140"/>
              <w:bottom w:type="dxa" w:w="70"/>
              <w:right w:type="dxa" w:w="140"/>
            </w:tcMar>
          </w:tcPr>
          <w:p>
            <w:pPr>
              <w:jc w:val="left"/>
            </w:pPr>
            <w:r>
              <w:rPr>
                <w:rFonts w:ascii="Arial" w:cs="Arial" w:eastAsia="Arial" w:hAnsi="Arial"/>
                <w:b w:val="false"/>
                <w:bCs w:val="false"/>
                <w:color w:val="16A34A"/>
                <w:sz w:val="18"/>
                <w:szCs w:val="18"/>
              </w:rPr>
              <w:t xml:space="preserve">Even a rough estimate is fine: if it's early stage, set 12 months out. You can always change it.</w:t>
            </w:r>
          </w:p>
        </w:tc>
      </w:tr>
      <w:tr>
        <w:tc>
          <w:tcPr>
            <w:tcW w:type="dxa" w:w="32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B91C1C"/>
                <w:sz w:val="18"/>
                <w:szCs w:val="18"/>
              </w:rPr>
              <w:t xml:space="preserve">Creating an Opportunity without an Amount</w:t>
            </w:r>
          </w:p>
        </w:tc>
        <w:tc>
          <w:tcPr>
            <w:tcW w:type="dxa" w:w="32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Pipeline value shows $0. Initiative progress charts don't move.</w:t>
            </w:r>
          </w:p>
        </w:tc>
        <w:tc>
          <w:tcPr>
            <w:tcW w:type="dxa" w:w="29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6A34A"/>
                <w:sz w:val="18"/>
                <w:szCs w:val="18"/>
              </w:rPr>
              <w:t xml:space="preserve">Estimate is fine. Best case: what's the full contract value? Enter that. It can be refined later.</w:t>
            </w:r>
          </w:p>
        </w:tc>
      </w:tr>
    </w:tbl>
    <w:p>
      <w:pPr>
        <w:spacing w:after="80"/>
      </w:pPr>
    </w:p>
    <w:p>
      <w:r>
        <w:br w:type="page"/>
      </w:r>
    </w:p>
    <w:p>
      <w:pPr>
        <w:pStyle w:val="Heading1"/>
      </w:pPr>
      <w:r>
        <w:t xml:space="preserve">4.  Éric Carmichael — Salesforce Configuration for Conference Tracking</w:t>
      </w:r>
    </w:p>
    <w:p>
      <w:pPr>
        <w:spacing w:after="120"/>
      </w:pPr>
      <w:r>
        <w:rPr>
          <w:rFonts w:ascii="Arial" w:cs="Arial" w:eastAsia="Arial" w:hAnsi="Arial"/>
          <w:sz w:val="20"/>
          <w:szCs w:val="20"/>
        </w:rPr>
        <w:t xml:space="preserve">This section is for Éric. It covers exactly what needs to exist in Salesforce to support the conference tracking system. Most of this should already be in place from the existing Salesforce setup guide — but some fields are new or need adjustment specifically for conferences.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0A1F5C" w:sz="4"/>
              <w:right w:val="single" w:color="0A1F5C" w:sz="4"/>
            </w:tcBorders>
            <w:shd w:fill="F4F7FB" w:val="clear"/>
            <w:tcMar>
              <w:top w:type="dxa" w:w="100"/>
              <w:left w:type="dxa" w:w="200"/>
              <w:bottom w:type="dxa" w:w="100"/>
              <w:right w:type="dxa" w:w="200"/>
            </w:tcMar>
          </w:tcPr>
          <w:p>
            <w:r>
              <w:rPr>
                <w:rFonts w:ascii="Arial" w:cs="Arial" w:eastAsia="Arial" w:hAnsi="Arial"/>
                <w:b/>
                <w:bCs/>
                <w:color w:val="0A1F5C"/>
                <w:sz w:val="20"/>
                <w:szCs w:val="20"/>
              </w:rPr>
              <w:t xml:space="preserve">Summary: 4 things for Éric to verify or build</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00"/>
              <w:bottom w:type="dxa" w:w="60"/>
              <w:right w:type="dxa" w:w="200"/>
            </w:tcMar>
          </w:tcPr>
          <w:p>
            <w:pPr>
              <w:spacing w:after="80"/>
            </w:pPr>
            <w:r>
              <w:rPr>
                <w:rFonts w:ascii="Arial" w:cs="Arial" w:eastAsia="Arial" w:hAnsi="Arial"/>
                <w:color w:val="1A2A4A"/>
                <w:sz w:val="19"/>
                <w:szCs w:val="19"/>
              </w:rPr>
              <w:t xml:space="preserve">1. BU_Initiative__c picklist field exists on both Lead and Opportunity objects — with the correct values</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00"/>
              <w:bottom w:type="dxa" w:w="60"/>
              <w:right w:type="dxa" w:w="200"/>
            </w:tcMar>
          </w:tcPr>
          <w:p>
            <w:pPr>
              <w:spacing w:after="80"/>
            </w:pPr>
            <w:r>
              <w:rPr>
                <w:rFonts w:ascii="Arial" w:cs="Arial" w:eastAsia="Arial" w:hAnsi="Arial"/>
                <w:color w:val="1A2A4A"/>
                <w:sz w:val="19"/>
                <w:szCs w:val="19"/>
              </w:rPr>
              <w:t xml:space="preserve">2. Lead Source field on Lead has all 14 conference names as picklist values</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00"/>
              <w:bottom w:type="dxa" w:w="60"/>
              <w:right w:type="dxa" w:w="200"/>
            </w:tcMar>
          </w:tcPr>
          <w:p>
            <w:pPr>
              <w:spacing w:after="80"/>
            </w:pPr>
            <w:r>
              <w:rPr>
                <w:rFonts w:ascii="Arial" w:cs="Arial" w:eastAsia="Arial" w:hAnsi="Arial"/>
                <w:color w:val="1A2A4A"/>
                <w:sz w:val="19"/>
                <w:szCs w:val="19"/>
              </w:rPr>
              <w:t xml:space="preserve">3. Conference_Name__c custom field on Opportunity (mirrors Lead Source for traceability)</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00"/>
              <w:bottom w:type="dxa" w:w="60"/>
              <w:right w:type="dxa" w:w="200"/>
            </w:tcMar>
          </w:tcPr>
          <w:p>
            <w:pPr>
              <w:spacing w:after="80"/>
            </w:pPr>
            <w:r>
              <w:rPr>
                <w:rFonts w:ascii="Arial" w:cs="Arial" w:eastAsia="Arial" w:hAnsi="Arial"/>
                <w:color w:val="1A2A4A"/>
                <w:sz w:val="19"/>
                <w:szCs w:val="19"/>
              </w:rPr>
              <w:t xml:space="preserve">4. Salesforce report 'Conference Leads 2026' configured and shared with Jon</w:t>
            </w:r>
          </w:p>
        </w:tc>
      </w:tr>
    </w:tbl>
    <w:p>
      <w:pPr>
        <w:spacing w:after="80"/>
      </w:pPr>
    </w:p>
    <w:p>
      <w:pPr>
        <w:pStyle w:val="Heading2"/>
      </w:pPr>
      <w:r>
        <w:t xml:space="preserve">4.1  BU_Initiative__c Field — Lead and Opportunity Objects</w:t>
      </w:r>
    </w:p>
    <w:p>
      <w:pPr>
        <w:spacing w:after="120"/>
      </w:pPr>
      <w:r>
        <w:rPr>
          <w:rFonts w:ascii="Arial" w:cs="Arial" w:eastAsia="Arial" w:hAnsi="Arial"/>
          <w:sz w:val="20"/>
          <w:szCs w:val="20"/>
        </w:rPr>
        <w:t xml:space="preserve">This is the most critical field. The Sunday Power Automate flow filters by this field to calculate initiative-level revenue and pipeline.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pPr>
              <w:jc w:val="left"/>
            </w:pPr>
            <w:r>
              <w:rPr>
                <w:rFonts w:ascii="Arial" w:cs="Arial" w:eastAsia="Arial" w:hAnsi="Arial"/>
                <w:b/>
                <w:bCs/>
                <w:color w:val="FFFFFF"/>
                <w:sz w:val="18"/>
                <w:szCs w:val="18"/>
              </w:rPr>
              <w:t xml:space="preserve">Property</w:t>
            </w:r>
          </w:p>
        </w:tc>
        <w:tc>
          <w:tcPr>
            <w:tcW w:type="dxa" w:w="716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pPr>
              <w:jc w:val="left"/>
            </w:pPr>
            <w:r>
              <w:rPr>
                <w:rFonts w:ascii="Arial" w:cs="Arial" w:eastAsia="Arial" w:hAnsi="Arial"/>
                <w:b/>
                <w:bCs/>
                <w:color w:val="FFFFFF"/>
                <w:sz w:val="18"/>
                <w:szCs w:val="18"/>
              </w:rPr>
              <w:t xml:space="preserve">Value</w:t>
            </w:r>
          </w:p>
        </w:tc>
      </w:tr>
      <w:tr>
        <w:tc>
          <w:tcPr>
            <w:tcW w:type="dxa" w:w="22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9"/>
                <w:szCs w:val="19"/>
              </w:rPr>
              <w:t xml:space="preserve">API Name</w:t>
            </w:r>
          </w:p>
        </w:tc>
        <w:tc>
          <w:tcPr>
            <w:tcW w:type="dxa" w:w="71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9"/>
                <w:szCs w:val="19"/>
              </w:rPr>
              <w:t xml:space="preserve">BU_Initiative__c</w:t>
            </w:r>
          </w:p>
        </w:tc>
      </w:tr>
      <w:tr>
        <w:tc>
          <w:tcPr>
            <w:tcW w:type="dxa" w:w="22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9"/>
                <w:szCs w:val="19"/>
              </w:rPr>
              <w:t xml:space="preserve">Label</w:t>
            </w:r>
          </w:p>
        </w:tc>
        <w:tc>
          <w:tcPr>
            <w:tcW w:type="dxa" w:w="71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9"/>
                <w:szCs w:val="19"/>
              </w:rPr>
              <w:t xml:space="preserve">BU Initiative</w:t>
            </w:r>
          </w:p>
        </w:tc>
      </w:tr>
      <w:tr>
        <w:tc>
          <w:tcPr>
            <w:tcW w:type="dxa" w:w="22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9"/>
                <w:szCs w:val="19"/>
              </w:rPr>
              <w:t xml:space="preserve">Field Type</w:t>
            </w:r>
          </w:p>
        </w:tc>
        <w:tc>
          <w:tcPr>
            <w:tcW w:type="dxa" w:w="71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9"/>
                <w:szCs w:val="19"/>
              </w:rPr>
              <w:t xml:space="preserve">Picklist</w:t>
            </w:r>
          </w:p>
        </w:tc>
      </w:tr>
      <w:tr>
        <w:tc>
          <w:tcPr>
            <w:tcW w:type="dxa" w:w="22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9"/>
                <w:szCs w:val="19"/>
              </w:rPr>
              <w:t xml:space="preserve">Objects</w:t>
            </w:r>
          </w:p>
        </w:tc>
        <w:tc>
          <w:tcPr>
            <w:tcW w:type="dxa" w:w="71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9"/>
                <w:szCs w:val="19"/>
              </w:rPr>
              <w:t xml:space="preserve">Lead AND Opportunity (must exist on BOTH)</w:t>
            </w:r>
          </w:p>
        </w:tc>
      </w:tr>
      <w:tr>
        <w:tc>
          <w:tcPr>
            <w:tcW w:type="dxa" w:w="22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9"/>
                <w:szCs w:val="19"/>
              </w:rPr>
              <w:t xml:space="preserve">Required</w:t>
            </w:r>
          </w:p>
        </w:tc>
        <w:tc>
          <w:tcPr>
            <w:tcW w:type="dxa" w:w="71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9"/>
                <w:szCs w:val="19"/>
              </w:rPr>
              <w:t xml:space="preserve">No (leave optional — some Base Business leads won't have an initiative)</w:t>
            </w:r>
          </w:p>
        </w:tc>
      </w:tr>
      <w:tr>
        <w:tc>
          <w:tcPr>
            <w:tcW w:type="dxa" w:w="22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9"/>
                <w:szCs w:val="19"/>
              </w:rPr>
              <w:t xml:space="preserve">Picklist Values</w:t>
            </w:r>
          </w:p>
        </w:tc>
        <w:tc>
          <w:tcPr>
            <w:tcW w:type="dxa" w:w="71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9"/>
                <w:szCs w:val="19"/>
              </w:rPr>
              <w:t xml:space="preserve">Mining NDT · Pipeline DA · Powerline · Nuclear-OPG · 3X Composite · Base Business</w:t>
            </w:r>
          </w:p>
        </w:tc>
      </w:tr>
      <w:tr>
        <w:tc>
          <w:tcPr>
            <w:tcW w:type="dxa" w:w="22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9"/>
                <w:szCs w:val="19"/>
              </w:rPr>
              <w:t xml:space="preserve">Default Value</w:t>
            </w:r>
          </w:p>
        </w:tc>
        <w:tc>
          <w:tcPr>
            <w:tcW w:type="dxa" w:w="71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9"/>
                <w:szCs w:val="19"/>
              </w:rPr>
              <w:t xml:space="preserve">(none — blank is acceptable for Base Business)</w:t>
            </w:r>
          </w:p>
        </w:tc>
      </w:tr>
      <w:tr>
        <w:tc>
          <w:tcPr>
            <w:tcW w:type="dxa" w:w="22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9"/>
                <w:szCs w:val="19"/>
              </w:rPr>
              <w:t xml:space="preserve">Visible to</w:t>
            </w:r>
          </w:p>
        </w:tc>
        <w:tc>
          <w:tcPr>
            <w:tcW w:type="dxa" w:w="71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9"/>
                <w:szCs w:val="19"/>
              </w:rPr>
              <w:t xml:space="preserve">All profiles — every commercial user must be able to see and set this field</w:t>
            </w:r>
          </w:p>
        </w:tc>
      </w:tr>
      <w:tr>
        <w:tc>
          <w:tcPr>
            <w:tcW w:type="dxa" w:w="22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9"/>
                <w:szCs w:val="19"/>
              </w:rPr>
              <w:t xml:space="preserve">Page Layout</w:t>
            </w:r>
          </w:p>
        </w:tc>
        <w:tc>
          <w:tcPr>
            <w:tcW w:type="dxa" w:w="71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9"/>
                <w:szCs w:val="19"/>
              </w:rPr>
              <w:t xml:space="preserve">Add to Lead layout AND Opportunity layout, placed prominently near the top of the Details section</w:t>
            </w:r>
          </w:p>
        </w:tc>
      </w:tr>
    </w:tbl>
    <w:p>
      <w:pPr>
        <w:spacing w:after="80"/>
      </w:pPr>
    </w:p>
    <w:p>
      <w:pPr>
        <w:pStyle w:val="Heading2"/>
      </w:pPr>
      <w:r>
        <w:t xml:space="preserve">4.2  Lead Source Field — Add Conference Names as Picklist Values</w:t>
      </w:r>
    </w:p>
    <w:p>
      <w:pPr>
        <w:spacing w:after="120"/>
      </w:pPr>
      <w:r>
        <w:rPr>
          <w:rFonts w:ascii="Arial" w:cs="Arial" w:eastAsia="Arial" w:hAnsi="Arial"/>
          <w:sz w:val="20"/>
          <w:szCs w:val="20"/>
        </w:rPr>
        <w:t xml:space="preserve">The Lead Source picklist on the Lead object needs to include all 14 BU Services conferences as selectable values. These must match exactly what appears in this guide (Section 2).</w:t>
      </w:r>
    </w:p>
    <w:p>
      <w:pPr>
        <w:spacing w:after="80"/>
      </w:pPr>
    </w:p>
    <w:p>
      <w:pPr>
        <w:spacing w:after="120"/>
      </w:pPr>
      <w:r>
        <w:rPr>
          <w:rFonts w:ascii="Arial" w:cs="Arial" w:eastAsia="Arial" w:hAnsi="Arial"/>
          <w:sz w:val="20"/>
          <w:szCs w:val="20"/>
        </w:rPr>
        <w:t xml:space="preserve">In Salesforce Setup:</w:t>
      </w:r>
    </w:p>
    <w:p>
      <w:pPr>
        <w:pStyle w:val="ListParagraph"/>
        <w:numPr>
          <w:ilvl w:val="0"/>
          <w:numId w:val="3"/>
        </w:numPr>
        <w:spacing w:after="100"/>
      </w:pPr>
      <w:r>
        <w:rPr>
          <w:rFonts w:ascii="Arial" w:cs="Arial" w:eastAsia="Arial" w:hAnsi="Arial"/>
          <w:sz w:val="20"/>
          <w:szCs w:val="20"/>
        </w:rPr>
        <w:t xml:space="preserve">Object Manager → Lead → Fields &amp; Relationships → Lead Source</w:t>
      </w:r>
    </w:p>
    <w:p>
      <w:pPr>
        <w:pStyle w:val="ListParagraph"/>
        <w:numPr>
          <w:ilvl w:val="0"/>
          <w:numId w:val="3"/>
        </w:numPr>
        <w:spacing w:after="100"/>
      </w:pPr>
      <w:r>
        <w:rPr>
          <w:rFonts w:ascii="Arial" w:cs="Arial" w:eastAsia="Arial" w:hAnsi="Arial"/>
          <w:sz w:val="20"/>
          <w:szCs w:val="20"/>
        </w:rPr>
        <w:t xml:space="preserve">Click 'Edit' on the Lead Source field</w:t>
      </w:r>
    </w:p>
    <w:p>
      <w:pPr>
        <w:pStyle w:val="ListParagraph"/>
        <w:numPr>
          <w:ilvl w:val="0"/>
          <w:numId w:val="3"/>
        </w:numPr>
        <w:spacing w:after="100"/>
      </w:pPr>
      <w:r>
        <w:rPr>
          <w:rFonts w:ascii="Arial" w:cs="Arial" w:eastAsia="Arial" w:hAnsi="Arial"/>
          <w:sz w:val="20"/>
          <w:szCs w:val="20"/>
        </w:rPr>
        <w:t xml:space="preserve">Add the following picklist values (one per 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A8" w:sz="4"/>
              <w:left w:val="single" w:color="1A5CA8" w:sz="4"/>
              <w:bottom w:val="single" w:color="1A5CA8" w:sz="4"/>
              <w:right w:val="single" w:color="1A5CA8" w:sz="4"/>
            </w:tcBorders>
            <w:shd w:fill="EFF6FF" w:val="clear"/>
            <w:tcMar>
              <w:top w:type="dxa" w:w="100"/>
              <w:left w:type="dxa" w:w="200"/>
              <w:bottom w:type="dxa" w:w="100"/>
              <w:right w:type="dxa" w:w="200"/>
            </w:tcMar>
          </w:tcPr>
          <w:p>
            <w:r>
              <w:rPr>
                <w:rFonts w:ascii="Arial" w:cs="Arial" w:eastAsia="Arial" w:hAnsi="Arial"/>
                <w:b/>
                <w:bCs/>
                <w:color w:val="1A5CA8"/>
                <w:sz w:val="20"/>
                <w:szCs w:val="20"/>
              </w:rPr>
              <w:t xml:space="preserve">Lead Source picklist values to add</w:t>
            </w:r>
          </w:p>
        </w:tc>
      </w:tr>
      <w:tr>
        <w:tc>
          <w:tcPr>
            <w:tcW w:type="dxa" w:w="9360"/>
            <w:tcBorders>
              <w:top w:val="single" w:color="1A5CA8" w:sz="4"/>
              <w:left w:val="single" w:color="1A5CA8" w:sz="4"/>
              <w:bottom w:val="single" w:color="1A5CA8" w:sz="4"/>
              <w:right w:val="single" w:color="1A5CA8" w:sz="4"/>
            </w:tcBorders>
            <w:shd w:fill="EFF6FF" w:val="clear"/>
            <w:tcMar>
              <w:top w:type="dxa" w:w="60"/>
              <w:left w:type="dxa" w:w="200"/>
              <w:bottom w:type="dxa" w:w="60"/>
              <w:right w:type="dxa" w:w="200"/>
            </w:tcMar>
          </w:tcPr>
          <w:p>
            <w:pPr>
              <w:spacing w:after="80"/>
            </w:pPr>
            <w:r>
              <w:rPr>
                <w:rFonts w:ascii="Arial" w:cs="Arial" w:eastAsia="Arial" w:hAnsi="Arial"/>
                <w:color w:val="1A2A4A"/>
                <w:sz w:val="19"/>
                <w:szCs w:val="19"/>
              </w:rPr>
              <w:t xml:space="preserve">IPEIA 2026</w:t>
            </w:r>
          </w:p>
        </w:tc>
      </w:tr>
      <w:tr>
        <w:tc>
          <w:tcPr>
            <w:tcW w:type="dxa" w:w="9360"/>
            <w:tcBorders>
              <w:top w:val="single" w:color="1A5CA8" w:sz="4"/>
              <w:left w:val="single" w:color="1A5CA8" w:sz="4"/>
              <w:bottom w:val="single" w:color="1A5CA8" w:sz="4"/>
              <w:right w:val="single" w:color="1A5CA8" w:sz="4"/>
            </w:tcBorders>
            <w:shd w:fill="EFF6FF" w:val="clear"/>
            <w:tcMar>
              <w:top w:type="dxa" w:w="60"/>
              <w:left w:type="dxa" w:w="200"/>
              <w:bottom w:type="dxa" w:w="60"/>
              <w:right w:type="dxa" w:w="200"/>
            </w:tcMar>
          </w:tcPr>
          <w:p>
            <w:pPr>
              <w:spacing w:after="80"/>
            </w:pPr>
            <w:r>
              <w:rPr>
                <w:rFonts w:ascii="Arial" w:cs="Arial" w:eastAsia="Arial" w:hAnsi="Arial"/>
                <w:color w:val="1A2A4A"/>
                <w:sz w:val="19"/>
                <w:szCs w:val="19"/>
              </w:rPr>
              <w:t xml:space="preserve">Smart Energy Halifax</w:t>
            </w:r>
          </w:p>
        </w:tc>
      </w:tr>
      <w:tr>
        <w:tc>
          <w:tcPr>
            <w:tcW w:type="dxa" w:w="9360"/>
            <w:tcBorders>
              <w:top w:val="single" w:color="1A5CA8" w:sz="4"/>
              <w:left w:val="single" w:color="1A5CA8" w:sz="4"/>
              <w:bottom w:val="single" w:color="1A5CA8" w:sz="4"/>
              <w:right w:val="single" w:color="1A5CA8" w:sz="4"/>
            </w:tcBorders>
            <w:shd w:fill="EFF6FF" w:val="clear"/>
            <w:tcMar>
              <w:top w:type="dxa" w:w="60"/>
              <w:left w:type="dxa" w:w="200"/>
              <w:bottom w:type="dxa" w:w="60"/>
              <w:right w:type="dxa" w:w="200"/>
            </w:tcMar>
          </w:tcPr>
          <w:p>
            <w:pPr>
              <w:spacing w:after="80"/>
            </w:pPr>
            <w:r>
              <w:rPr>
                <w:rFonts w:ascii="Arial" w:cs="Arial" w:eastAsia="Arial" w:hAnsi="Arial"/>
                <w:color w:val="1A2A4A"/>
                <w:sz w:val="19"/>
                <w:szCs w:val="19"/>
              </w:rPr>
              <w:t xml:space="preserve">CNA 2026</w:t>
            </w:r>
          </w:p>
        </w:tc>
      </w:tr>
      <w:tr>
        <w:tc>
          <w:tcPr>
            <w:tcW w:type="dxa" w:w="9360"/>
            <w:tcBorders>
              <w:top w:val="single" w:color="1A5CA8" w:sz="4"/>
              <w:left w:val="single" w:color="1A5CA8" w:sz="4"/>
              <w:bottom w:val="single" w:color="1A5CA8" w:sz="4"/>
              <w:right w:val="single" w:color="1A5CA8" w:sz="4"/>
            </w:tcBorders>
            <w:shd w:fill="EFF6FF" w:val="clear"/>
            <w:tcMar>
              <w:top w:type="dxa" w:w="60"/>
              <w:left w:type="dxa" w:w="200"/>
              <w:bottom w:type="dxa" w:w="60"/>
              <w:right w:type="dxa" w:w="200"/>
            </w:tcMar>
          </w:tcPr>
          <w:p>
            <w:pPr>
              <w:spacing w:after="80"/>
            </w:pPr>
            <w:r>
              <w:rPr>
                <w:rFonts w:ascii="Arial" w:cs="Arial" w:eastAsia="Arial" w:hAnsi="Arial"/>
                <w:color w:val="1A2A4A"/>
                <w:sz w:val="19"/>
                <w:szCs w:val="19"/>
              </w:rPr>
              <w:t xml:space="preserve">T&amp;D Conference 2026</w:t>
            </w:r>
          </w:p>
        </w:tc>
      </w:tr>
      <w:tr>
        <w:tc>
          <w:tcPr>
            <w:tcW w:type="dxa" w:w="9360"/>
            <w:tcBorders>
              <w:top w:val="single" w:color="1A5CA8" w:sz="4"/>
              <w:left w:val="single" w:color="1A5CA8" w:sz="4"/>
              <w:bottom w:val="single" w:color="1A5CA8" w:sz="4"/>
              <w:right w:val="single" w:color="1A5CA8" w:sz="4"/>
            </w:tcBorders>
            <w:shd w:fill="EFF6FF" w:val="clear"/>
            <w:tcMar>
              <w:top w:type="dxa" w:w="60"/>
              <w:left w:type="dxa" w:w="200"/>
              <w:bottom w:type="dxa" w:w="60"/>
              <w:right w:type="dxa" w:w="200"/>
            </w:tcMar>
          </w:tcPr>
          <w:p>
            <w:pPr>
              <w:spacing w:after="80"/>
            </w:pPr>
            <w:r>
              <w:rPr>
                <w:rFonts w:ascii="Arial" w:cs="Arial" w:eastAsia="Arial" w:hAnsi="Arial"/>
                <w:color w:val="1A2A4A"/>
                <w:sz w:val="19"/>
                <w:szCs w:val="19"/>
              </w:rPr>
              <w:t xml:space="preserve">CIM Vancouver 2026</w:t>
            </w:r>
          </w:p>
        </w:tc>
      </w:tr>
      <w:tr>
        <w:tc>
          <w:tcPr>
            <w:tcW w:type="dxa" w:w="9360"/>
            <w:tcBorders>
              <w:top w:val="single" w:color="1A5CA8" w:sz="4"/>
              <w:left w:val="single" w:color="1A5CA8" w:sz="4"/>
              <w:bottom w:val="single" w:color="1A5CA8" w:sz="4"/>
              <w:right w:val="single" w:color="1A5CA8" w:sz="4"/>
            </w:tcBorders>
            <w:shd w:fill="EFF6FF" w:val="clear"/>
            <w:tcMar>
              <w:top w:type="dxa" w:w="60"/>
              <w:left w:type="dxa" w:w="200"/>
              <w:bottom w:type="dxa" w:w="60"/>
              <w:right w:type="dxa" w:w="200"/>
            </w:tcMar>
          </w:tcPr>
          <w:p>
            <w:pPr>
              <w:spacing w:after="80"/>
            </w:pPr>
            <w:r>
              <w:rPr>
                <w:rFonts w:ascii="Arial" w:cs="Arial" w:eastAsia="Arial" w:hAnsi="Arial"/>
                <w:color w:val="1A2A4A"/>
                <w:sz w:val="19"/>
                <w:szCs w:val="19"/>
              </w:rPr>
              <w:t xml:space="preserve">Canadian Mining Expo 2026</w:t>
            </w:r>
          </w:p>
        </w:tc>
      </w:tr>
      <w:tr>
        <w:tc>
          <w:tcPr>
            <w:tcW w:type="dxa" w:w="9360"/>
            <w:tcBorders>
              <w:top w:val="single" w:color="1A5CA8" w:sz="4"/>
              <w:left w:val="single" w:color="1A5CA8" w:sz="4"/>
              <w:bottom w:val="single" w:color="1A5CA8" w:sz="4"/>
              <w:right w:val="single" w:color="1A5CA8" w:sz="4"/>
            </w:tcBorders>
            <w:shd w:fill="EFF6FF" w:val="clear"/>
            <w:tcMar>
              <w:top w:type="dxa" w:w="60"/>
              <w:left w:type="dxa" w:w="200"/>
              <w:bottom w:type="dxa" w:w="60"/>
              <w:right w:type="dxa" w:w="200"/>
            </w:tcMar>
          </w:tcPr>
          <w:p>
            <w:pPr>
              <w:spacing w:after="80"/>
            </w:pPr>
            <w:r>
              <w:rPr>
                <w:rFonts w:ascii="Arial" w:cs="Arial" w:eastAsia="Arial" w:hAnsi="Arial"/>
                <w:color w:val="1A2A4A"/>
                <w:sz w:val="19"/>
                <w:szCs w:val="19"/>
              </w:rPr>
              <w:t xml:space="preserve">ECNDT Verona 2026</w:t>
            </w:r>
          </w:p>
        </w:tc>
      </w:tr>
      <w:tr>
        <w:tc>
          <w:tcPr>
            <w:tcW w:type="dxa" w:w="9360"/>
            <w:tcBorders>
              <w:top w:val="single" w:color="1A5CA8" w:sz="4"/>
              <w:left w:val="single" w:color="1A5CA8" w:sz="4"/>
              <w:bottom w:val="single" w:color="1A5CA8" w:sz="4"/>
              <w:right w:val="single" w:color="1A5CA8" w:sz="4"/>
            </w:tcBorders>
            <w:shd w:fill="EFF6FF" w:val="clear"/>
            <w:tcMar>
              <w:top w:type="dxa" w:w="60"/>
              <w:left w:type="dxa" w:w="200"/>
              <w:bottom w:type="dxa" w:w="60"/>
              <w:right w:type="dxa" w:w="200"/>
            </w:tcMar>
          </w:tcPr>
          <w:p>
            <w:pPr>
              <w:spacing w:after="80"/>
            </w:pPr>
            <w:r>
              <w:rPr>
                <w:rFonts w:ascii="Arial" w:cs="Arial" w:eastAsia="Arial" w:hAnsi="Arial"/>
                <w:color w:val="1A2A4A"/>
                <w:sz w:val="19"/>
                <w:szCs w:val="19"/>
              </w:rPr>
              <w:t xml:space="preserve">API Inspection Summit 2026</w:t>
            </w:r>
          </w:p>
        </w:tc>
      </w:tr>
      <w:tr>
        <w:tc>
          <w:tcPr>
            <w:tcW w:type="dxa" w:w="9360"/>
            <w:tcBorders>
              <w:top w:val="single" w:color="1A5CA8" w:sz="4"/>
              <w:left w:val="single" w:color="1A5CA8" w:sz="4"/>
              <w:bottom w:val="single" w:color="1A5CA8" w:sz="4"/>
              <w:right w:val="single" w:color="1A5CA8" w:sz="4"/>
            </w:tcBorders>
            <w:shd w:fill="EFF6FF" w:val="clear"/>
            <w:tcMar>
              <w:top w:type="dxa" w:w="60"/>
              <w:left w:type="dxa" w:w="200"/>
              <w:bottom w:type="dxa" w:w="60"/>
              <w:right w:type="dxa" w:w="200"/>
            </w:tcMar>
          </w:tcPr>
          <w:p>
            <w:pPr>
              <w:spacing w:after="80"/>
            </w:pPr>
            <w:r>
              <w:rPr>
                <w:rFonts w:ascii="Arial" w:cs="Arial" w:eastAsia="Arial" w:hAnsi="Arial"/>
                <w:color w:val="1A2A4A"/>
                <w:sz w:val="19"/>
                <w:szCs w:val="19"/>
              </w:rPr>
              <w:t xml:space="preserve">Cigre Paris 2026</w:t>
            </w:r>
          </w:p>
        </w:tc>
      </w:tr>
      <w:tr>
        <w:tc>
          <w:tcPr>
            <w:tcW w:type="dxa" w:w="9360"/>
            <w:tcBorders>
              <w:top w:val="single" w:color="1A5CA8" w:sz="4"/>
              <w:left w:val="single" w:color="1A5CA8" w:sz="4"/>
              <w:bottom w:val="single" w:color="1A5CA8" w:sz="4"/>
              <w:right w:val="single" w:color="1A5CA8" w:sz="4"/>
            </w:tcBorders>
            <w:shd w:fill="EFF6FF" w:val="clear"/>
            <w:tcMar>
              <w:top w:type="dxa" w:w="60"/>
              <w:left w:type="dxa" w:w="200"/>
              <w:bottom w:type="dxa" w:w="60"/>
              <w:right w:type="dxa" w:w="200"/>
            </w:tcMar>
          </w:tcPr>
          <w:p>
            <w:pPr>
              <w:spacing w:after="80"/>
            </w:pPr>
            <w:r>
              <w:rPr>
                <w:rFonts w:ascii="Arial" w:cs="Arial" w:eastAsia="Arial" w:hAnsi="Arial"/>
                <w:color w:val="1A2A4A"/>
                <w:sz w:val="19"/>
                <w:szCs w:val="19"/>
              </w:rPr>
              <w:t xml:space="preserve">CEN CAN Expo 2026</w:t>
            </w:r>
          </w:p>
        </w:tc>
      </w:tr>
      <w:tr>
        <w:tc>
          <w:tcPr>
            <w:tcW w:type="dxa" w:w="9360"/>
            <w:tcBorders>
              <w:top w:val="single" w:color="1A5CA8" w:sz="4"/>
              <w:left w:val="single" w:color="1A5CA8" w:sz="4"/>
              <w:bottom w:val="single" w:color="1A5CA8" w:sz="4"/>
              <w:right w:val="single" w:color="1A5CA8" w:sz="4"/>
            </w:tcBorders>
            <w:shd w:fill="EFF6FF" w:val="clear"/>
            <w:tcMar>
              <w:top w:type="dxa" w:w="60"/>
              <w:left w:type="dxa" w:w="200"/>
              <w:bottom w:type="dxa" w:w="60"/>
              <w:right w:type="dxa" w:w="200"/>
            </w:tcMar>
          </w:tcPr>
          <w:p>
            <w:pPr>
              <w:spacing w:after="80"/>
            </w:pPr>
            <w:r>
              <w:rPr>
                <w:rFonts w:ascii="Arial" w:cs="Arial" w:eastAsia="Arial" w:hAnsi="Arial"/>
                <w:color w:val="1A2A4A"/>
                <w:sz w:val="19"/>
                <w:szCs w:val="19"/>
              </w:rPr>
              <w:t xml:space="preserve">IPC Pipeline 2026</w:t>
            </w:r>
          </w:p>
        </w:tc>
      </w:tr>
      <w:tr>
        <w:tc>
          <w:tcPr>
            <w:tcW w:type="dxa" w:w="9360"/>
            <w:tcBorders>
              <w:top w:val="single" w:color="1A5CA8" w:sz="4"/>
              <w:left w:val="single" w:color="1A5CA8" w:sz="4"/>
              <w:bottom w:val="single" w:color="1A5CA8" w:sz="4"/>
              <w:right w:val="single" w:color="1A5CA8" w:sz="4"/>
            </w:tcBorders>
            <w:shd w:fill="EFF6FF" w:val="clear"/>
            <w:tcMar>
              <w:top w:type="dxa" w:w="60"/>
              <w:left w:type="dxa" w:w="200"/>
              <w:bottom w:type="dxa" w:w="60"/>
              <w:right w:type="dxa" w:w="200"/>
            </w:tcMar>
          </w:tcPr>
          <w:p>
            <w:pPr>
              <w:spacing w:after="80"/>
            </w:pPr>
            <w:r>
              <w:rPr>
                <w:rFonts w:ascii="Arial" w:cs="Arial" w:eastAsia="Arial" w:hAnsi="Arial"/>
                <w:color w:val="1A2A4A"/>
                <w:sz w:val="19"/>
                <w:szCs w:val="19"/>
              </w:rPr>
              <w:t xml:space="preserve">IPCE 2026</w:t>
            </w:r>
          </w:p>
        </w:tc>
      </w:tr>
      <w:tr>
        <w:tc>
          <w:tcPr>
            <w:tcW w:type="dxa" w:w="9360"/>
            <w:tcBorders>
              <w:top w:val="single" w:color="1A5CA8" w:sz="4"/>
              <w:left w:val="single" w:color="1A5CA8" w:sz="4"/>
              <w:bottom w:val="single" w:color="1A5CA8" w:sz="4"/>
              <w:right w:val="single" w:color="1A5CA8" w:sz="4"/>
            </w:tcBorders>
            <w:shd w:fill="EFF6FF" w:val="clear"/>
            <w:tcMar>
              <w:top w:type="dxa" w:w="60"/>
              <w:left w:type="dxa" w:w="200"/>
              <w:bottom w:type="dxa" w:w="60"/>
              <w:right w:type="dxa" w:w="200"/>
            </w:tcMar>
          </w:tcPr>
          <w:p>
            <w:pPr>
              <w:spacing w:after="80"/>
            </w:pPr>
            <w:r>
              <w:rPr>
                <w:rFonts w:ascii="Arial" w:cs="Arial" w:eastAsia="Arial" w:hAnsi="Arial"/>
                <w:color w:val="1A2A4A"/>
                <w:sz w:val="19"/>
                <w:szCs w:val="19"/>
              </w:rPr>
              <w:t xml:space="preserve">ASNT 2026</w:t>
            </w:r>
          </w:p>
        </w:tc>
      </w:tr>
      <w:tr>
        <w:tc>
          <w:tcPr>
            <w:tcW w:type="dxa" w:w="9360"/>
            <w:tcBorders>
              <w:top w:val="single" w:color="1A5CA8" w:sz="4"/>
              <w:left w:val="single" w:color="1A5CA8" w:sz="4"/>
              <w:bottom w:val="single" w:color="1A5CA8" w:sz="4"/>
              <w:right w:val="single" w:color="1A5CA8" w:sz="4"/>
            </w:tcBorders>
            <w:shd w:fill="EFF6FF" w:val="clear"/>
            <w:tcMar>
              <w:top w:type="dxa" w:w="60"/>
              <w:left w:type="dxa" w:w="200"/>
              <w:bottom w:type="dxa" w:w="60"/>
              <w:right w:type="dxa" w:w="200"/>
            </w:tcMar>
          </w:tcPr>
          <w:p>
            <w:pPr>
              <w:spacing w:after="80"/>
            </w:pPr>
            <w:r>
              <w:rPr>
                <w:rFonts w:ascii="Arial" w:cs="Arial" w:eastAsia="Arial" w:hAnsi="Arial"/>
                <w:color w:val="1A2A4A"/>
                <w:sz w:val="19"/>
                <w:szCs w:val="19"/>
              </w:rPr>
              <w:t xml:space="preserve">API Storage Tank 2026</w:t>
            </w:r>
          </w:p>
        </w:tc>
      </w:tr>
    </w:tbl>
    <w:p>
      <w:pPr>
        <w:spacing w:after="80"/>
      </w:pPr>
    </w:p>
    <w:p>
      <w:pPr>
        <w:spacing w:after="120"/>
      </w:pPr>
      <w:r>
        <w:rPr>
          <w:rFonts w:ascii="Arial" w:cs="Arial" w:eastAsia="Arial" w:hAnsi="Arial"/>
          <w:sz w:val="20"/>
          <w:szCs w:val="20"/>
        </w:rPr>
        <w:t xml:space="preserve">Estimated time: 10 minutes. Do this before CNA Ottawa (Apr 28) — the first upcoming conference.</w:t>
      </w:r>
    </w:p>
    <w:p>
      <w:pPr>
        <w:spacing w:after="80"/>
      </w:pPr>
    </w:p>
    <w:p>
      <w:pPr>
        <w:pStyle w:val="Heading2"/>
      </w:pPr>
      <w:r>
        <w:t xml:space="preserve">4.3  Conference_Name__c Custom Field on Opportunity</w:t>
      </w:r>
    </w:p>
    <w:p>
      <w:pPr>
        <w:spacing w:after="120"/>
      </w:pPr>
      <w:r>
        <w:rPr>
          <w:rFonts w:ascii="Arial" w:cs="Arial" w:eastAsia="Arial" w:hAnsi="Arial"/>
          <w:sz w:val="20"/>
          <w:szCs w:val="20"/>
        </w:rPr>
        <w:t xml:space="preserve">Opportunities don't have a Lead Source field by default. When a Lead is converted to an Opportunity, the conference name is lost unless we add a custom field to carry it over.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pPr>
              <w:jc w:val="left"/>
            </w:pPr>
            <w:r>
              <w:rPr>
                <w:rFonts w:ascii="Arial" w:cs="Arial" w:eastAsia="Arial" w:hAnsi="Arial"/>
                <w:b/>
                <w:bCs/>
                <w:color w:val="FFFFFF"/>
                <w:sz w:val="18"/>
                <w:szCs w:val="18"/>
              </w:rPr>
              <w:t xml:space="preserve">Property</w:t>
            </w:r>
          </w:p>
        </w:tc>
        <w:tc>
          <w:tcPr>
            <w:tcW w:type="dxa" w:w="716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pPr>
              <w:jc w:val="left"/>
            </w:pPr>
            <w:r>
              <w:rPr>
                <w:rFonts w:ascii="Arial" w:cs="Arial" w:eastAsia="Arial" w:hAnsi="Arial"/>
                <w:b/>
                <w:bCs/>
                <w:color w:val="FFFFFF"/>
                <w:sz w:val="18"/>
                <w:szCs w:val="18"/>
              </w:rPr>
              <w:t xml:space="preserve">Value</w:t>
            </w:r>
          </w:p>
        </w:tc>
      </w:tr>
      <w:tr>
        <w:tc>
          <w:tcPr>
            <w:tcW w:type="dxa" w:w="22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9"/>
                <w:szCs w:val="19"/>
              </w:rPr>
              <w:t xml:space="preserve">API Name</w:t>
            </w:r>
          </w:p>
        </w:tc>
        <w:tc>
          <w:tcPr>
            <w:tcW w:type="dxa" w:w="71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9"/>
                <w:szCs w:val="19"/>
              </w:rPr>
              <w:t xml:space="preserve">Conference_Name__c</w:t>
            </w:r>
          </w:p>
        </w:tc>
      </w:tr>
      <w:tr>
        <w:tc>
          <w:tcPr>
            <w:tcW w:type="dxa" w:w="22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9"/>
                <w:szCs w:val="19"/>
              </w:rPr>
              <w:t xml:space="preserve">Label</w:t>
            </w:r>
          </w:p>
        </w:tc>
        <w:tc>
          <w:tcPr>
            <w:tcW w:type="dxa" w:w="71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9"/>
                <w:szCs w:val="19"/>
              </w:rPr>
              <w:t xml:space="preserve">Conference Source</w:t>
            </w:r>
          </w:p>
        </w:tc>
      </w:tr>
      <w:tr>
        <w:tc>
          <w:tcPr>
            <w:tcW w:type="dxa" w:w="22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9"/>
                <w:szCs w:val="19"/>
              </w:rPr>
              <w:t xml:space="preserve">Field Type</w:t>
            </w:r>
          </w:p>
        </w:tc>
        <w:tc>
          <w:tcPr>
            <w:tcW w:type="dxa" w:w="71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9"/>
                <w:szCs w:val="19"/>
              </w:rPr>
              <w:t xml:space="preserve">Text (255)</w:t>
            </w:r>
          </w:p>
        </w:tc>
      </w:tr>
      <w:tr>
        <w:tc>
          <w:tcPr>
            <w:tcW w:type="dxa" w:w="22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9"/>
                <w:szCs w:val="19"/>
              </w:rPr>
              <w:t xml:space="preserve">Object</w:t>
            </w:r>
          </w:p>
        </w:tc>
        <w:tc>
          <w:tcPr>
            <w:tcW w:type="dxa" w:w="71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9"/>
                <w:szCs w:val="19"/>
              </w:rPr>
              <w:t xml:space="preserve">Opportunity</w:t>
            </w:r>
          </w:p>
        </w:tc>
      </w:tr>
      <w:tr>
        <w:tc>
          <w:tcPr>
            <w:tcW w:type="dxa" w:w="22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9"/>
                <w:szCs w:val="19"/>
              </w:rPr>
              <w:t xml:space="preserve">Required</w:t>
            </w:r>
          </w:p>
        </w:tc>
        <w:tc>
          <w:tcPr>
            <w:tcW w:type="dxa" w:w="71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9"/>
                <w:szCs w:val="19"/>
              </w:rPr>
              <w:t xml:space="preserve">No</w:t>
            </w:r>
          </w:p>
        </w:tc>
      </w:tr>
      <w:tr>
        <w:tc>
          <w:tcPr>
            <w:tcW w:type="dxa" w:w="22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9"/>
                <w:szCs w:val="19"/>
              </w:rPr>
              <w:t xml:space="preserve">Page Layout</w:t>
            </w:r>
          </w:p>
        </w:tc>
        <w:tc>
          <w:tcPr>
            <w:tcW w:type="dxa" w:w="71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9"/>
                <w:szCs w:val="19"/>
              </w:rPr>
              <w:t xml:space="preserve">Add to Opportunity layout, under BU_Initiative__c</w:t>
            </w:r>
          </w:p>
        </w:tc>
      </w:tr>
      <w:tr>
        <w:tc>
          <w:tcPr>
            <w:tcW w:type="dxa" w:w="22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9"/>
                <w:szCs w:val="19"/>
              </w:rPr>
              <w:t xml:space="preserve">Auto-populate</w:t>
            </w:r>
          </w:p>
        </w:tc>
        <w:tc>
          <w:tcPr>
            <w:tcW w:type="dxa" w:w="71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9"/>
                <w:szCs w:val="19"/>
              </w:rPr>
              <w:t xml:space="preserve">When converting a Lead to Opportunity: map Lead.LeadSource → Opportunity.Conference_Name__c in the Lead Conversion field mapping (Setup → Object Manager → Lead → Lead Settings → Map Lead Fields)</w:t>
            </w:r>
          </w:p>
        </w:tc>
      </w:tr>
    </w:tbl>
    <w:p>
      <w:pPr>
        <w:spacing w:after="80"/>
      </w:pPr>
    </w:p>
    <w:p>
      <w:pPr>
        <w:pStyle w:val="Heading2"/>
      </w:pPr>
      <w:r>
        <w:t xml:space="preserve">4.4  Salesforce Report — Conference Leads 2026</w:t>
      </w:r>
    </w:p>
    <w:p>
      <w:pPr>
        <w:spacing w:after="120"/>
      </w:pPr>
      <w:r>
        <w:rPr>
          <w:rFonts w:ascii="Arial" w:cs="Arial" w:eastAsia="Arial" w:hAnsi="Arial"/>
          <w:sz w:val="20"/>
          <w:szCs w:val="20"/>
        </w:rPr>
        <w:t xml:space="preserve">Build this report once and share it with Jon. He runs it after each conference to see how many leads and opportunities came from that show, then enters the counts via the Teams Adaptive Card.</w:t>
      </w:r>
    </w:p>
    <w:p>
      <w:pPr>
        <w:spacing w:after="80"/>
      </w:pPr>
    </w:p>
    <w:p>
      <w:pPr>
        <w:pStyle w:val="ListParagraph"/>
        <w:numPr>
          <w:ilvl w:val="0"/>
          <w:numId w:val="3"/>
        </w:numPr>
        <w:spacing w:after="100"/>
      </w:pPr>
      <w:r>
        <w:rPr>
          <w:rFonts w:ascii="Arial" w:cs="Arial" w:eastAsia="Arial" w:hAnsi="Arial"/>
          <w:sz w:val="20"/>
          <w:szCs w:val="20"/>
        </w:rPr>
        <w:t xml:space="preserve">New Report → type = Leads with Converted Lead Information</w:t>
      </w:r>
    </w:p>
    <w:p>
      <w:pPr>
        <w:pStyle w:val="ListParagraph"/>
        <w:numPr>
          <w:ilvl w:val="0"/>
          <w:numId w:val="3"/>
        </w:numPr>
        <w:spacing w:after="100"/>
      </w:pPr>
      <w:r>
        <w:rPr>
          <w:rFonts w:ascii="Arial" w:cs="Arial" w:eastAsia="Arial" w:hAnsi="Arial"/>
          <w:sz w:val="20"/>
          <w:szCs w:val="20"/>
        </w:rPr>
        <w:t xml:space="preserve">Filters: Created Date = This Year, Lead Source contains '2026'</w:t>
      </w:r>
    </w:p>
    <w:p>
      <w:pPr>
        <w:pStyle w:val="ListParagraph"/>
        <w:numPr>
          <w:ilvl w:val="0"/>
          <w:numId w:val="3"/>
        </w:numPr>
        <w:spacing w:after="100"/>
      </w:pPr>
      <w:r>
        <w:rPr>
          <w:rFonts w:ascii="Arial" w:cs="Arial" w:eastAsia="Arial" w:hAnsi="Arial"/>
          <w:sz w:val="20"/>
          <w:szCs w:val="20"/>
        </w:rPr>
        <w:t xml:space="preserve">Columns: First Name, Last Name, Company, Lead Source, BU_Initiative__c, Status, Converted, Converted Opportunity</w:t>
      </w:r>
    </w:p>
    <w:p>
      <w:pPr>
        <w:pStyle w:val="ListParagraph"/>
        <w:numPr>
          <w:ilvl w:val="0"/>
          <w:numId w:val="3"/>
        </w:numPr>
        <w:spacing w:after="100"/>
      </w:pPr>
      <w:r>
        <w:rPr>
          <w:rFonts w:ascii="Arial" w:cs="Arial" w:eastAsia="Arial" w:hAnsi="Arial"/>
          <w:sz w:val="20"/>
          <w:szCs w:val="20"/>
        </w:rPr>
        <w:t xml:space="preserve">Group by: Lead Source (one section per conference)</w:t>
      </w:r>
    </w:p>
    <w:p>
      <w:pPr>
        <w:pStyle w:val="ListParagraph"/>
        <w:numPr>
          <w:ilvl w:val="0"/>
          <w:numId w:val="3"/>
        </w:numPr>
        <w:spacing w:after="100"/>
      </w:pPr>
      <w:r>
        <w:rPr>
          <w:rFonts w:ascii="Arial" w:cs="Arial" w:eastAsia="Arial" w:hAnsi="Arial"/>
          <w:sz w:val="20"/>
          <w:szCs w:val="20"/>
        </w:rPr>
        <w:t xml:space="preserve">Add summary field: Record Count per Lead Source section</w:t>
      </w:r>
    </w:p>
    <w:p>
      <w:pPr>
        <w:pStyle w:val="ListParagraph"/>
        <w:numPr>
          <w:ilvl w:val="0"/>
          <w:numId w:val="3"/>
        </w:numPr>
        <w:spacing w:after="100"/>
      </w:pPr>
      <w:r>
        <w:rPr>
          <w:rFonts w:ascii="Arial" w:cs="Arial" w:eastAsia="Arial" w:hAnsi="Arial"/>
          <w:sz w:val="20"/>
          <w:szCs w:val="20"/>
        </w:rPr>
        <w:t xml:space="preserve">Save as 'Conference Leads 2026' → Share with: Jon Eustace, Vinoth Tharma, Max Aggrey, Rick Carlton, Olivier Marcotte</w:t>
      </w:r>
    </w:p>
    <w:p>
      <w:pPr>
        <w:pStyle w:val="ListParagraph"/>
        <w:numPr>
          <w:ilvl w:val="0"/>
          <w:numId w:val="3"/>
        </w:numPr>
        <w:spacing w:after="100"/>
      </w:pPr>
      <w:r>
        <w:rPr>
          <w:rFonts w:ascii="Arial" w:cs="Arial" w:eastAsia="Arial" w:hAnsi="Arial"/>
          <w:sz w:val="20"/>
          <w:szCs w:val="20"/>
        </w:rPr>
        <w:t xml:space="preserve">Schedule to email Jon every Monday at 8AM ET — Summary Only format</w:t>
      </w:r>
    </w:p>
    <w:p>
      <w:pPr>
        <w:spacing w:after="80"/>
      </w:pPr>
    </w:p>
    <w:p>
      <w:pPr>
        <w:spacing w:after="80"/>
      </w:pPr>
      <w:r>
        <w:rPr>
          <w:rFonts w:ascii="Arial" w:cs="Arial" w:eastAsia="Arial" w:hAnsi="Arial"/>
          <w:i/>
          <w:iCs/>
          <w:color w:val="6678A0"/>
          <w:sz w:val="18"/>
          <w:szCs w:val="18"/>
        </w:rPr>
        <w:t xml:space="preserve">Note: This report is also what feeds the Teams Adaptive Card data — Jon checks this, then enters the counts via the card that Éric builds as part of Step 2b.</w:t>
      </w:r>
    </w:p>
    <w:p>
      <w:pPr>
        <w:spacing w:after="80"/>
      </w:pPr>
    </w:p>
    <w:p>
      <w:pPr>
        <w:pStyle w:val="Heading2"/>
      </w:pPr>
      <w:r>
        <w:t xml:space="preserve">4.5  Verify PA Flow Conference Filtering Logic</w:t>
      </w:r>
    </w:p>
    <w:p>
      <w:pPr>
        <w:spacing w:after="120"/>
      </w:pPr>
      <w:r>
        <w:rPr>
          <w:rFonts w:ascii="Arial" w:cs="Arial" w:eastAsia="Arial" w:hAnsi="Arial"/>
          <w:sz w:val="20"/>
          <w:szCs w:val="20"/>
        </w:rPr>
        <w:t xml:space="preserve">The existing Sunday PA flow queries Salesforce for pipeline and revenue. Conference leads feed into the initiative-level pipeline calculations. Éric should verify that the Closed Won and pipeline queries INCLUDE leads and opportunities that originated from conferences (i.e., having BU_Initiative__c set is sufficient — there is no separate 'is conference lead' filter needed).</w:t>
      </w:r>
    </w:p>
    <w:p>
      <w:pPr>
        <w:spacing w:after="80"/>
      </w:pPr>
    </w:p>
    <w:p>
      <w:pPr>
        <w:pStyle w:val="ListParagraph"/>
        <w:numPr>
          <w:ilvl w:val="0"/>
          <w:numId w:val="2"/>
        </w:numPr>
        <w:spacing w:after="80"/>
      </w:pPr>
      <w:r>
        <w:rPr>
          <w:rFonts w:ascii="Arial" w:cs="Arial" w:eastAsia="Arial" w:hAnsi="Arial"/>
          <w:color w:val="1A2A4A"/>
          <w:sz w:val="20"/>
          <w:szCs w:val="20"/>
        </w:rPr>
        <w:t xml:space="preserve">Check: does the Sunday PA flow query Leads or only Opportunities? For conference ROI, we need Opportunities (converted from conference leads). Leads that were never converted don't have revenue value.</w:t>
      </w:r>
    </w:p>
    <w:p>
      <w:pPr>
        <w:pStyle w:val="ListParagraph"/>
        <w:numPr>
          <w:ilvl w:val="0"/>
          <w:numId w:val="2"/>
        </w:numPr>
        <w:spacing w:after="80"/>
      </w:pPr>
      <w:r>
        <w:rPr>
          <w:rFonts w:ascii="Arial" w:cs="Arial" w:eastAsia="Arial" w:hAnsi="Arial"/>
          <w:color w:val="1A2A4A"/>
          <w:sz w:val="20"/>
          <w:szCs w:val="20"/>
        </w:rPr>
        <w:t xml:space="preserve">Check: the Opportunities query filters by BU_Initiative__c values — make sure 'Nuclear-OPG' is spelled correctly (hyphen, not slash) in the query filter to match the picklist value.</w:t>
      </w:r>
    </w:p>
    <w:p>
      <w:pPr>
        <w:pStyle w:val="ListParagraph"/>
        <w:numPr>
          <w:ilvl w:val="0"/>
          <w:numId w:val="2"/>
        </w:numPr>
        <w:spacing w:after="80"/>
      </w:pPr>
      <w:r>
        <w:rPr>
          <w:rFonts w:ascii="Arial" w:cs="Arial" w:eastAsia="Arial" w:hAnsi="Arial"/>
          <w:color w:val="1A2A4A"/>
          <w:sz w:val="20"/>
          <w:szCs w:val="20"/>
        </w:rPr>
        <w:t xml:space="preserve">No changes needed if these look correct. The conference ROI flow (Step 2b) handles the conference-specific metrics separately via the Teams Adaptive Card.</w:t>
      </w:r>
    </w:p>
    <w:p>
      <w:pPr>
        <w:spacing w:after="80"/>
      </w:pPr>
    </w:p>
    <w:p>
      <w:pPr>
        <w:pBdr>
          <w:bottom w:val="single" w:color="00AEEF" w:sz="4" w:space="1"/>
        </w:pBdr>
        <w:spacing w:after="160" w:before="160"/>
      </w:pPr>
    </w:p>
    <w:p>
      <w:pPr>
        <w:spacing w:after="80" w:before="160"/>
        <w:jc w:val="center"/>
      </w:pPr>
      <w:r>
        <w:rPr>
          <w:rFonts w:ascii="Arial" w:cs="Arial" w:eastAsia="Arial" w:hAnsi="Arial"/>
          <w:i/>
          <w:iCs/>
          <w:color w:val="6678A0"/>
          <w:sz w:val="18"/>
          <w:szCs w:val="18"/>
        </w:rPr>
        <w:t xml:space="preserve">Questions? Contact Jon Eustace (Jon.Eustace@nucleom.com) or Éric Carmichael for Salesforce access issues.</w:t>
      </w:r>
    </w:p>
    <w:p>
      <w:pPr>
        <w:jc w:val="center"/>
      </w:pPr>
      <w:r>
        <w:rPr>
          <w:rFonts w:ascii="Arial" w:cs="Arial" w:eastAsia="Arial" w:hAnsi="Arial"/>
          <w:color w:val="6678A0"/>
          <w:sz w:val="16"/>
          <w:szCs w:val="16"/>
        </w:rPr>
        <w:t xml:space="preserve">BU Services Commercial Management System  ·  Ekoscan Integrity Group  ·  North America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F7FB" w:sz="2" w:space="2"/>
      </w:pBdr>
      <w:spacing w:before="80"/>
      <w:jc w:val="center"/>
    </w:pPr>
    <w:r>
      <w:rPr>
        <w:rFonts w:ascii="Arial" w:cs="Arial" w:eastAsia="Arial" w:hAnsi="Arial"/>
        <w:color w:val="6678A0"/>
        <w:sz w:val="16"/>
        <w:szCs w:val="16"/>
      </w:rPr>
      <w:t xml:space="preserve">Page </w:t>
    </w:r>
    <w:r>
      <w:rPr>
        <w:rFonts w:ascii="Arial" w:cs="Arial" w:eastAsia="Arial" w:hAnsi="Arial"/>
        <w:color w:val="6678A0"/>
        <w:sz w:val="16"/>
        <w:szCs w:val="16"/>
      </w:rPr>
      <w:fldChar w:fldCharType="begin"/>
      <w:instrText xml:space="preserve">PAGE</w:instrText>
      <w:fldChar w:fldCharType="separate"/>
      <w:fldChar w:fldCharType="end"/>
    </w:r>
    <w:r>
      <w:rPr>
        <w:rFonts w:ascii="Arial" w:cs="Arial" w:eastAsia="Arial" w:hAnsi="Arial"/>
        <w:color w:val="6678A0"/>
        <w:sz w:val="16"/>
        <w:szCs w:val="16"/>
      </w:rPr>
      <w:t xml:space="preserve"> of </w:t>
    </w:r>
    <w:r>
      <w:rPr>
        <w:rFonts w:ascii="Arial" w:cs="Arial" w:eastAsia="Arial" w:hAnsi="Arial"/>
        <w:color w:val="6678A0"/>
        <w:sz w:val="16"/>
        <w:szCs w:val="16"/>
      </w:rPr>
      <w:fldChar w:fldCharType="begin"/>
      <w:instrText xml:space="preserve">NUMPAGES</w:instrText>
      <w:fldChar w:fldCharType="separate"/>
      <w:fldChar w:fldCharType="end"/>
    </w:r>
    <w:r>
      <w:rPr>
        <w:rFonts w:ascii="Arial" w:cs="Arial" w:eastAsia="Arial" w:hAnsi="Arial"/>
        <w:color w:val="6678A0"/>
        <w:sz w:val="16"/>
        <w:szCs w:val="16"/>
      </w:rPr>
      <w:t xml:space="preserve">  ·  Ekoscan Integrity Group — BU Services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EEF" w:sz="2" w:space="2"/>
      </w:pBdr>
      <w:spacing w:after="0"/>
      <w:jc w:val="right"/>
    </w:pPr>
    <w:r>
      <w:rPr>
        <w:rFonts w:ascii="Arial" w:cs="Arial" w:eastAsia="Arial" w:hAnsi="Arial"/>
        <w:color w:val="6678A0"/>
        <w:sz w:val="16"/>
        <w:szCs w:val="16"/>
      </w:rPr>
      <w:t xml:space="preserve">BU Services — Salesforce Conference Entry Guide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lvl w:ilvl="1" w15:tentative="1">
      <w:start w:val="1"/>
      <w:numFmt w:val="bullet"/>
      <w:lvlText w:val="◦"/>
      <w:lvlJc w:val="left"/>
      <w:pPr>
        <w:ind w:left="920" w:hanging="320"/>
      </w:pPr>
    </w:lvl>
  </w:abstractNum>
  <w:abstractNum w:abstractNumId="3" w15:restartNumberingAfterBreak="0">
    <w:multiLevelType w:val="hybridMultilevel"/>
    <w:lvl w:ilvl="0" w15:tentative="1">
      <w:start w:val="1"/>
      <w:numFmt w:val="decimal"/>
      <w:lvlText w:val="%1."/>
      <w:lvlJc w:val="left"/>
      <w:pPr>
        <w:ind w:left="560" w:hanging="320"/>
      </w:pPr>
    </w:lvl>
    <w:lvl w:ilvl="1" w15:tentative="1">
      <w:start w:val="1"/>
      <w:numFmt w:val="lowerLetter"/>
      <w:lvlText w:val="%2)"/>
      <w:lvlJc w:val="left"/>
      <w:pPr>
        <w:ind w:left="9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AEEF" w:sz="3" w:space="2"/>
      </w:pBdr>
      <w:spacing w:after="180" w:before="360"/>
      <w:outlineLvl w:val="0"/>
    </w:pPr>
    <w:rPr>
      <w:rFonts w:ascii="Arial" w:cs="Arial" w:eastAsia="Arial" w:hAnsi="Arial"/>
      <w:b/>
      <w:bCs/>
      <w:color w:val="0A1F5C"/>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A5CA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6678A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2026-04-19T03:03:36.756Z</dcterms:created>
  <dcterms:modified xsi:type="dcterms:W3CDTF">2026-04-19T03:03:36.757Z</dcterms:modified>
</cp:coreProperties>
</file>

<file path=docProps/custom.xml><?xml version="1.0" encoding="utf-8"?>
<Properties xmlns="http://schemas.openxmlformats.org/officeDocument/2006/custom-properties" xmlns:vt="http://schemas.openxmlformats.org/officeDocument/2006/docPropsVTypes"/>
</file>