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pPr>
      <w:r>
        <w:rPr>
          <w:rFonts w:ascii="Arial" w:cs="Arial" w:eastAsia="Arial" w:hAnsi="Arial"/>
          <w:b/>
          <w:bCs/>
          <w:i w:val="false"/>
          <w:iCs w:val="false"/>
          <w:color w:val="161C60"/>
          <w:sz w:val="52"/>
          <w:szCs w:val="52"/>
        </w:rPr>
        <w:t xml:space="preserve">BU SERVICES</w:t>
      </w:r>
    </w:p>
    <w:p>
      <w:pPr>
        <w:spacing w:after="100" w:before="0"/>
      </w:pPr>
      <w:r>
        <w:rPr>
          <w:rFonts w:ascii="Arial" w:cs="Arial" w:eastAsia="Arial" w:hAnsi="Arial"/>
          <w:b/>
          <w:bCs/>
          <w:i w:val="false"/>
          <w:iCs w:val="false"/>
          <w:color w:val="384660"/>
          <w:sz w:val="26"/>
          <w:szCs w:val="26"/>
        </w:rPr>
        <w:t xml:space="preserve">SALESFORCE TECHNICIAN RESOURCE TRACKING</w:t>
      </w:r>
    </w:p>
    <w:p>
      <w:pPr>
        <w:pBdr>
          <w:bottom w:val="single" w:color="00547A" w:sz="16" w:space="1"/>
        </w:pBdr>
        <w:spacing w:after="400" w:before="80"/>
      </w:pPr>
      <w:r>
        <w:rPr>
          <w:rFonts w:ascii="Arial" w:cs="Arial" w:eastAsia="Arial" w:hAnsi="Arial"/>
          <w:b/>
          <w:bCs/>
          <w:i w:val="false"/>
          <w:iCs w:val="false"/>
          <w:color w:val="00547A"/>
          <w:sz w:val="22"/>
          <w:szCs w:val="22"/>
        </w:rPr>
        <w:t xml:space="preserve">SETUP GUIDE &amp; POWER AUTOMATE QUERY REFERENCE</w:t>
      </w:r>
    </w:p>
    <w:p>
      <w:pPr>
        <w:spacing w:after="100" w:before="4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040"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AAAA"/>
                <w:sz w:val="17"/>
                <w:szCs w:val="17"/>
              </w:rPr>
              <w:t xml:space="preserve">Purpose</w:t>
            </w:r>
          </w:p>
          <w:p>
            <w:pPr>
              <w:spacing w:after="100" w:before="0"/>
            </w:pPr>
            <w:r>
              <w:rPr>
                <w:rFonts w:ascii="Arial" w:cs="Arial" w:eastAsia="Arial" w:hAnsi="Arial"/>
                <w:b/>
                <w:bCs/>
                <w:i w:val="false"/>
                <w:iCs w:val="false"/>
                <w:color w:val="FFFFFF"/>
                <w:sz w:val="20"/>
                <w:szCs w:val="20"/>
              </w:rPr>
              <w:t xml:space="preserve">Add Assigned Technician field to Salesforce Opportunities to enable resource tracking alongside revenue</w:t>
            </w:r>
          </w:p>
        </w:tc>
        <w:tc>
          <w:tcPr>
            <w:tcW w:type="dxa" w:w="2340"/>
            <w:tcBorders>
              <w:top w:val="none" w:color="FFFFFF" w:sz="0"/>
              <w:left w:val="none" w:color="FFFFFF" w:sz="0"/>
              <w:bottom w:val="none" w:color="FFFFFF" w:sz="0"/>
              <w:right w:val="none" w:color="FFFFFF" w:sz="0"/>
            </w:tcBorders>
            <w:shd w:fill="00547A"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DDFF"/>
                <w:sz w:val="17"/>
                <w:szCs w:val="17"/>
              </w:rPr>
              <w:t xml:space="preserve">Salesforce setup</w:t>
            </w:r>
          </w:p>
          <w:p>
            <w:pPr>
              <w:spacing w:after="100" w:before="0"/>
            </w:pPr>
            <w:r>
              <w:rPr>
                <w:rFonts w:ascii="Arial" w:cs="Arial" w:eastAsia="Arial" w:hAnsi="Arial"/>
                <w:b/>
                <w:bCs/>
                <w:i w:val="false"/>
                <w:iCs w:val="false"/>
                <w:color w:val="FFFFFF"/>
                <w:sz w:val="20"/>
                <w:szCs w:val="20"/>
              </w:rPr>
              <w:t xml:space="preserve">1 new field · 1 optional validation rule · 10-30 minutes</w:t>
            </w:r>
          </w:p>
        </w:tc>
        <w:tc>
          <w:tcPr>
            <w:tcW w:type="dxa" w:w="2340"/>
            <w:tcBorders>
              <w:top w:val="none" w:color="FFFFFF" w:sz="0"/>
              <w:left w:val="none" w:color="FFFFFF" w:sz="0"/>
              <w:bottom w:val="none" w:color="FFFFFF" w:sz="0"/>
              <w:right w:val="none" w:color="FFFFFF" w:sz="0"/>
            </w:tcBorders>
            <w:shd w:fill="4B2067"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DDBBFF"/>
                <w:sz w:val="17"/>
                <w:szCs w:val="17"/>
              </w:rPr>
              <w:t xml:space="preserve">Power Automate</w:t>
            </w:r>
          </w:p>
          <w:p>
            <w:pPr>
              <w:spacing w:after="100" w:before="0"/>
            </w:pPr>
            <w:r>
              <w:rPr>
                <w:rFonts w:ascii="Arial" w:cs="Arial" w:eastAsia="Arial" w:hAnsi="Arial"/>
                <w:b/>
                <w:bCs/>
                <w:i w:val="false"/>
                <w:iCs w:val="false"/>
                <w:color w:val="FFFFFF"/>
                <w:sz w:val="20"/>
                <w:szCs w:val="20"/>
              </w:rPr>
              <w:t xml:space="preserve">2 new actions added to existing Sunday flow · SOQL query ready to use</w:t>
            </w:r>
          </w:p>
        </w:tc>
        <w:tc>
          <w:tcPr>
            <w:tcW w:type="dxa" w:w="2340"/>
            <w:tcBorders>
              <w:top w:val="none" w:color="FFFFFF" w:sz="0"/>
              <w:left w:val="none" w:color="FFFFFF" w:sz="0"/>
              <w:bottom w:val="none" w:color="FFFFFF" w:sz="0"/>
              <w:right w:val="none" w:color="FFFFFF" w:sz="0"/>
            </w:tcBorders>
            <w:shd w:fill="196B24"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FFBB"/>
                <w:sz w:val="17"/>
                <w:szCs w:val="17"/>
              </w:rPr>
              <w:t xml:space="preserve">Outcome</w:t>
            </w:r>
          </w:p>
          <w:p>
            <w:pPr>
              <w:spacing w:after="100" w:before="0"/>
            </w:pPr>
            <w:r>
              <w:rPr>
                <w:rFonts w:ascii="Arial" w:cs="Arial" w:eastAsia="Arial" w:hAnsi="Arial"/>
                <w:b/>
                <w:bCs/>
                <w:i w:val="false"/>
                <w:iCs w:val="false"/>
                <w:color w:val="FFFFFF"/>
                <w:sz w:val="20"/>
                <w:szCs w:val="20"/>
              </w:rPr>
              <w:t xml:space="preserve">Utilisation % per region flows into actuals.json automatically every Sunday — no manual workbook update</w:t>
            </w:r>
          </w:p>
        </w:tc>
      </w:tr>
    </w:tbl>
    <w:p>
      <w:pPr>
        <w:spacing w:after="100" w:before="200"/>
      </w:pPr>
      <w:r>
        <w:rPr>
          <w:rFonts w:ascii="Arial" w:cs="Arial" w:eastAsia="Arial" w:hAnsi="Arial"/>
          <w:b w:val="false"/>
          <w:bCs w:val="false"/>
          <w:i w:val="false"/>
          <w:iCs w:val="false"/>
          <w:color w:val="384660"/>
          <w:sz w:val="22"/>
          <w:szCs w:val="22"/>
        </w:rPr>
        <w:t xml:space="preserve"> </w:t>
      </w:r>
    </w:p>
    <w:p>
      <w:pPr>
        <w:spacing w:after="80" w:before="0"/>
      </w:pPr>
      <w:r>
        <w:rPr>
          <w:rFonts w:ascii="Arial" w:cs="Arial" w:eastAsia="Arial" w:hAnsi="Arial"/>
          <w:b/>
          <w:bCs/>
          <w:i w:val="false"/>
          <w:iCs w:val="false"/>
          <w:color w:val="161C60"/>
          <w:sz w:val="22"/>
          <w:szCs w:val="22"/>
        </w:rPr>
        <w:t xml:space="preserve">Read this alongside:  </w:t>
      </w:r>
      <w:r>
        <w:rPr>
          <w:rFonts w:ascii="Arial" w:cs="Arial" w:eastAsia="Arial" w:hAnsi="Arial"/>
          <w:b w:val="false"/>
          <w:bCs w:val="false"/>
          <w:i w:val="false"/>
          <w:iCs w:val="false"/>
          <w:color w:val="384660"/>
          <w:sz w:val="22"/>
          <w:szCs w:val="22"/>
        </w:rPr>
        <w:t xml:space="preserve">BU_Services_Salesforce_Integration_Guide.docx (the existing Salesforce setup guide) and BU_Services_Utilisation_Tracker.xlsx (the manual interim process). This document adds resource tracking on top of the deal tracking that is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1"/>
              <w:left w:val="none" w:color="FFFFFF" w:sz="0"/>
              <w:bottom w:val="none" w:color="FFFFFF" w:sz="0"/>
              <w:right w:val="none" w:color="FFFFFF" w:sz="0"/>
            </w:tcBorders>
            <w:shd w:fill="FFF8E1" w:val="clear"/>
            <w:tcMar>
              <w:top w:type="dxa" w:w="120"/>
              <w:left w:type="dxa" w:w="200"/>
              <w:bottom w:type="dxa" w:w="0"/>
              <w:right w:type="dxa" w:w="120"/>
            </w:tcMar>
          </w:tcPr>
          <w:p>
            <w:pPr>
              <w:spacing w:after="100" w:before="0"/>
            </w:pPr>
            <w:r>
              <w:rPr>
                <w:rFonts w:ascii="Arial" w:cs="Arial" w:eastAsia="Arial" w:hAnsi="Arial"/>
                <w:b/>
                <w:bCs/>
                <w:i w:val="false"/>
                <w:iCs w:val="false"/>
                <w:color w:val="C9860A"/>
                <w:sz w:val="19"/>
                <w:szCs w:val="19"/>
              </w:rPr>
              <w:t xml:space="preserve">When to implement this</w:t>
            </w:r>
          </w:p>
        </w:tc>
      </w:tr>
      <w:tr>
        <w:tc>
          <w:tcPr>
            <w:tcW w:type="dxa" w:w="9360"/>
            <w:tcBorders>
              <w:top w:val="none" w:color="FFFFFF" w:sz="0"/>
              <w:left w:val="none" w:color="FFFFFF" w:sz="0"/>
              <w:bottom w:val="single" w:color="C9860A" w:sz="1"/>
              <w:right w:val="none" w:color="FFFFFF" w:sz="0"/>
            </w:tcBorders>
            <w:shd w:fill="FFF8E1"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Run the current manual utilisation workbook process for at least 4-6 weeks first. Establish the habit of ops leads updating available and billable hours every Wednesday. Once the data is flowing consistently through the workbook, implement this guide to automate the same data from Salesforce and remove the manual step. Trying to automate a process that the team has not yet adopted will not create adoption — it will just hide the problem.</w:t>
            </w:r>
          </w:p>
        </w:tc>
      </w:tr>
    </w:tbl>
    <w:p>
      <w:pPr>
        <w:spacing w:after="100" w:before="20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1.  The Two-Phase Approach</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Resource tracking in Salesforce is implemented in two phases. Phase 1 makes the field visible and optional — commercial owners can fill it in but are not forced to. Phase 2 makes it required at deal close. Phase 1 should run for 4-6 weeks before Phase 2 is activated.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Phase</w:t>
            </w:r>
          </w:p>
        </w:tc>
        <w:tc>
          <w:tcPr>
            <w:tcW w:type="dxa" w:w="73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What changes</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Phase 1 — Optional
(implement now)</w:t>
            </w:r>
          </w:p>
        </w:tc>
        <w:tc>
          <w:tcPr>
            <w:tcW w:type="dxa" w:w="7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Add the Assigned_Technicians__c field to the Opportunity page layout. No validation rule. Commercial owners can fill it in when they close deals. Monitor compliance at Monday meetings.</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Phase 2 — Required
(implement after 6 weeks)</w:t>
            </w:r>
          </w:p>
        </w:tc>
        <w:tc>
          <w:tcPr>
            <w:tcW w:type="dxa" w:w="7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Add a Salesforce validation rule: Opportunity cannot move to Closed Won unless Assigned_Technicians__c is populated. Also add a Required_Tech_Count__c number field to capture how many techs are needed.</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20A" w:sz="1"/>
              <w:left w:val="none" w:color="FFFFFF" w:sz="0"/>
              <w:bottom w:val="none" w:color="FFFFFF" w:sz="0"/>
              <w:right w:val="none" w:color="FFFFFF" w:sz="0"/>
            </w:tcBorders>
            <w:shd w:fill="FFF3EC" w:val="clear"/>
            <w:tcMar>
              <w:top w:type="dxa" w:w="120"/>
              <w:left w:type="dxa" w:w="200"/>
              <w:bottom w:type="dxa" w:w="0"/>
              <w:right w:type="dxa" w:w="120"/>
            </w:tcMar>
          </w:tcPr>
          <w:p>
            <w:pPr>
              <w:spacing w:after="100" w:before="0"/>
            </w:pPr>
            <w:r>
              <w:rPr>
                <w:rFonts w:ascii="Arial" w:cs="Arial" w:eastAsia="Arial" w:hAnsi="Arial"/>
                <w:b/>
                <w:bCs/>
                <w:i w:val="false"/>
                <w:iCs w:val="false"/>
                <w:color w:val="C9520A"/>
                <w:sz w:val="19"/>
                <w:szCs w:val="19"/>
              </w:rPr>
              <w:t xml:space="preserve">Callout and same-day dispatch work</w:t>
            </w:r>
          </w:p>
        </w:tc>
      </w:tr>
      <w:tr>
        <w:tc>
          <w:tcPr>
            <w:tcW w:type="dxa" w:w="9360"/>
            <w:tcBorders>
              <w:top w:val="none" w:color="FFFFFF" w:sz="0"/>
              <w:left w:val="none" w:color="FFFFFF" w:sz="0"/>
              <w:bottom w:val="single" w:color="C9520A" w:sz="1"/>
              <w:right w:val="none" w:color="FFFFFF" w:sz="0"/>
            </w:tcBorders>
            <w:shd w:fill="FFF3EC"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For small callout jobs dispatched by ops directly, the tech is often assigned on the day of work — not when the opportunity is created. For Phase 2, consider adding an exception: if BU_Initiative__c = 'Base Business' AND Amount &lt; $5,000, the validation rule is bypassed. This prevents the required field from blocking fast-close callout work while still capturing it through Dynamics (which records all invoices regardless of Salesforce entry).</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2.  Salesforce Setup — Phase 1 (Optional Field)</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80" w:before="0"/>
      </w:pPr>
      <w:r>
        <w:rPr>
          <w:rFonts w:ascii="Arial" w:cs="Arial" w:eastAsia="Arial" w:hAnsi="Arial"/>
          <w:b w:val="false"/>
          <w:bCs w:val="false"/>
          <w:i w:val="false"/>
          <w:iCs w:val="false"/>
          <w:color w:val="384660"/>
          <w:sz w:val="22"/>
          <w:szCs w:val="22"/>
        </w:rPr>
        <w:t xml:space="preserve">Your Salesforce admin does all steps in this section. Estimated time: 10-15 minutes.</w:t>
      </w:r>
    </w:p>
    <w:p>
      <w:pPr>
        <w:pStyle w:val="Heading2"/>
        <w:spacing w:after="120" w:before="280"/>
      </w:pPr>
      <w:r>
        <w:rPr>
          <w:rFonts w:ascii="Arial" w:cs="Arial" w:eastAsia="Arial" w:hAnsi="Arial"/>
          <w:color w:val="161C60"/>
        </w:rPr>
        <w:t xml:space="preserve">2.1  Create the Assigned Technicians field</w:t>
      </w:r>
    </w:p>
    <w:p>
      <w:pPr>
        <w:spacing w:after="100" w:before="4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1</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Open Salesforce Setup</w:t>
            </w:r>
          </w:p>
          <w:p>
            <w:pPr>
              <w:spacing w:after="100" w:before="0"/>
            </w:pPr>
            <w:r>
              <w:rPr>
                <w:rFonts w:ascii="Arial" w:cs="Arial" w:eastAsia="Arial" w:hAnsi="Arial"/>
                <w:b w:val="false"/>
                <w:bCs w:val="false"/>
                <w:i w:val="false"/>
                <w:iCs w:val="false"/>
                <w:color w:val="384660"/>
                <w:sz w:val="21"/>
                <w:szCs w:val="21"/>
              </w:rPr>
              <w:t xml:space="preserve">Click your avatar (top right) → Setup → Object Manager → Search for Opportunity → click into it → Fields &amp; Relationships.</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2</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Create a new field</w:t>
            </w:r>
          </w:p>
          <w:p>
            <w:pPr>
              <w:spacing w:after="100" w:before="0"/>
            </w:pPr>
            <w:r>
              <w:rPr>
                <w:rFonts w:ascii="Arial" w:cs="Arial" w:eastAsia="Arial" w:hAnsi="Arial"/>
                <w:b w:val="false"/>
                <w:bCs w:val="false"/>
                <w:i w:val="false"/>
                <w:iCs w:val="false"/>
                <w:color w:val="384660"/>
                <w:sz w:val="21"/>
                <w:szCs w:val="21"/>
              </w:rPr>
              <w:t xml:space="preserve">Click New → Select 'Text Area (Long)' for Phase 1. This allows ops leads or commercial owners to type technician names as a comma-separated list. It is simple, requires no custom objects, and is queryable by Power Automate. Example entry: 'Eric Rodrigue, Joel Djordjevic'</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3</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Configure the field</w:t>
            </w:r>
          </w:p>
          <w:p>
            <w:pPr>
              <w:spacing w:after="100" w:before="0"/>
            </w:pPr>
            <w:r>
              <w:rPr>
                <w:rFonts w:ascii="Arial" w:cs="Arial" w:eastAsia="Arial" w:hAnsi="Arial"/>
                <w:b w:val="false"/>
                <w:bCs w:val="false"/>
                <w:i w:val="false"/>
                <w:iCs w:val="false"/>
                <w:color w:val="384660"/>
                <w:sz w:val="21"/>
                <w:szCs w:val="21"/>
              </w:rPr>
              <w:t xml:space="preserve">Field Label: Assigned Technicians
Field Name: Assigned_Technicians
Length: 500 characters
Description: Technicians assigned to deliver this engagement. Enter full names separated by commas. Used for crew utilisation reporting in the Command Centre.</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4</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Set field-level security</w:t>
            </w:r>
          </w:p>
          <w:p>
            <w:pPr>
              <w:spacing w:after="100" w:before="0"/>
            </w:pPr>
            <w:r>
              <w:rPr>
                <w:rFonts w:ascii="Arial" w:cs="Arial" w:eastAsia="Arial" w:hAnsi="Arial"/>
                <w:b w:val="false"/>
                <w:bCs w:val="false"/>
                <w:i w:val="false"/>
                <w:iCs w:val="false"/>
                <w:color w:val="384660"/>
                <w:sz w:val="21"/>
                <w:szCs w:val="21"/>
              </w:rPr>
              <w:t xml:space="preserve">Make visible and editable to all profiles that use Opportunities — particularly commercial owners and ops leads. Both groups should be able to see and edit this field.</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5</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Add to the Opportunity page layout</w:t>
            </w:r>
          </w:p>
          <w:p>
            <w:pPr>
              <w:spacing w:after="100" w:before="0"/>
            </w:pPr>
            <w:r>
              <w:rPr>
                <w:rFonts w:ascii="Arial" w:cs="Arial" w:eastAsia="Arial" w:hAnsi="Arial"/>
                <w:b w:val="false"/>
                <w:bCs w:val="false"/>
                <w:i w:val="false"/>
                <w:iCs w:val="false"/>
                <w:color w:val="384660"/>
                <w:sz w:val="21"/>
                <w:szCs w:val="21"/>
              </w:rPr>
              <w:t xml:space="preserve">Add the field to the Opportunity layout near the Stage and Close Date fields — visible position means higher completion rate. Save the layout.</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6</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Verify</w:t>
            </w:r>
          </w:p>
          <w:p>
            <w:pPr>
              <w:spacing w:after="100" w:before="0"/>
            </w:pPr>
            <w:r>
              <w:rPr>
                <w:rFonts w:ascii="Arial" w:cs="Arial" w:eastAsia="Arial" w:hAnsi="Arial"/>
                <w:b w:val="false"/>
                <w:bCs w:val="false"/>
                <w:i w:val="false"/>
                <w:iCs w:val="false"/>
                <w:color w:val="384660"/>
                <w:sz w:val="21"/>
                <w:szCs w:val="21"/>
              </w:rPr>
              <w:t xml:space="preserve">Open any existing Opportunity record. The Assigned Technicians field should appear on the detail page. Confirm it is editable.</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2.2  Create the Required Tech Count field (optional but recommended)</w:t>
      </w:r>
    </w:p>
    <w:p>
      <w:pPr>
        <w:spacing w:after="80" w:before="0"/>
      </w:pPr>
      <w:r>
        <w:rPr>
          <w:rFonts w:ascii="Arial" w:cs="Arial" w:eastAsia="Arial" w:hAnsi="Arial"/>
          <w:b w:val="false"/>
          <w:bCs w:val="false"/>
          <w:i w:val="false"/>
          <w:iCs w:val="false"/>
          <w:color w:val="384660"/>
          <w:sz w:val="22"/>
          <w:szCs w:val="22"/>
        </w:rPr>
        <w:t xml:space="preserve">This simple number field captures how many technicians are needed for the engagement — useful for capacity planning even before specific names are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Field setting</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Value</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Field type</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Number</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Field label</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Required Tech Count</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Field name</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Required_Tech_Count__c</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Decimal places</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Description</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Number of technicians required to deliver this engagement. Enter 0 if unknown.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Page layout position</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Next to Assigned Technicians field</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3.  Salesforce Setup — Phase 2 (Required Field + Validation Rule)</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80" w:before="0"/>
      </w:pPr>
      <w:r>
        <w:rPr>
          <w:rFonts w:ascii="Arial" w:cs="Arial" w:eastAsia="Arial" w:hAnsi="Arial"/>
          <w:b w:val="false"/>
          <w:bCs w:val="false"/>
          <w:i w:val="false"/>
          <w:iCs w:val="false"/>
          <w:color w:val="384660"/>
          <w:sz w:val="22"/>
          <w:szCs w:val="22"/>
        </w:rPr>
        <w:t xml:space="preserve">Activate this section only after 4-6 weeks of Phase 1, when compliance with the optional field is consistently above 80%. Your Salesforce admin adds one validation rule.</w:t>
      </w:r>
    </w:p>
    <w:p>
      <w:pPr>
        <w:pStyle w:val="Heading2"/>
        <w:spacing w:after="120" w:before="280"/>
      </w:pPr>
      <w:r>
        <w:rPr>
          <w:rFonts w:ascii="Arial" w:cs="Arial" w:eastAsia="Arial" w:hAnsi="Arial"/>
          <w:color w:val="161C60"/>
        </w:rPr>
        <w:t xml:space="preserve">3.1  Add the validation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1</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Navigate to Validation Rules</w:t>
            </w:r>
          </w:p>
          <w:p>
            <w:pPr>
              <w:spacing w:after="100" w:before="0"/>
            </w:pPr>
            <w:r>
              <w:rPr>
                <w:rFonts w:ascii="Arial" w:cs="Arial" w:eastAsia="Arial" w:hAnsi="Arial"/>
                <w:b w:val="false"/>
                <w:bCs w:val="false"/>
                <w:i w:val="false"/>
                <w:iCs w:val="false"/>
                <w:color w:val="384660"/>
                <w:sz w:val="21"/>
                <w:szCs w:val="21"/>
              </w:rPr>
              <w:t xml:space="preserve">Setup → Object Manager → Opportunity → Validation Rules → New.</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2</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Configure the rule</w:t>
            </w:r>
          </w:p>
          <w:p>
            <w:pPr>
              <w:spacing w:after="100" w:before="0"/>
            </w:pPr>
            <w:r>
              <w:rPr>
                <w:rFonts w:ascii="Arial" w:cs="Arial" w:eastAsia="Arial" w:hAnsi="Arial"/>
                <w:b w:val="false"/>
                <w:bCs w:val="false"/>
                <w:i w:val="false"/>
                <w:iCs w:val="false"/>
                <w:color w:val="384660"/>
                <w:sz w:val="21"/>
                <w:szCs w:val="21"/>
              </w:rPr>
              <w:t xml:space="preserve">Rule Name: Require_Assigned_Technicians_at_Close
Active: checked
Description: Prevents an Opportunity moving to Closed Won unless Assigned Technicians is populated. Exceptions: Base Business deals under $5,000 (callout work).</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3</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Enter the error condition formula</w:t>
            </w:r>
          </w:p>
          <w:p>
            <w:pPr>
              <w:spacing w:after="100" w:before="0"/>
            </w:pPr>
            <w:r>
              <w:rPr>
                <w:rFonts w:ascii="Arial" w:cs="Arial" w:eastAsia="Arial" w:hAnsi="Arial"/>
                <w:b w:val="false"/>
                <w:bCs w:val="false"/>
                <w:i w:val="false"/>
                <w:iCs w:val="false"/>
                <w:color w:val="384660"/>
                <w:sz w:val="21"/>
                <w:szCs w:val="21"/>
              </w:rPr>
              <w:t xml:space="preserve">See formula below. The rule fires (blocks the save) when the condition evaluates to TRUE.</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4</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Set the error message</w:t>
            </w:r>
          </w:p>
          <w:p>
            <w:pPr>
              <w:spacing w:after="100" w:before="0"/>
            </w:pPr>
            <w:r>
              <w:rPr>
                <w:rFonts w:ascii="Arial" w:cs="Arial" w:eastAsia="Arial" w:hAnsi="Arial"/>
                <w:b w:val="false"/>
                <w:bCs w:val="false"/>
                <w:i w:val="false"/>
                <w:iCs w:val="false"/>
                <w:color w:val="384660"/>
                <w:sz w:val="21"/>
                <w:szCs w:val="21"/>
              </w:rPr>
              <w:t xml:space="preserve">Error Message: Please enter the assigned technician name(s) in the Assigned Technicians field before closing this deal. If this is a small callout job under $5,000, you may leave it blank.
Error Location: Assigned_Technicians__c field</w:t>
            </w:r>
          </w:p>
        </w:tc>
      </w:tr>
      <w:tr>
        <w:tc>
          <w:tcPr>
            <w:tcW w:type="dxa" w:w="640"/>
            <w:tcBorders>
              <w:top w:val="single" w:color="00547A" w:sz="1"/>
              <w:left w:val="single" w:color="00547A" w:sz="1"/>
              <w:bottom w:val="single" w:color="00547A" w:sz="1"/>
              <w:right w:val="single" w:color="00547A" w:sz="1"/>
            </w:tcBorders>
            <w:shd w:fill="00547A" w:val="clear"/>
            <w:tcMar>
              <w:top w:type="dxa" w:w="100"/>
              <w:left w:type="dxa" w:w="100"/>
              <w:bottom w:type="dxa" w:w="100"/>
              <w:right w:type="dxa" w:w="80"/>
            </w:tcMar>
          </w:tcPr>
          <w:p>
            <w:pPr>
              <w:spacing w:after="0" w:before="0"/>
              <w:jc w:val="center"/>
            </w:pPr>
            <w:r>
              <w:rPr>
                <w:rFonts w:ascii="Arial" w:cs="Arial" w:eastAsia="Arial" w:hAnsi="Arial"/>
                <w:b/>
                <w:bCs/>
                <w:color w:val="FFFFFF"/>
                <w:sz w:val="26"/>
                <w:szCs w:val="26"/>
              </w:rPr>
              <w:t xml:space="preserve">5</w:t>
            </w:r>
          </w:p>
        </w:tc>
        <w:tc>
          <w:tcPr>
            <w:tcW w:type="dxa" w:w="8720"/>
            <w:tcBorders>
              <w:top w:val="single" w:color="DDE3F0" w:sz="1"/>
              <w:left w:val="single" w:color="DDE3F0" w:sz="1"/>
              <w:bottom w:val="single" w:color="DDE3F0" w:sz="1"/>
              <w:right w:val="single" w:color="DDE3F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547A"/>
                <w:sz w:val="22"/>
                <w:szCs w:val="22"/>
              </w:rPr>
              <w:t xml:space="preserve">Activate and test</w:t>
            </w:r>
          </w:p>
          <w:p>
            <w:pPr>
              <w:spacing w:after="100" w:before="0"/>
            </w:pPr>
            <w:r>
              <w:rPr>
                <w:rFonts w:ascii="Arial" w:cs="Arial" w:eastAsia="Arial" w:hAnsi="Arial"/>
                <w:b w:val="false"/>
                <w:bCs w:val="false"/>
                <w:i w:val="false"/>
                <w:iCs w:val="false"/>
                <w:color w:val="384660"/>
                <w:sz w:val="21"/>
                <w:szCs w:val="21"/>
              </w:rPr>
              <w:t xml:space="preserve">Save the rule. Test by opening an Opportunity, setting Stage to Closed Won with an empty Assigned Technicians field — it should block the save. Then test with the field filled in — it should save successfully.</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3"/>
        <w:spacing w:after="80" w:before="200"/>
      </w:pPr>
      <w:r>
        <w:rPr>
          <w:rFonts w:ascii="Arial" w:cs="Arial" w:eastAsia="Arial" w:hAnsi="Arial"/>
          <w:color w:val="0D1040"/>
        </w:rPr>
        <w:t xml:space="preserve">Validation rule formula</w:t>
      </w:r>
    </w:p>
    <w:p>
      <w:pPr>
        <w:spacing w:after="80" w:before="0"/>
      </w:pPr>
      <w:r>
        <w:rPr>
          <w:rFonts w:ascii="Arial" w:cs="Arial" w:eastAsia="Arial" w:hAnsi="Arial"/>
          <w:b w:val="false"/>
          <w:bCs w:val="false"/>
          <w:i w:val="false"/>
          <w:iCs w:val="false"/>
          <w:color w:val="384660"/>
          <w:sz w:val="22"/>
          <w:szCs w:val="22"/>
        </w:rPr>
        <w:t xml:space="preserve">This formula blocks the save when Stage = Closed Won AND Assigned Technicians is empty AND it is not a small callout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AND(</w:t>
            </w:r>
          </w:p>
          <w:p>
            <w:pPr>
              <w:spacing w:after="0" w:before="0"/>
            </w:pPr>
            <w:r>
              <w:rPr>
                <w:rFonts w:ascii="Courier New" w:cs="Courier New" w:eastAsia="Courier New" w:hAnsi="Courier New"/>
                <w:color w:val="22BB44"/>
                <w:sz w:val="19"/>
                <w:szCs w:val="19"/>
              </w:rPr>
              <w:t xml:space="preserve">  ISPICKVAL(StageName, 'Closed Won'),</w:t>
            </w:r>
          </w:p>
          <w:p>
            <w:pPr>
              <w:spacing w:after="0" w:before="0"/>
            </w:pPr>
            <w:r>
              <w:rPr>
                <w:rFonts w:ascii="Courier New" w:cs="Courier New" w:eastAsia="Courier New" w:hAnsi="Courier New"/>
                <w:color w:val="22BB44"/>
                <w:sz w:val="19"/>
                <w:szCs w:val="19"/>
              </w:rPr>
              <w:t xml:space="preserve">  ISBLANK(Assigned_Technicians__c),</w:t>
            </w:r>
          </w:p>
          <w:p>
            <w:pPr>
              <w:spacing w:after="0" w:before="0"/>
            </w:pPr>
            <w:r>
              <w:rPr>
                <w:rFonts w:ascii="Courier New" w:cs="Courier New" w:eastAsia="Courier New" w:hAnsi="Courier New"/>
                <w:color w:val="22BB44"/>
                <w:sz w:val="19"/>
                <w:szCs w:val="19"/>
              </w:rPr>
              <w:t xml:space="preserve">  NOT(</w:t>
            </w:r>
          </w:p>
          <w:p>
            <w:pPr>
              <w:spacing w:after="0" w:before="0"/>
            </w:pPr>
            <w:r>
              <w:rPr>
                <w:rFonts w:ascii="Courier New" w:cs="Courier New" w:eastAsia="Courier New" w:hAnsi="Courier New"/>
                <w:color w:val="22BB44"/>
                <w:sz w:val="19"/>
                <w:szCs w:val="19"/>
              </w:rPr>
              <w:t xml:space="preserve">    AND(</w:t>
            </w:r>
          </w:p>
          <w:p>
            <w:pPr>
              <w:spacing w:after="0" w:before="0"/>
            </w:pPr>
            <w:r>
              <w:rPr>
                <w:rFonts w:ascii="Courier New" w:cs="Courier New" w:eastAsia="Courier New" w:hAnsi="Courier New"/>
                <w:color w:val="22BB44"/>
                <w:sz w:val="19"/>
                <w:szCs w:val="19"/>
              </w:rPr>
              <w:t xml:space="preserve">      ISPICKVAL(BU_Initiative__c, 'Base Business'),</w:t>
            </w:r>
          </w:p>
          <w:p>
            <w:pPr>
              <w:spacing w:after="0" w:before="0"/>
            </w:pPr>
            <w:r>
              <w:rPr>
                <w:rFonts w:ascii="Courier New" w:cs="Courier New" w:eastAsia="Courier New" w:hAnsi="Courier New"/>
                <w:color w:val="22BB44"/>
                <w:sz w:val="19"/>
                <w:szCs w:val="19"/>
              </w:rPr>
              <w:t xml:space="preserve">      Amount &lt; 5000</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w:t>
            </w:r>
          </w:p>
        </w:tc>
      </w:tr>
    </w:tbl>
    <w:p>
      <w:pPr>
        <w:spacing w:after="100" w:before="6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8CD9" w:sz="1"/>
              <w:left w:val="none" w:color="FFFFFF" w:sz="0"/>
              <w:bottom w:val="none" w:color="FFFFFF" w:sz="0"/>
              <w:right w:val="none" w:color="FFFFFF" w:sz="0"/>
            </w:tcBorders>
            <w:shd w:fill="E8F4FD" w:val="clear"/>
            <w:tcMar>
              <w:top w:type="dxa" w:w="120"/>
              <w:left w:type="dxa" w:w="200"/>
              <w:bottom w:type="dxa" w:w="0"/>
              <w:right w:type="dxa" w:w="120"/>
            </w:tcMar>
          </w:tcPr>
          <w:p>
            <w:pPr>
              <w:spacing w:after="100" w:before="0"/>
            </w:pPr>
            <w:r>
              <w:rPr>
                <w:rFonts w:ascii="Arial" w:cs="Arial" w:eastAsia="Arial" w:hAnsi="Arial"/>
                <w:b/>
                <w:bCs/>
                <w:i w:val="false"/>
                <w:iCs w:val="false"/>
                <w:color w:val="0A3A6B"/>
                <w:sz w:val="19"/>
                <w:szCs w:val="19"/>
              </w:rPr>
              <w:t xml:space="preserve">Adjusting the callout exception threshold</w:t>
            </w:r>
          </w:p>
        </w:tc>
      </w:tr>
      <w:tr>
        <w:tc>
          <w:tcPr>
            <w:tcW w:type="dxa" w:w="9360"/>
            <w:tcBorders>
              <w:top w:val="none" w:color="FFFFFF" w:sz="0"/>
              <w:left w:val="none" w:color="FFFFFF" w:sz="0"/>
              <w:bottom w:val="single" w:color="368CD9" w:sz="1"/>
              <w:right w:val="none" w:color="FFFFFF" w:sz="0"/>
            </w:tcBorders>
            <w:shd w:fill="E8F4FD"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The $5,000 threshold in the formula is a starting point. After 6-8 weeks of data, review what percentage of Base Business deals are below this amount — if it is capturing too many real deals, lower it to $2,000 or remove the exception and rely on Dynamics to capture callout work instead. The threshold can be changed by editing the validation rule formula at any time.</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4.  Power Automate — Reading Technician Data</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Once the Assigned Technicians field is populated on a reasonable number of Opportunities, the Sunday Power Automate flow can query it. This section adds two new actions to the existing BU Services — Salesforce Actuals to Command Centre flow.</w:t>
      </w:r>
    </w:p>
    <w:p>
      <w:pPr>
        <w:pStyle w:val="Heading2"/>
        <w:spacing w:after="120" w:before="280"/>
      </w:pPr>
      <w:r>
        <w:rPr>
          <w:rFonts w:ascii="Arial" w:cs="Arial" w:eastAsia="Arial" w:hAnsi="Arial"/>
          <w:color w:val="161C60"/>
        </w:rPr>
        <w:t xml:space="preserve">4.1  What the query produces</w:t>
      </w:r>
    </w:p>
    <w:p>
      <w:pPr>
        <w:spacing w:after="80" w:before="0"/>
      </w:pPr>
      <w:r>
        <w:rPr>
          <w:rFonts w:ascii="Arial" w:cs="Arial" w:eastAsia="Arial" w:hAnsi="Arial"/>
          <w:b w:val="false"/>
          <w:bCs w:val="false"/>
          <w:i w:val="false"/>
          <w:iCs w:val="false"/>
          <w:color w:val="384660"/>
          <w:sz w:val="22"/>
          <w:szCs w:val="22"/>
        </w:rPr>
        <w:t xml:space="preserve">The query counts how many billable technician-days are assigned across Closed Won Opportunities per region for the current year. Dividing that by available working days gives a utilisation proxy — not as precise as the manual workbook (which uses actual hours), but automatic and directionally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1"/>
              <w:left w:val="none" w:color="FFFFFF" w:sz="0"/>
              <w:bottom w:val="none" w:color="FFFFFF" w:sz="0"/>
              <w:right w:val="none" w:color="FFFFFF" w:sz="0"/>
            </w:tcBorders>
            <w:shd w:fill="FFF8E1" w:val="clear"/>
            <w:tcMar>
              <w:top w:type="dxa" w:w="120"/>
              <w:left w:type="dxa" w:w="200"/>
              <w:bottom w:type="dxa" w:w="0"/>
              <w:right w:type="dxa" w:w="120"/>
            </w:tcMar>
          </w:tcPr>
          <w:p>
            <w:pPr>
              <w:spacing w:after="100" w:before="0"/>
            </w:pPr>
            <w:r>
              <w:rPr>
                <w:rFonts w:ascii="Arial" w:cs="Arial" w:eastAsia="Arial" w:hAnsi="Arial"/>
                <w:b/>
                <w:bCs/>
                <w:i w:val="false"/>
                <w:iCs w:val="false"/>
                <w:color w:val="C9860A"/>
                <w:sz w:val="19"/>
                <w:szCs w:val="19"/>
              </w:rPr>
              <w:t xml:space="preserve">Why this is a proxy and not exact utilisation</w:t>
            </w:r>
          </w:p>
        </w:tc>
      </w:tr>
      <w:tr>
        <w:tc>
          <w:tcPr>
            <w:tcW w:type="dxa" w:w="9360"/>
            <w:tcBorders>
              <w:top w:val="none" w:color="FFFFFF" w:sz="0"/>
              <w:left w:val="none" w:color="FFFFFF" w:sz="0"/>
              <w:bottom w:val="single" w:color="C9860A" w:sz="1"/>
              <w:right w:val="none" w:color="FFFFFF" w:sz="0"/>
            </w:tcBorders>
            <w:shd w:fill="FFF8E1"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Salesforce Opportunities record which techs are assigned to a deal, but they do not record available hours or actual days worked — that information only exists in the utilisation workbook. This Power Automate query gives you an approximate deployed-resource count per region, which is useful for direction and trend, but the manual workbook remains the accurate source for the exact billable percentage. The ideal end state is both: the workbook for precise weekly reporting, Salesforce for automatic trend data.</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4.2  New Action A — Get technician assignments by region</w:t>
      </w:r>
    </w:p>
    <w:p>
      <w:pPr>
        <w:spacing w:after="80" w:before="0"/>
      </w:pPr>
      <w:r>
        <w:rPr>
          <w:rFonts w:ascii="Arial" w:cs="Arial" w:eastAsia="Arial" w:hAnsi="Arial"/>
          <w:b w:val="false"/>
          <w:bCs w:val="false"/>
          <w:i w:val="false"/>
          <w:iCs w:val="false"/>
          <w:color w:val="384660"/>
          <w:sz w:val="22"/>
          <w:szCs w:val="22"/>
        </w:rPr>
        <w:t xml:space="preserve">Add a new Salesforce — Get Records action to the existing Sunday flow. Name it </w:t>
      </w:r>
      <w:r>
        <w:rPr>
          <w:rFonts w:ascii="Arial" w:cs="Arial" w:eastAsia="Arial" w:hAnsi="Arial"/>
          <w:b/>
          <w:bCs/>
          <w:color w:val="00547A"/>
          <w:sz w:val="22"/>
          <w:szCs w:val="22"/>
        </w:rPr>
        <w:t xml:space="preserve">Get Tech Assignments by Region</w:t>
      </w:r>
      <w:r>
        <w:rPr>
          <w:rFonts w:ascii="Arial" w:cs="Arial" w:eastAsia="Arial" w:hAnsi="Arial"/>
          <w:b w:val="false"/>
          <w:bCs w:val="false"/>
          <w:i w:val="false"/>
          <w:iCs w:val="false"/>
          <w:color w:val="384660"/>
          <w:sz w:val="22"/>
          <w:szCs w:val="22"/>
        </w:rPr>
        <w:t xml:space="preserve">. Place it after the existing regional Closed Won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Field</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Value</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Object Type</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Opportunity</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Filter Rows</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StageName = 'Closed Won' AND CloseDate = THIS_YEAR AND Assigned_Technicians__c != null AND Assigned_Technicians__c != ''</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Output Fields</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Assigned_Technicians__c, Required_Tech_Count__c, REGION_FIELD__c, BU_Initiative__c, Amount, CloseDate</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Max Records</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2000</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Notes</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Replace REGION_FIELD__c with your confirmed region field API name from the Salesforce admin.</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4.3  New Action B — Compose tech deployment counts per region</w:t>
      </w:r>
    </w:p>
    <w:p>
      <w:pPr>
        <w:spacing w:after="80" w:before="0"/>
      </w:pPr>
      <w:r>
        <w:rPr>
          <w:rFonts w:ascii="Arial" w:cs="Arial" w:eastAsia="Arial" w:hAnsi="Arial"/>
          <w:b w:val="false"/>
          <w:bCs w:val="false"/>
          <w:i w:val="false"/>
          <w:iCs w:val="false"/>
          <w:color w:val="384660"/>
          <w:sz w:val="22"/>
          <w:szCs w:val="22"/>
        </w:rPr>
        <w:t xml:space="preserve">Add a Compose action for each region. This counts the number of Opportunities with assigned technicians per region — a proxy for deployment activity. Replace </w:t>
      </w:r>
      <w:r>
        <w:rPr>
          <w:rFonts w:ascii="Courier New" w:cs="Courier New" w:eastAsia="Courier New" w:hAnsi="Courier New"/>
          <w:color w:val="00547A"/>
          <w:sz w:val="22"/>
          <w:szCs w:val="22"/>
        </w:rPr>
        <w:t xml:space="preserve">'HQ'</w:t>
      </w:r>
      <w:r>
        <w:rPr>
          <w:rFonts w:ascii="Arial" w:cs="Arial" w:eastAsia="Arial" w:hAnsi="Arial"/>
          <w:b w:val="false"/>
          <w:bCs w:val="false"/>
          <w:i w:val="false"/>
          <w:iCs w:val="false"/>
          <w:color w:val="384660"/>
          <w:sz w:val="22"/>
          <w:szCs w:val="22"/>
        </w:rPr>
        <w:t xml:space="preserve"> with the confirmed Salesforce picklist value for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length(</w:t>
            </w:r>
          </w:p>
          <w:p>
            <w:pPr>
              <w:spacing w:after="0" w:before="0"/>
            </w:pPr>
            <w:r>
              <w:rPr>
                <w:rFonts w:ascii="Courier New" w:cs="Courier New" w:eastAsia="Courier New" w:hAnsi="Courier New"/>
                <w:color w:val="22BB44"/>
                <w:sz w:val="19"/>
                <w:szCs w:val="19"/>
              </w:rPr>
              <w:t xml:space="preserve">  filter(</w:t>
            </w:r>
          </w:p>
          <w:p>
            <w:pPr>
              <w:spacing w:after="0" w:before="0"/>
            </w:pPr>
            <w:r>
              <w:rPr>
                <w:rFonts w:ascii="Courier New" w:cs="Courier New" w:eastAsia="Courier New" w:hAnsi="Courier New"/>
                <w:color w:val="22BB44"/>
                <w:sz w:val="19"/>
                <w:szCs w:val="19"/>
              </w:rPr>
              <w:t xml:space="preserve">    body('Get_Tech_Assignments_by_Region')?['value'],</w:t>
            </w:r>
          </w:p>
          <w:p>
            <w:pPr>
              <w:spacing w:after="0" w:before="0"/>
            </w:pPr>
            <w:r>
              <w:rPr>
                <w:rFonts w:ascii="Courier New" w:cs="Courier New" w:eastAsia="Courier New" w:hAnsi="Courier New"/>
                <w:color w:val="22BB44"/>
                <w:sz w:val="19"/>
                <w:szCs w:val="19"/>
              </w:rPr>
              <w:t xml:space="preserve">    @equals(item()?['REGION_FIELD__c'], 'HQ')</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w:t>
            </w:r>
          </w:p>
        </w:tc>
      </w:tr>
    </w:tbl>
    <w:p>
      <w:pPr>
        <w:spacing w:after="100" w:before="60"/>
      </w:pPr>
      <w:r>
        <w:rPr>
          <w:rFonts w:ascii="Arial" w:cs="Arial" w:eastAsia="Arial" w:hAnsi="Arial"/>
          <w:b w:val="false"/>
          <w:bCs w:val="false"/>
          <w:i w:val="false"/>
          <w:iCs w:val="false"/>
          <w:color w:val="384660"/>
          <w:sz w:val="22"/>
          <w:szCs w:val="22"/>
        </w:rPr>
        <w:t xml:space="preserve"> </w:t>
      </w:r>
    </w:p>
    <w:p>
      <w:pPr>
        <w:spacing w:after="80" w:before="0"/>
      </w:pPr>
      <w:r>
        <w:rPr>
          <w:rFonts w:ascii="Arial" w:cs="Arial" w:eastAsia="Arial" w:hAnsi="Arial"/>
          <w:b w:val="false"/>
          <w:bCs w:val="false"/>
          <w:i/>
          <w:iCs/>
          <w:color w:val="384660"/>
          <w:sz w:val="22"/>
          <w:szCs w:val="22"/>
        </w:rPr>
        <w:t xml:space="preserve">Create one Compose per region: Compose HQ Tech Count, Compose Montreal Tech Count, Compose Central Tech Count, Compose Edmonton Tech Count, Compose Vancouver Tech Count.</w:t>
      </w:r>
    </w:p>
    <w:p>
      <w:pPr>
        <w:pStyle w:val="Heading2"/>
        <w:spacing w:after="120" w:before="280"/>
      </w:pPr>
      <w:r>
        <w:rPr>
          <w:rFonts w:ascii="Arial" w:cs="Arial" w:eastAsia="Arial" w:hAnsi="Arial"/>
          <w:color w:val="161C60"/>
        </w:rPr>
        <w:t xml:space="preserve">4.4  Add technician deployment counts to actuals.json</w:t>
      </w:r>
    </w:p>
    <w:p>
      <w:pPr>
        <w:spacing w:after="80" w:before="0"/>
      </w:pPr>
      <w:r>
        <w:rPr>
          <w:rFonts w:ascii="Arial" w:cs="Arial" w:eastAsia="Arial" w:hAnsi="Arial"/>
          <w:b w:val="false"/>
          <w:bCs w:val="false"/>
          <w:i w:val="false"/>
          <w:iCs w:val="false"/>
          <w:color w:val="384660"/>
          <w:sz w:val="22"/>
          <w:szCs w:val="22"/>
        </w:rPr>
        <w:t xml:space="preserve">Add five new fields to the Build JSON Compose action. These give a deployment activity count per region — useful for trend analysis in the Command Centre even before utilisation hours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  "tech_deployments_hq":       @{outputs('Compose_HQ_Tech_Count')},</w:t>
            </w:r>
          </w:p>
          <w:p>
            <w:pPr>
              <w:spacing w:after="0" w:before="0"/>
            </w:pPr>
            <w:r>
              <w:rPr>
                <w:rFonts w:ascii="Courier New" w:cs="Courier New" w:eastAsia="Courier New" w:hAnsi="Courier New"/>
                <w:color w:val="22BB44"/>
                <w:sz w:val="19"/>
                <w:szCs w:val="19"/>
              </w:rPr>
              <w:t xml:space="preserve">  "tech_deployments_montreal":  @{outputs('Compose_Montreal_Tech_Count')},</w:t>
            </w:r>
          </w:p>
          <w:p>
            <w:pPr>
              <w:spacing w:after="0" w:before="0"/>
            </w:pPr>
            <w:r>
              <w:rPr>
                <w:rFonts w:ascii="Courier New" w:cs="Courier New" w:eastAsia="Courier New" w:hAnsi="Courier New"/>
                <w:color w:val="22BB44"/>
                <w:sz w:val="19"/>
                <w:szCs w:val="19"/>
              </w:rPr>
              <w:t xml:space="preserve">  "tech_deployments_central":   @{outputs('Compose_Central_Tech_Count')},</w:t>
            </w:r>
          </w:p>
          <w:p>
            <w:pPr>
              <w:spacing w:after="0" w:before="0"/>
            </w:pPr>
            <w:r>
              <w:rPr>
                <w:rFonts w:ascii="Courier New" w:cs="Courier New" w:eastAsia="Courier New" w:hAnsi="Courier New"/>
                <w:color w:val="22BB44"/>
                <w:sz w:val="19"/>
                <w:szCs w:val="19"/>
              </w:rPr>
              <w:t xml:space="preserve">  "tech_deployments_edmonton":  @{outputs('Compose_Edmonton_Tech_Count')},</w:t>
            </w:r>
          </w:p>
          <w:p>
            <w:pPr>
              <w:spacing w:after="0" w:before="0"/>
            </w:pPr>
            <w:r>
              <w:rPr>
                <w:rFonts w:ascii="Courier New" w:cs="Courier New" w:eastAsia="Courier New" w:hAnsi="Courier New"/>
                <w:color w:val="22BB44"/>
                <w:sz w:val="19"/>
                <w:szCs w:val="19"/>
              </w:rPr>
              <w:t xml:space="preserve">  "tech_deployments_vancouver": @{outputs('Compose_Vancouver_Tech_Count')}</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B24" w:sz="1"/>
              <w:left w:val="none" w:color="FFFFFF" w:sz="0"/>
              <w:bottom w:val="none" w:color="FFFFFF" w:sz="0"/>
              <w:right w:val="none" w:color="FFFFFF" w:sz="0"/>
            </w:tcBorders>
            <w:shd w:fill="E8F5E9" w:val="clear"/>
            <w:tcMar>
              <w:top w:type="dxa" w:w="120"/>
              <w:left w:type="dxa" w:w="200"/>
              <w:bottom w:type="dxa" w:w="0"/>
              <w:right w:type="dxa" w:w="120"/>
            </w:tcMar>
          </w:tcPr>
          <w:p>
            <w:pPr>
              <w:spacing w:after="100" w:before="0"/>
            </w:pPr>
            <w:r>
              <w:rPr>
                <w:rFonts w:ascii="Arial" w:cs="Arial" w:eastAsia="Arial" w:hAnsi="Arial"/>
                <w:b/>
                <w:bCs/>
                <w:i w:val="false"/>
                <w:iCs w:val="false"/>
                <w:color w:val="196B24"/>
                <w:sz w:val="19"/>
                <w:szCs w:val="19"/>
              </w:rPr>
              <w:t xml:space="preserve">These fields complement the util_ fields, they do not replace them</w:t>
            </w:r>
          </w:p>
        </w:tc>
      </w:tr>
      <w:tr>
        <w:tc>
          <w:tcPr>
            <w:tcW w:type="dxa" w:w="9360"/>
            <w:tcBorders>
              <w:top w:val="none" w:color="FFFFFF" w:sz="0"/>
              <w:left w:val="none" w:color="FFFFFF" w:sz="0"/>
              <w:bottom w:val="single" w:color="196B24" w:sz="1"/>
              <w:right w:val="none" w:color="FFFFFF" w:sz="0"/>
            </w:tcBorders>
            <w:shd w:fill="E8F5E9"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The util_hq through util_vancouver fields in actuals.json hold the actual billable percentage from the utilisation workbook — those remain the authoritative utilisation numbers. The tech_deployments_* fields are additive: they show how many Opportunities had technicians assigned per region, which is a proxy for demand and activity. Both sets of fields feed different parts of the Command Centre regional cards.</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5.  Training the Commercial Team</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Technical setup is the easy part. Getting commercial owners to consistently fill in the Assigned Technicians field is the hard part. These five steps give the best chance of consistent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Step</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What to do</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1. Explain why at a Commercial meeting</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At the next Monday Commercial Leadership meeting, show the utilisation section in the Command Centre. Explain that the region cards show $0 utilisation because the data is not in Salesforce yet. Make it concrete: 'I cannot see whether Edmonton is at 60% or 90% this week because we have no resource data in Salesforce. That means I cannot spot a problem until ops tells me.'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2. Make the field prominent</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Ask your Salesforce admin to move the Assigned Technicians field to the top of the Opportunity page layout — immediately below the Stage and Amount fields. Fields at the top of the page get filled in. Fields at the bottom get ignored.</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3. Show the output, not the process</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After the first week where someone fills in the field, show the result in the Command Centre at the next Monday meeting. The regional card that shows a tech count becomes real. Seeing your own data appear in the portal is the most effective prompt.</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4. Pair with the Friday SF reminder</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The existing Friday Salesforce reminder already embedded in the meeting agendas says 'update all Closed Won deals.' Add one line: 'and enter the assigned technician name(s) in the Assigned Technicians field.' Small addition to an existing habit.</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5. Use peer accountability, not top-down pressure</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At the weekly Commercial meeting, Alex Cyr reviews the utilisation region cards. If a region shows zero tech deployments while revenue is coming in, the question is natural: 'Rick, I see Pipeline has $400K closed this month but no technician assignments logged — can you update that before Friday?' This is less confrontational than a manager demanding compliance.</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6.  Long-Term: Moving to Salesforce Service Resources</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The Assigned Technicians text field is practical and immediate. If BU Services grows to the point where resource scheduling and capacity planning need to be more rigorous — for example when planning the Nuclear MSA in 2027 with multiple concurrent OPG outages — the right next step is Salesforce Service Resources.</w:t>
      </w:r>
    </w:p>
    <w:p>
      <w:pPr>
        <w:pStyle w:val="Heading2"/>
        <w:spacing w:after="120" w:before="280"/>
      </w:pPr>
      <w:r>
        <w:rPr>
          <w:rFonts w:ascii="Arial" w:cs="Arial" w:eastAsia="Arial" w:hAnsi="Arial"/>
          <w:color w:val="161C60"/>
        </w:rPr>
        <w:t xml:space="preserve">6.1  What Service Resources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Feature</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What it enables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Service Resource records</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Each technician is a named resource with skills, certifications (including CGSB levels), and availability calendar. Links directly to the CGSB Qualification Tracker.</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Resource requirements on Opportunities</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When a deal is created, the commercial owner specifies how many techs and what skills are needed. Salesforce matches against available resources.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Capacity planning view</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 visual calendar showing all deployed resources across all opportunities — who is available, who is booked, and where gaps will appear in the next 4-8 weeks.</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Actual utilisation calculation</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Salesforce calculates billable vs. available hours automatically from the resource calendar. No manual workbook entry needed. Power Automate reads this directly.</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Certification expiry alerts</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If a tech's CGSB certification expires before a scheduled deployment, Salesforce flags the gap automatically — critical for OPG MSA compliance.</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8CD9" w:sz="1"/>
              <w:left w:val="none" w:color="FFFFFF" w:sz="0"/>
              <w:bottom w:val="none" w:color="FFFFFF" w:sz="0"/>
              <w:right w:val="none" w:color="FFFFFF" w:sz="0"/>
            </w:tcBorders>
            <w:shd w:fill="E8F4FD" w:val="clear"/>
            <w:tcMar>
              <w:top w:type="dxa" w:w="120"/>
              <w:left w:type="dxa" w:w="200"/>
              <w:bottom w:type="dxa" w:w="0"/>
              <w:right w:type="dxa" w:w="120"/>
            </w:tcMar>
          </w:tcPr>
          <w:p>
            <w:pPr>
              <w:spacing w:after="100" w:before="0"/>
            </w:pPr>
            <w:r>
              <w:rPr>
                <w:rFonts w:ascii="Arial" w:cs="Arial" w:eastAsia="Arial" w:hAnsi="Arial"/>
                <w:b/>
                <w:bCs/>
                <w:i w:val="false"/>
                <w:iCs w:val="false"/>
                <w:color w:val="0A3A6B"/>
                <w:sz w:val="19"/>
                <w:szCs w:val="19"/>
              </w:rPr>
              <w:t xml:space="preserve">When to consider Service Resources</w:t>
            </w:r>
          </w:p>
        </w:tc>
      </w:tr>
      <w:tr>
        <w:tc>
          <w:tcPr>
            <w:tcW w:type="dxa" w:w="9360"/>
            <w:tcBorders>
              <w:top w:val="none" w:color="FFFFFF" w:sz="0"/>
              <w:left w:val="none" w:color="FFFFFF" w:sz="0"/>
              <w:bottom w:val="single" w:color="368CD9" w:sz="1"/>
              <w:right w:val="none" w:color="FFFFFF" w:sz="0"/>
            </w:tcBorders>
            <w:shd w:fill="E8F4FD"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Service Resources makes sense when you have more than 15-20 active technicians, when multiple initiatives are competing for the same people at the same time, or when a client contract requires documented resource planning (the Nuclear MSA will likely require this). The setup takes 2-4 weeks with a Salesforce partner. The current text field approach is the right bridge until you reach that scale.</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7.  Quick Reference</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Field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Field</w:t>
            </w:r>
          </w:p>
        </w:tc>
        <w:tc>
          <w:tcPr>
            <w:tcW w:type="dxa" w:w="73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API name</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Assigned Technicians</w:t>
            </w:r>
          </w:p>
        </w:tc>
        <w:tc>
          <w:tcPr>
            <w:tcW w:type="dxa" w:w="7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Assigned_Technicians__c</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Required Tech Count</w:t>
            </w:r>
          </w:p>
        </w:tc>
        <w:tc>
          <w:tcPr>
            <w:tcW w:type="dxa" w:w="7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Required_Tech_Count__c</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Power Automate actions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Action name</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Type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Get Tech Assignments by Region</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Salesforce — Get Records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Compose HQ Tech Count</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Compose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Compose Montreal Tech Count</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Compose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Compose Central Tech Count</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Compose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Compose Edmonton Tech Count</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Compose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Compose Vancouver Tech Count</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Compose</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actuals.json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Field</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Source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tech_deployments_hq</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tech_deployments_montreal</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tech_deployments_central</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tech_deployments_edmonton</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tech_deployments_vancouver</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Week</w:t>
            </w:r>
          </w:p>
        </w:tc>
        <w:tc>
          <w:tcPr>
            <w:tcW w:type="dxa" w:w="7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Action</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Week 1</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Salesforce admin adds Assigned_Technicians__c field to Opportunity layout (Phase 1, optional). Announce at Monday Commercial meeting.</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Weeks 1-6</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Monitor completion rate at Monday meetings. Alex Cyr asks about empty fields. No enforcement yet.</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Week 6 review</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If completion rate &gt; 80%: activate Phase 2 validation rule. If &lt; 80%: investigate why and resolve before activating.</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After Phase 2 activation</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Add Power Automate actions from Section 4. Add tech_deployments_* fields to actuals.json. Command Centre regional cards gain deployment count data.</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2027 — Nuclear MSA prep</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Evaluate Salesforce Service Resources module as OPG contract requires documented resource planning and certification tracking at scale.</w:t>
            </w:r>
          </w:p>
        </w:tc>
      </w:tr>
    </w:tbl>
    <w:p>
      <w:pPr>
        <w:spacing w:after="100" w:before="200"/>
      </w:pPr>
      <w:r>
        <w:rPr>
          <w:rFonts w:ascii="Arial" w:cs="Arial" w:eastAsia="Arial" w:hAnsi="Arial"/>
          <w:b w:val="false"/>
          <w:bCs w:val="false"/>
          <w:i w:val="false"/>
          <w:iCs w:val="false"/>
          <w:color w:val="384660"/>
          <w:sz w:val="22"/>
          <w:szCs w:val="22"/>
        </w:rPr>
        <w:t xml:space="preserve"> </w:t>
      </w:r>
    </w:p>
    <w:p>
      <w:pPr>
        <w:pBdr>
          <w:top w:val="single" w:color="00547A" w:sz="8" w:space="1"/>
        </w:pBdr>
        <w:spacing w:after="0" w:before="0"/>
      </w:pPr>
    </w:p>
    <w:p>
      <w:pPr>
        <w:spacing w:after="100" w:before="100"/>
      </w:pPr>
      <w:r>
        <w:rPr>
          <w:rFonts w:ascii="Arial" w:cs="Arial" w:eastAsia="Arial" w:hAnsi="Arial"/>
          <w:b w:val="false"/>
          <w:bCs w:val="false"/>
          <w:i w:val="false"/>
          <w:iCs w:val="false"/>
          <w:color w:val="384660"/>
          <w:sz w:val="22"/>
          <w:szCs w:val="22"/>
        </w:rPr>
        <w:t xml:space="preserve"> </w:t>
      </w:r>
    </w:p>
    <w:p>
      <w:pPr>
        <w:spacing w:after="0" w:before="0"/>
        <w:jc w:val="center"/>
      </w:pPr>
      <w:r>
        <w:rPr>
          <w:rFonts w:ascii="Arial" w:cs="Arial" w:eastAsia="Arial" w:hAnsi="Arial"/>
          <w:b w:val="false"/>
          <w:bCs w:val="false"/>
          <w:i w:val="false"/>
          <w:iCs w:val="false"/>
          <w:color w:val="AAAAAA"/>
          <w:sz w:val="18"/>
          <w:szCs w:val="18"/>
        </w:rPr>
        <w:t xml:space="preserve">BU Services — Salesforce Technician Resource Tracking  ·  v1.0  ·  May 2026</w:t>
      </w:r>
    </w:p>
    <w:p>
      <w:pPr>
        <w:spacing w:after="0" w:before="40"/>
        <w:jc w:val="center"/>
      </w:pPr>
      <w:r>
        <w:rPr>
          <w:rFonts w:ascii="Arial" w:cs="Arial" w:eastAsia="Arial" w:hAnsi="Arial"/>
          <w:b w:val="false"/>
          <w:bCs w:val="false"/>
          <w:i w:val="false"/>
          <w:iCs w:val="false"/>
          <w:color w:val="CCCCCC"/>
          <w:sz w:val="18"/>
          <w:szCs w:val="18"/>
        </w:rPr>
        <w:t xml:space="preserve">Ekoscan Integrity Group  ·  Jon Eustace, CEO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space="1"/>
      </w:pBdr>
      <w:tabs>
        <w:tab w:val="center" w:pos="4680"/>
        <w:tab w:val="right" w:pos="9360"/>
      </w:tabs>
      <w:spacing w:after="0" w:before="0"/>
    </w:pPr>
    <w:r>
      <w:rPr>
        <w:rFonts w:ascii="Arial" w:cs="Arial" w:eastAsia="Arial" w:hAnsi="Arial"/>
        <w:b w:val="false"/>
        <w:bCs w:val="false"/>
        <w:i w:val="false"/>
        <w:iCs w:val="false"/>
        <w:color w:val="AAAAAA"/>
        <w:sz w:val="18"/>
        <w:szCs w:val="18"/>
      </w:rPr>
      <w:t xml:space="preserve">Confidential — Ekoscan Integrity Group</w:t>
    </w:r>
    <w:r>
      <w:rPr>
        <w:rFonts w:ascii="Arial" w:cs="Arial" w:eastAsia="Arial" w:hAnsi="Arial"/>
        <w:b w:val="false"/>
        <w:bCs w:val="false"/>
        <w:i w:val="false"/>
        <w:iCs w:val="false"/>
        <w:color w:val="384660"/>
        <w:sz w:val="18"/>
        <w:szCs w:val="18"/>
      </w:rPr>
      <w:t xml:space="preserve">	</w:t>
    </w:r>
    <w:r>
      <w:rPr>
        <w:rFonts w:ascii="Arial" w:cs="Arial" w:eastAsia="Arial" w:hAnsi="Arial"/>
        <w:b w:val="false"/>
        <w:bCs w:val="false"/>
        <w:i w:val="false"/>
        <w:iCs w:val="false"/>
        <w:color w:val="AAAAAA"/>
        <w:sz w:val="18"/>
        <w:szCs w:val="18"/>
      </w:rPr>
      <w:t xml:space="preserve">May 2026</w:t>
    </w:r>
    <w:r>
      <w:rPr>
        <w:rFonts w:ascii="Arial" w:cs="Arial" w:eastAsia="Arial" w:hAnsi="Arial"/>
        <w:b w:val="false"/>
        <w:bCs w:val="false"/>
        <w:i w:val="false"/>
        <w:iCs w:val="false"/>
        <w:color w:val="384660"/>
        <w:sz w:val="18"/>
        <w:szCs w:val="18"/>
      </w:rPr>
      <w:t xml:space="preserve">	</w:t>
    </w:r>
    <w:r>
      <w:rPr>
        <w:rFonts w:ascii="Arial" w:cs="Arial" w:eastAsia="Arial" w:hAnsi="Arial"/>
        <w:b w:val="false"/>
        <w:bCs w:val="false"/>
        <w:i w:val="false"/>
        <w:iCs w:val="false"/>
        <w:color w:val="AAAAAA"/>
        <w:sz w:val="18"/>
        <w:szCs w:val="18"/>
      </w:rPr>
      <w:t xml:space="preserve">Page </w:t>
    </w:r>
    <w:r>
      <w:rPr>
        <w:rFonts w:ascii="Arial" w:cs="Arial" w:hAnsi="Arial"/>
        <w:color w:val="AAAAAA"/>
        <w:sz w:val="18"/>
        <w:szCs w:val="18"/>
      </w:rPr>
      <w:fldChar w:fldCharType="begin"/>
    </w:r>
    <w:r>
      <w:rPr>
        <w:rFonts w:ascii="Arial" w:cs="Arial" w:hAnsi="Arial"/>
        <w:color w:val="AAAAAA"/>
        <w:sz w:val="18"/>
        <w:szCs w:val="18"/>
      </w:rPr>
      <w:instrText xml:space="preserve"> PAGE </w:instrText>
    </w:r>
    <w:r>
      <w:rPr>
        <w:rFonts w:ascii="Arial" w:cs="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space="1"/>
      </w:pBdr>
      <w:spacing w:after="0" w:before="0"/>
    </w:pPr>
    <w:r>
      <w:rPr>
        <w:rFonts w:ascii="Arial" w:cs="Arial" w:eastAsia="Arial" w:hAnsi="Arial"/>
        <w:b w:val="false"/>
        <w:bCs w:val="false"/>
        <w:i w:val="false"/>
        <w:iCs w:val="false"/>
        <w:color w:val="888888"/>
        <w:sz w:val="18"/>
        <w:szCs w:val="18"/>
      </w:rPr>
      <w:t xml:space="preserve">BU Services — Salesforce Technician Resource Tracking</w:t>
    </w:r>
    <w:r>
      <w:rPr>
        <w:rFonts w:ascii="Arial" w:cs="Arial" w:eastAsia="Arial" w:hAnsi="Arial"/>
        <w:b w:val="false"/>
        <w:bCs w:val="false"/>
        <w:i w:val="false"/>
        <w:iCs w:val="false"/>
        <w:color w:val="AAAAAA"/>
        <w:sz w:val="18"/>
        <w:szCs w:val="18"/>
      </w:rPr>
      <w:t xml:space="preserve">   ·   Ekoscan Integrity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846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1C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1C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2026-04-18T03:28:27.976Z</dcterms:created>
  <dcterms:modified xsi:type="dcterms:W3CDTF">2026-04-18T03:28:27.977Z</dcterms:modified>
</cp:coreProperties>
</file>

<file path=docProps/custom.xml><?xml version="1.0" encoding="utf-8"?>
<Properties xmlns="http://schemas.openxmlformats.org/officeDocument/2006/custom-properties" xmlns:vt="http://schemas.openxmlformats.org/officeDocument/2006/docPropsVTypes"/>
</file>