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pPr>
      <w:r>
        <w:rPr>
          <w:rFonts w:ascii="Arial" w:cs="Arial" w:eastAsia="Arial" w:hAnsi="Arial"/>
          <w:caps/>
          <w:color w:val="6678A0"/>
          <w:spacing w:val="80"/>
          <w:sz w:val="18"/>
          <w:szCs w:val="18"/>
        </w:rPr>
        <w:t xml:space="preserve">EKOSCAN INTEGRITY GROUP — BU SERVICES</w:t>
      </w:r>
    </w:p>
    <w:p>
      <w:pPr>
        <w:spacing w:after="40"/>
      </w:pPr>
      <w:r>
        <w:rPr>
          <w:rFonts w:ascii="Arial" w:cs="Arial" w:eastAsia="Arial" w:hAnsi="Arial"/>
          <w:b/>
          <w:bCs/>
          <w:color w:val="0A1F5C"/>
          <w:sz w:val="56"/>
          <w:szCs w:val="56"/>
        </w:rPr>
        <w:t xml:space="preserve">Vinoth Tharma</w:t>
      </w:r>
    </w:p>
    <w:p>
      <w:pPr>
        <w:spacing w:after="40"/>
      </w:pPr>
      <w:r>
        <w:rPr>
          <w:rFonts w:ascii="Arial" w:cs="Arial" w:eastAsia="Arial" w:hAnsi="Arial"/>
          <w:b/>
          <w:bCs/>
          <w:color w:val="0D5050"/>
          <w:sz w:val="26"/>
          <w:szCs w:val="26"/>
        </w:rPr>
        <w:t xml:space="preserve">Commercial Director — East  ·  Mining NDT · Nuclear/OPG · Powerline · 3X Composite</w:t>
      </w:r>
    </w:p>
    <w:p>
      <w:pPr>
        <w:spacing w:after="120"/>
      </w:pPr>
      <w:r>
        <w:rPr>
          <w:rFonts w:ascii="Arial" w:cs="Arial" w:eastAsia="Arial" w:hAnsi="Arial"/>
          <w:i/>
          <w:iCs/>
          <w:color w:val="6678A0"/>
          <w:sz w:val="19"/>
          <w:szCs w:val="19"/>
        </w:rPr>
        <w:t xml:space="preserve">Employed by: Nucleom Inc. — employed and paid by Nucleom. Reports to: Olivier Marcotte (CRO, BU Services). Commercial mandate covers Eastern Canada.</w:t>
      </w:r>
    </w:p>
    <w:p>
      <w:pPr>
        <w:pBdr>
          <w:bottom w:val="single" w:color="0D5050" w:sz="4" w:space="1"/>
        </w:pBdr>
        <w:spacing w:after="160" w:before="120"/>
      </w:pPr>
    </w:p>
    <w:p>
      <w:pPr>
        <w:spacing w:after="80"/>
      </w:pPr>
    </w:p>
    <w:p>
      <w:pPr>
        <w:spacing w:after="120"/>
      </w:pPr>
      <w:r>
        <w:rPr>
          <w:rFonts w:ascii="Arial" w:cs="Arial" w:eastAsia="Arial" w:hAnsi="Arial"/>
          <w:sz w:val="20"/>
          <w:szCs w:val="20"/>
        </w:rPr>
        <w:t xml:space="preserve">You are the primary commercial face of BU Services in Eastern Canada. Employed by Nucleom, your mandate covers Mining NDT in Ontario and Quebec, the Nuclear/OPG initiative (the highest-value initiative in the 5-year plan), Powerline in partnership with Mathieu Beauchesne, and 3X Composite wherever findings arise in the field. You report to Olivier Marcotte (CRO, BU Services).</w:t>
      </w:r>
    </w:p>
    <w:p>
      <w:pPr>
        <w:spacing w:after="80"/>
      </w:pPr>
    </w:p>
    <w:p>
      <w:pPr>
        <w:pStyle w:val="Heading1"/>
      </w:pPr>
      <w:r>
        <w:t xml:space="preserve">1.  Role Overview</w:t>
      </w:r>
    </w:p>
    <w:p>
      <w:pPr>
        <w:spacing w:after="120"/>
      </w:pPr>
      <w:r>
        <w:rPr>
          <w:rFonts w:ascii="Arial" w:cs="Arial" w:eastAsia="Arial" w:hAnsi="Arial"/>
          <w:sz w:val="20"/>
          <w:szCs w:val="20"/>
        </w:rPr>
        <w:t xml:space="preserve">You own the commercial relationships for BU Services in Eastern Canada. You are employed and paid by Nucleom Inc. Your territory runs from Ontario east, covering Mining NDT in Ontario and Quebec, the Nuclear/OPG initiative, and Powerline. You also carry the 3X Composite flag wherever you identify findings in the field.</w:t>
      </w:r>
    </w:p>
    <w:p>
      <w:pPr>
        <w:spacing w:after="80"/>
      </w:pPr>
    </w:p>
    <w:p>
      <w:pPr>
        <w:spacing w:after="120"/>
      </w:pPr>
      <w:r>
        <w:rPr>
          <w:rFonts w:ascii="Arial" w:cs="Arial" w:eastAsia="Arial" w:hAnsi="Arial"/>
          <w:sz w:val="20"/>
          <w:szCs w:val="20"/>
        </w:rPr>
        <w:t xml:space="preserve">You sit at the intersection of BU Services' two most complex initiatives — Nuclear/OPG and Mining NDT East. Nuclear is the highest-value initiative in the plan ($47.9M over 5 years), and it has two distinct tracks. Olivier Marcotte owns the Aecon relationship, new build SMR contracts, and refurbishment scopes — that is his lane entirely. You own the MSA and maintenance/inspection growth track with OPG and Bruce Power, supported by Jon’s existing OPG executive relationship. Mining NDT East has a defined target list and clear service applications. You own both tracks within your mandate.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4"/>
              <w:left w:val="single" w:color="B91C1C" w:sz="4"/>
              <w:bottom w:val="single" w:color="B91C1C" w:sz="4"/>
              <w:right w:val="single" w:color="B91C1C" w:sz="4"/>
            </w:tcBorders>
            <w:shd w:fill="FEE2E2" w:val="clear"/>
            <w:tcMar>
              <w:top w:type="dxa" w:w="100"/>
              <w:left w:type="dxa" w:w="220"/>
              <w:bottom w:type="dxa" w:w="60"/>
              <w:right w:type="dxa" w:w="220"/>
            </w:tcMar>
          </w:tcPr>
          <w:p>
            <w:r>
              <w:rPr>
                <w:rFonts w:ascii="Arial" w:cs="Arial" w:eastAsia="Arial" w:hAnsi="Arial"/>
                <w:b/>
                <w:bCs/>
                <w:color w:val="B91C1C"/>
                <w:sz w:val="20"/>
                <w:szCs w:val="20"/>
              </w:rPr>
              <w:t xml:space="preserve">The most important thing to understand about your role</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20"/>
              <w:bottom w:type="dxa" w:w="60"/>
              <w:right w:type="dxa" w:w="220"/>
            </w:tcMar>
          </w:tcPr>
          <w:p>
            <w:pPr>
              <w:spacing w:after="60"/>
            </w:pPr>
            <w:r>
              <w:rPr>
                <w:rFonts w:ascii="Arial" w:cs="Arial" w:eastAsia="Arial" w:hAnsi="Arial"/>
                <w:color w:val="1A2A4A"/>
                <w:sz w:val="19"/>
                <w:szCs w:val="19"/>
              </w:rPr>
              <w:t xml:space="preserve">Revenue that is not in Salesforce does not exist in the commercial system. Jon's weekly KPI email, the Command Centre, the board reporting, and the Eurazeo plan review all read directly from Salesforce via an automated flow that runs every Sunday at 7PM ET.</w:t>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B91C1C" w:sz="4"/>
              <w:left w:val="single" w:color="B91C1C" w:sz="4"/>
              <w:bottom w:val="single" w:color="B91C1C" w:sz="4"/>
              <w:right w:val="single" w:color="B91C1C" w:sz="4"/>
            </w:tcBorders>
            <w:shd w:fill="FEE2E2" w:val="clear"/>
            <w:tcMar>
              <w:top w:type="dxa" w:w="60"/>
              <w:left w:type="dxa" w:w="220"/>
              <w:bottom w:type="dxa" w:w="60"/>
              <w:right w:type="dxa" w:w="220"/>
            </w:tcMar>
          </w:tcPr>
          <w:p>
            <w:pPr>
              <w:spacing w:after="60"/>
            </w:pPr>
            <w:r>
              <w:rPr>
                <w:rFonts w:ascii="Arial" w:cs="Arial" w:eastAsia="Arial" w:hAnsi="Arial"/>
                <w:color w:val="1A2A4A"/>
                <w:sz w:val="19"/>
                <w:szCs w:val="19"/>
              </w:rPr>
              <w:t xml:space="preserve">If you met a client on Thursday and it is not in Salesforce by Friday, it did not happen commercially. Your Salesforce hygiene is the foundation of everything Jon presents to Eurazeo. Keep it current.</w:t>
            </w:r>
          </w:p>
        </w:tc>
      </w:tr>
    </w:tbl>
    <w:p>
      <w:pPr>
        <w:spacing w:after="80"/>
      </w:pPr>
    </w:p>
    <w:p>
      <w:pPr>
        <w:pStyle w:val="Heading1"/>
      </w:pPr>
      <w:r>
        <w:t xml:space="preserve">2.  Territory and Commercial Responsibilities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0D5050" w:sz="4"/>
              <w:left w:val="single" w:color="0D5050" w:sz="4"/>
              <w:bottom w:val="single" w:color="0D5050" w:sz="4"/>
              <w:right w:val="single" w:color="0D5050" w:sz="4"/>
            </w:tcBorders>
            <w:shd w:fill="0D5050" w:val="clear"/>
            <w:tcMar>
              <w:top w:type="dxa" w:w="80"/>
              <w:left w:type="dxa" w:w="160"/>
              <w:bottom w:type="dxa" w:w="80"/>
              <w:right w:type="dxa" w:w="160"/>
            </w:tcMar>
          </w:tcPr>
          <w:p>
            <w:r>
              <w:rPr>
                <w:rFonts w:ascii="Arial" w:cs="Arial" w:eastAsia="Arial" w:hAnsi="Arial"/>
                <w:b/>
                <w:bCs/>
                <w:color w:val="FFFFFF"/>
                <w:sz w:val="18"/>
                <w:szCs w:val="18"/>
              </w:rPr>
              <w:t xml:space="preserve">Responsibility</w:t>
            </w:r>
          </w:p>
        </w:tc>
        <w:tc>
          <w:tcPr>
            <w:tcW w:type="dxa" w:w="3160"/>
            <w:tcBorders>
              <w:top w:val="single" w:color="0D5050" w:sz="4"/>
              <w:left w:val="single" w:color="0D5050" w:sz="4"/>
              <w:bottom w:val="single" w:color="0D5050" w:sz="4"/>
              <w:right w:val="single" w:color="0D5050" w:sz="4"/>
            </w:tcBorders>
            <w:shd w:fill="0D5050" w:val="clear"/>
            <w:tcMar>
              <w:top w:type="dxa" w:w="80"/>
              <w:left w:type="dxa" w:w="160"/>
              <w:bottom w:type="dxa" w:w="80"/>
              <w:right w:type="dxa" w:w="160"/>
            </w:tcMar>
          </w:tcPr>
          <w:p>
            <w:r>
              <w:rPr>
                <w:rFonts w:ascii="Arial" w:cs="Arial" w:eastAsia="Arial" w:hAnsi="Arial"/>
                <w:b/>
                <w:bCs/>
                <w:color w:val="FFFFFF"/>
                <w:sz w:val="18"/>
                <w:szCs w:val="18"/>
              </w:rPr>
              <w:t xml:space="preserve">Scope</w:t>
            </w:r>
          </w:p>
        </w:tc>
        <w:tc>
          <w:tcPr>
            <w:tcW w:type="dxa" w:w="4000"/>
            <w:tcBorders>
              <w:top w:val="single" w:color="0D5050" w:sz="4"/>
              <w:left w:val="single" w:color="0D5050" w:sz="4"/>
              <w:bottom w:val="single" w:color="0D5050" w:sz="4"/>
              <w:right w:val="single" w:color="0D5050" w:sz="4"/>
            </w:tcBorders>
            <w:shd w:fill="0D5050" w:val="clear"/>
            <w:tcMar>
              <w:top w:type="dxa" w:w="80"/>
              <w:left w:type="dxa" w:w="160"/>
              <w:bottom w:type="dxa" w:w="80"/>
              <w:right w:type="dxa" w:w="160"/>
            </w:tcMar>
          </w:tcPr>
          <w:p>
            <w:r>
              <w:rPr>
                <w:rFonts w:ascii="Arial" w:cs="Arial" w:eastAsia="Arial" w:hAnsi="Arial"/>
                <w:b/>
                <w:bCs/>
                <w:color w:val="FFFFFF"/>
                <w:sz w:val="18"/>
                <w:szCs w:val="18"/>
              </w:rPr>
              <w:t xml:space="preserve">Key targets and context</w:t>
            </w:r>
          </w:p>
        </w:tc>
      </w:tr>
      <w:tr>
        <w:tc>
          <w:tcPr>
            <w:tcW w:type="dxa" w:w="2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Mining NDT East (Primary)</w:t>
            </w:r>
          </w:p>
        </w:tc>
        <w:tc>
          <w:tcPr>
            <w:tcW w:type="dxa" w:w="31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Robotic UT, TFM, PCI, TOFD across Ontario and Quebec mining operators. CNA Ottawa and CEN CAN Expo are your key show plays.</w:t>
            </w:r>
          </w:p>
        </w:tc>
        <w:tc>
          <w:tcPr>
            <w:tcW w:type="dxa" w:w="4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7"/>
                <w:szCs w:val="17"/>
              </w:rPr>
              <w:t xml:space="preserve">Vale (Sudbury, Timmins operations), Agnico Eagle (Abitibi-Témiscamingue), Newmont (Porcupine), Glencore (Sudbury). Thunder Bay and Timmins operator clusters.</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Nuclear / OPG (Strategic)</w:t>
            </w:r>
          </w:p>
        </w:tc>
        <w:tc>
          <w:tcPr>
            <w:tcW w:type="dxa" w:w="31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OPG MSA and maintenance/inspection growth. You own this track entirely, supported by Jon’s OPG executive relationship. Olivier Marcotte owns a separate but parallel track: the Aecon relationship, new build SMR, and refurbishment contracts. The two tracks are distinct — do not conflate them in client conversations.</w:t>
            </w:r>
          </w:p>
        </w:tc>
        <w:tc>
          <w:tcPr>
            <w:tcW w:type="dxa" w:w="4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7"/>
                <w:szCs w:val="17"/>
              </w:rPr>
              <w:t xml:space="preserve">OPG Darlington, OPG Pickering (life extension), Bruce Power (vendor approval path). CNA Ottawa conference is the primary annual nuclear commercial event.</w:t>
            </w:r>
          </w:p>
        </w:tc>
      </w:tr>
      <w:tr>
        <w:tc>
          <w:tcPr>
            <w:tcW w:type="dxa" w:w="2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Powerline (Joint with Mathieu Beauchesne)</w:t>
            </w:r>
          </w:p>
        </w:tc>
        <w:tc>
          <w:tcPr>
            <w:tcW w:type="dxa" w:w="31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LineCore, LineOhm, LineRay inspection services for Canadian utilities. Mathieu owns the EVP-level operator relationships. You drive the commercial pipeline below that level.</w:t>
            </w:r>
          </w:p>
        </w:tc>
        <w:tc>
          <w:tcPr>
            <w:tcW w:type="dxa" w:w="40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7"/>
                <w:szCs w:val="17"/>
              </w:rPr>
              <w:t xml:space="preserve">Hydro One, AltaLink (shared with West), Emera, NS Power, NB Power. T&amp;D Conference Chicago is the key annual play. Cigre Paris for international positioning.</w:t>
            </w:r>
          </w:p>
        </w:tc>
      </w:tr>
      <w:tr>
        <w:tc>
          <w:tcPr>
            <w:tcW w:type="dxa" w:w="2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3X Composite Repair</w:t>
            </w:r>
          </w:p>
        </w:tc>
        <w:tc>
          <w:tcPr>
            <w:tcW w:type="dxa" w:w="31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Same inspect-then-fix model as the West. Any AMBER or RED finding in Eastern Canada is a 3X opportunity. You are often the first to identify these.</w:t>
            </w:r>
          </w:p>
        </w:tc>
        <w:tc>
          <w:tcPr>
            <w:tcW w:type="dxa" w:w="40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7"/>
                <w:szCs w:val="17"/>
              </w:rPr>
              <w:t xml:space="preserve">Eastern pipeline operators, OPG pressure boundary assets, mining operators with structural anomalies. Flag immediately — do not wait for the weekly meeting.</w:t>
            </w:r>
          </w:p>
        </w:tc>
      </w:tr>
    </w:tbl>
    <w:p>
      <w:pPr>
        <w:spacing w:after="80"/>
      </w:pPr>
    </w:p>
    <w:p>
      <w:pPr>
        <w:pStyle w:val="Heading1"/>
      </w:pPr>
      <w:r>
        <w:t xml:space="preserve">3.  Your Weekly Rhythm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0D5050" w:sz="4"/>
              <w:left w:val="single" w:color="0D5050" w:sz="4"/>
              <w:bottom w:val="single" w:color="0D5050" w:sz="4"/>
              <w:right w:val="none"/>
            </w:tcBorders>
            <w:shd w:fill="0D5050" w:val="clear"/>
          </w:tcPr>
          <w:p/>
        </w:tc>
        <w:tc>
          <w:tcPr>
            <w:tcW w:type="dxa" w:w="9160"/>
            <w:tcBorders>
              <w:top w:val="single" w:color="0D5050" w:sz="4"/>
              <w:left w:val="none"/>
              <w:bottom w:val="single" w:color="0D5050" w:sz="4"/>
              <w:right w:val="single" w:color="0D5050" w:sz="4"/>
            </w:tcBorders>
            <w:shd w:fill="F4F7FB" w:val="clear"/>
            <w:tcMar>
              <w:top w:type="dxa" w:w="120"/>
              <w:left w:type="dxa" w:w="200"/>
              <w:bottom w:type="dxa" w:w="120"/>
              <w:right w:type="dxa" w:w="200"/>
            </w:tcMar>
          </w:tcPr>
          <w:p>
            <w:pPr>
              <w:spacing w:after="80"/>
            </w:pPr>
            <w:r>
              <w:rPr>
                <w:rFonts w:ascii="Arial" w:cs="Arial" w:eastAsia="Arial" w:hAnsi="Arial"/>
                <w:b/>
                <w:bCs/>
                <w:color w:val="0D5050"/>
                <w:sz w:val="21"/>
                <w:szCs w:val="21"/>
              </w:rPr>
              <w:t xml:space="preserve">Every Friday by 4PM ET — Salesforce update (non-negotiable)</w:t>
            </w:r>
          </w:p>
          <w:p>
            <w:pPr>
              <w:spacing w:after="70"/>
            </w:pPr>
            <w:r>
              <w:rPr>
                <w:rFonts w:ascii="Arial" w:cs="Arial" w:eastAsia="Arial" w:hAnsi="Arial"/>
                <w:color w:val="1A2A4A"/>
                <w:sz w:val="19"/>
                <w:szCs w:val="19"/>
              </w:rPr>
              <w:t xml:space="preserve">The Sunday PA flow runs at 7PM ET. Everything entered by Friday is in Jon's Monday morning email.</w:t>
            </w:r>
          </w:p>
          <w:p>
            <w:pPr>
              <w:spacing w:after="70"/>
            </w:pPr>
            <w:r>
              <w:rPr>
                <w:rFonts w:ascii="Arial" w:cs="Arial" w:eastAsia="Arial" w:hAnsi="Arial"/>
                <w:color w:val="1A2A4A"/>
                <w:sz w:val="19"/>
                <w:szCs w:val="19"/>
              </w:rPr>
              <w:t xml:space="preserve">Update every active opportunity: stage, probability, amount estimate, close date, next action.</w:t>
            </w:r>
          </w:p>
          <w:p>
            <w:pPr>
              <w:spacing w:after="70"/>
            </w:pPr>
            <w:r>
              <w:rPr>
                <w:rFonts w:ascii="Arial" w:cs="Arial" w:eastAsia="Arial" w:hAnsi="Arial"/>
                <w:color w:val="1A2A4A"/>
                <w:sz w:val="19"/>
                <w:szCs w:val="19"/>
              </w:rPr>
              <w:t xml:space="preserve">Log every client interaction from the week as a Salesforce Activity.</w:t>
            </w:r>
          </w:p>
          <w:p>
            <w:pPr>
              <w:spacing w:after="70"/>
            </w:pPr>
            <w:r>
              <w:rPr>
                <w:rFonts w:ascii="Arial" w:cs="Arial" w:eastAsia="Arial" w:hAnsi="Arial"/>
                <w:color w:val="1A2A4A"/>
                <w:sz w:val="19"/>
                <w:szCs w:val="19"/>
              </w:rPr>
              <w:t xml:space="preserve">Create a Lead for every new contact met at a site visit, conference, or call.</w:t>
            </w:r>
          </w:p>
          <w:p>
            <w:pPr>
              <w:spacing w:after="70"/>
            </w:pPr>
            <w:r>
              <w:rPr>
                <w:rFonts w:ascii="Arial" w:cs="Arial" w:eastAsia="Arial" w:hAnsi="Arial"/>
                <w:color w:val="1A2A4A"/>
                <w:sz w:val="19"/>
                <w:szCs w:val="19"/>
              </w:rPr>
              <w:t xml:space="preserve">Flag any AMBER/RED finding from a site visit as a 3X Composite opportunity.</w:t>
            </w:r>
          </w:p>
          <w:p>
            <w:pPr>
              <w:spacing w:after="70"/>
            </w:pPr>
            <w:r>
              <w:rPr>
                <w:rFonts w:ascii="Arial" w:cs="Arial" w:eastAsia="Arial" w:hAnsi="Arial"/>
                <w:color w:val="1A2A4A"/>
                <w:sz w:val="19"/>
                <w:szCs w:val="19"/>
              </w:rPr>
              <w:t xml:space="preserve">Nuclear updates: even if nothing moved, log a note on the OPG/Bruce Power opportunity records so Jon can see the relationship is being maintained.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9860A" w:sz="4"/>
              <w:left w:val="single" w:color="C9860A" w:sz="4"/>
              <w:bottom w:val="single" w:color="C9860A" w:sz="4"/>
              <w:right w:val="none"/>
            </w:tcBorders>
            <w:shd w:fill="C9860A" w:val="clear"/>
          </w:tcPr>
          <w:p/>
        </w:tc>
        <w:tc>
          <w:tcPr>
            <w:tcW w:type="dxa" w:w="9160"/>
            <w:tcBorders>
              <w:top w:val="single" w:color="C9860A" w:sz="4"/>
              <w:left w:val="none"/>
              <w:bottom w:val="single" w:color="C9860A" w:sz="4"/>
              <w:right w:val="single" w:color="C9860A" w:sz="4"/>
            </w:tcBorders>
            <w:shd w:fill="F4F7FB" w:val="clear"/>
            <w:tcMar>
              <w:top w:type="dxa" w:w="120"/>
              <w:left w:type="dxa" w:w="200"/>
              <w:bottom w:type="dxa" w:w="120"/>
              <w:right w:type="dxa" w:w="200"/>
            </w:tcMar>
          </w:tcPr>
          <w:p>
            <w:pPr>
              <w:spacing w:after="80"/>
            </w:pPr>
            <w:r>
              <w:rPr>
                <w:rFonts w:ascii="Arial" w:cs="Arial" w:eastAsia="Arial" w:hAnsi="Arial"/>
                <w:b/>
                <w:bCs/>
                <w:color w:val="C9860A"/>
                <w:sz w:val="21"/>
                <w:szCs w:val="21"/>
              </w:rPr>
              <w:t xml:space="preserve">Monday Commercial Meeting — your pipeline is the agenda</w:t>
            </w:r>
          </w:p>
          <w:p>
            <w:pPr>
              <w:spacing w:after="70"/>
            </w:pPr>
            <w:r>
              <w:rPr>
                <w:rFonts w:ascii="Arial" w:cs="Arial" w:eastAsia="Arial" w:hAnsi="Arial"/>
                <w:color w:val="1A2A4A"/>
                <w:sz w:val="19"/>
                <w:szCs w:val="19"/>
              </w:rPr>
              <w:t xml:space="preserve">Come with: one win or near-win to report, one stalled deal you want support on, and a one-line Nuclear/OPG status update.</w:t>
            </w:r>
          </w:p>
          <w:p>
            <w:pPr>
              <w:spacing w:after="70"/>
            </w:pPr>
            <w:r>
              <w:rPr>
                <w:rFonts w:ascii="Arial" w:cs="Arial" w:eastAsia="Arial" w:hAnsi="Arial"/>
                <w:color w:val="1A2A4A"/>
                <w:sz w:val="19"/>
                <w:szCs w:val="19"/>
              </w:rPr>
              <w:t xml:space="preserve">Nuclear deals move slowly by nature — Jon knows this. But he needs to see that the relationship is active. A logged Salesforce Activity showing a call with OPG this week is worth more than a verbal update.</w:t>
            </w:r>
          </w:p>
          <w:p>
            <w:pPr>
              <w:spacing w:after="70"/>
            </w:pPr>
            <w:r>
              <w:rPr>
                <w:rFonts w:ascii="Arial" w:cs="Arial" w:eastAsia="Arial" w:hAnsi="Arial"/>
                <w:color w:val="1A2A4A"/>
                <w:sz w:val="19"/>
                <w:szCs w:val="19"/>
              </w:rPr>
              <w:t xml:space="preserve">If your numbers look wrong in Monday's email: the fix is Salesforce, not the meeting.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16A34A" w:sz="4"/>
              <w:left w:val="single" w:color="16A34A" w:sz="4"/>
              <w:bottom w:val="single" w:color="16A34A" w:sz="4"/>
              <w:right w:val="none"/>
            </w:tcBorders>
            <w:shd w:fill="16A34A" w:val="clear"/>
          </w:tcPr>
          <w:p/>
        </w:tc>
        <w:tc>
          <w:tcPr>
            <w:tcW w:type="dxa" w:w="9160"/>
            <w:tcBorders>
              <w:top w:val="single" w:color="16A34A" w:sz="4"/>
              <w:left w:val="none"/>
              <w:bottom w:val="single" w:color="16A34A" w:sz="4"/>
              <w:right w:val="single" w:color="16A34A" w:sz="4"/>
            </w:tcBorders>
            <w:shd w:fill="F4F7FB" w:val="clear"/>
            <w:tcMar>
              <w:top w:type="dxa" w:w="120"/>
              <w:left w:type="dxa" w:w="200"/>
              <w:bottom w:type="dxa" w:w="120"/>
              <w:right w:type="dxa" w:w="200"/>
            </w:tcMar>
          </w:tcPr>
          <w:p>
            <w:pPr>
              <w:spacing w:after="80"/>
            </w:pPr>
            <w:r>
              <w:rPr>
                <w:rFonts w:ascii="Arial" w:cs="Arial" w:eastAsia="Arial" w:hAnsi="Arial"/>
                <w:b/>
                <w:bCs/>
                <w:color w:val="16A34A"/>
                <w:sz w:val="21"/>
                <w:szCs w:val="21"/>
              </w:rPr>
              <w:t xml:space="preserve">After every client meeting, site visit, or conference</w:t>
            </w:r>
          </w:p>
          <w:p>
            <w:pPr>
              <w:spacing w:after="70"/>
            </w:pPr>
            <w:r>
              <w:rPr>
                <w:rFonts w:ascii="Arial" w:cs="Arial" w:eastAsia="Arial" w:hAnsi="Arial"/>
                <w:color w:val="1A2A4A"/>
                <w:sz w:val="19"/>
                <w:szCs w:val="19"/>
              </w:rPr>
              <w:t xml:space="preserve">Log a Salesforce Activity within 24 hours: type, date, contact name, what was discussed, what was agreed.</w:t>
            </w:r>
          </w:p>
          <w:p>
            <w:pPr>
              <w:spacing w:after="70"/>
            </w:pPr>
            <w:r>
              <w:rPr>
                <w:rFonts w:ascii="Arial" w:cs="Arial" w:eastAsia="Arial" w:hAnsi="Arial"/>
                <w:color w:val="1A2A4A"/>
                <w:sz w:val="19"/>
                <w:szCs w:val="19"/>
              </w:rPr>
              <w:t xml:space="preserve">If a proposal was discussed or requested: create or update the Opportunity record immediately.</w:t>
            </w:r>
          </w:p>
          <w:p>
            <w:pPr>
              <w:spacing w:after="70"/>
            </w:pPr>
            <w:r>
              <w:rPr>
                <w:rFonts w:ascii="Arial" w:cs="Arial" w:eastAsia="Arial" w:hAnsi="Arial"/>
                <w:color w:val="1A2A4A"/>
                <w:sz w:val="19"/>
                <w:szCs w:val="19"/>
              </w:rPr>
              <w:t xml:space="preserve">Nuclear/OPG meetings especially: log these the same day. These are the highest-value relationships in the business and Jon needs visibility on every touchpoint.</w:t>
            </w:r>
          </w:p>
          <w:p>
            <w:pPr>
              <w:spacing w:after="70"/>
            </w:pPr>
            <w:r>
              <w:rPr>
                <w:rFonts w:ascii="Arial" w:cs="Arial" w:eastAsia="Arial" w:hAnsi="Arial"/>
                <w:color w:val="1A2A4A"/>
                <w:sz w:val="19"/>
                <w:szCs w:val="19"/>
              </w:rPr>
              <w:t xml:space="preserve">Create a Lead the same day for every new contact — do not wait.</w:t>
            </w:r>
          </w:p>
        </w:tc>
      </w:tr>
    </w:tbl>
    <w:p>
      <w:pPr>
        <w:spacing w:after="80"/>
      </w:pPr>
    </w:p>
    <w:p>
      <w:r>
        <w:br w:type="page"/>
      </w:r>
    </w:p>
    <w:p>
      <w:pPr>
        <w:pStyle w:val="Heading1"/>
      </w:pPr>
      <w:r>
        <w:t xml:space="preserve">4.  Salesforce — What You Own and How to Use It</w:t>
      </w:r>
    </w:p>
    <w:p>
      <w:pPr>
        <w:spacing w:after="120"/>
      </w:pPr>
      <w:r>
        <w:rPr>
          <w:rFonts w:ascii="Arial" w:cs="Arial" w:eastAsia="Arial" w:hAnsi="Arial"/>
          <w:sz w:val="20"/>
          <w:szCs w:val="20"/>
        </w:rPr>
        <w:t xml:space="preserve">Salesforce is your commercial operating system. Every interaction, every proposal, and every deal lives here. Here is the exact field-level guide for what to enter and when.</w:t>
      </w:r>
    </w:p>
    <w:p>
      <w:pPr>
        <w:spacing w:after="80"/>
      </w:pPr>
    </w:p>
    <w:p>
      <w:pPr>
        <w:pStyle w:val="Heading2"/>
      </w:pPr>
      <w:r>
        <w:t xml:space="preserve">4.1  Creating a Lead — for every new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Field</w:t>
            </w:r>
          </w:p>
        </w:tc>
        <w:tc>
          <w:tcPr>
            <w:tcW w:type="dxa" w:w="12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Required?</w:t>
            </w:r>
          </w:p>
        </w:tc>
        <w:tc>
          <w:tcPr>
            <w:tcW w:type="dxa" w:w="57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to enter</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First / Last Name</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Their name. Verify from business card or LinkedIn.</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Company</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Be specific. 'Vale Sudbury Operations', not just 'Vale'. 'OPG Darlington Nuclear' not just 'OPG'.</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Title</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'Integrity Engineer', 'NDT Coordinator', 'Director of Maintenance', 'Nuclear Procurement Manager'.</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Email / Phone</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Enter what you have. Note 'verify' if unsure. A partial record is better than no record.</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Lead Source</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For conferences use the exact conference name (e.g. 'CNA 2026'). For direct outreach: 'Direct Outreach'. For referrals: 'Referral — [who referred them]'.</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BU_Initiative__c</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B91C1C"/>
                <w:sz w:val="17"/>
                <w:szCs w:val="17"/>
              </w:rPr>
              <w:t xml:space="preserve">Critical</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Mining NDT / Nuclear-OPG / Powerline / 3X Composite / Base Business. NEVER leave blank. This drives all initiative reporting and Eurazeo numbers.</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Description</w:t>
            </w:r>
          </w:p>
        </w:tc>
        <w:tc>
          <w:tcPr>
            <w:tcW w:type="dxa" w:w="12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What did you discuss? What do they need? What did you commit to? When is the follow-up? Be specific — this is your memory of the conversation.</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Rating</w:t>
            </w:r>
          </w:p>
        </w:tc>
        <w:tc>
          <w:tcPr>
            <w:tcW w:type="dxa" w:w="12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16A34A"/>
                <w:sz w:val="17"/>
                <w:szCs w:val="17"/>
              </w:rPr>
              <w:t xml:space="preserve">Yes</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HOT = they asked for a quote or next meeting. WARM = interested, building the relationship. COLD = early stage.</w:t>
            </w:r>
          </w:p>
        </w:tc>
      </w:tr>
    </w:tbl>
    <w:p>
      <w:pPr>
        <w:spacing w:after="80"/>
      </w:pPr>
    </w:p>
    <w:p>
      <w:pPr>
        <w:pStyle w:val="Heading2"/>
      </w:pPr>
      <w:r>
        <w:t xml:space="preserve">4.2  Nuclear / OPG — Special Salesforce Handling</w:t>
      </w:r>
    </w:p>
    <w:p>
      <w:pPr>
        <w:spacing w:after="120"/>
      </w:pPr>
      <w:r>
        <w:rPr>
          <w:rFonts w:ascii="Arial" w:cs="Arial" w:eastAsia="Arial" w:hAnsi="Arial"/>
          <w:sz w:val="20"/>
          <w:szCs w:val="20"/>
        </w:rPr>
        <w:t xml:space="preserve">Nuclear deals are different from Mining or Powerline deals. They move over months and years, not weeks. The Salesforce record for a Nuclear opportunity needs to reflect that pacing. Here is how to handle Nuclear accounts specifically:</w:t>
      </w:r>
    </w:p>
    <w:p>
      <w:pPr>
        <w:spacing w:after="80"/>
      </w:pPr>
    </w:p>
    <w:p>
      <w:pPr>
        <w:pStyle w:val="ListParagraph"/>
        <w:numPr>
          <w:ilvl w:val="0"/>
          <w:numId w:val="2"/>
        </w:numPr>
        <w:spacing w:after="90"/>
      </w:pPr>
      <w:r>
        <w:rPr>
          <w:rFonts w:ascii="Arial" w:cs="Arial" w:eastAsia="Arial" w:hAnsi="Arial"/>
          <w:color w:val="1A2A4A"/>
          <w:sz w:val="20"/>
          <w:szCs w:val="20"/>
        </w:rPr>
        <w:t xml:space="preserve">Create an Opportunity at the Qualifying stage as soon as OPG or Bruce Power has acknowledged Nucleom as a potential vendor — even if no formal RFQ has been issued.</w:t>
      </w:r>
    </w:p>
    <w:p>
      <w:pPr>
        <w:pStyle w:val="ListParagraph"/>
        <w:numPr>
          <w:ilvl w:val="0"/>
          <w:numId w:val="2"/>
        </w:numPr>
        <w:spacing w:after="90"/>
      </w:pPr>
      <w:r>
        <w:rPr>
          <w:rFonts w:ascii="Arial" w:cs="Arial" w:eastAsia="Arial" w:hAnsi="Arial"/>
          <w:color w:val="1A2A4A"/>
          <w:sz w:val="20"/>
          <w:szCs w:val="20"/>
        </w:rPr>
        <w:t xml:space="preserve">Update the Stage as the MSA progresses: Qualifying (vendor acknowledgement) → Proposing (outage scope being discussed) → Negotiating (commercial terms in play) → Closed Won (awarded).</w:t>
      </w:r>
    </w:p>
    <w:p>
      <w:pPr>
        <w:pStyle w:val="ListParagraph"/>
        <w:numPr>
          <w:ilvl w:val="0"/>
          <w:numId w:val="2"/>
        </w:numPr>
        <w:spacing w:after="90"/>
      </w:pPr>
      <w:r>
        <w:rPr>
          <w:rFonts w:ascii="Arial" w:cs="Arial" w:eastAsia="Arial" w:hAnsi="Arial"/>
          <w:color w:val="1A2A4A"/>
          <w:sz w:val="20"/>
          <w:szCs w:val="20"/>
        </w:rPr>
        <w:t xml:space="preserve">Set the Close Date to the expected outage window start date — this is the commercial event that drives the revenue.</w:t>
      </w:r>
    </w:p>
    <w:p>
      <w:pPr>
        <w:pStyle w:val="ListParagraph"/>
        <w:numPr>
          <w:ilvl w:val="0"/>
          <w:numId w:val="2"/>
        </w:numPr>
        <w:spacing w:after="90"/>
      </w:pPr>
      <w:r>
        <w:rPr>
          <w:rFonts w:ascii="Arial" w:cs="Arial" w:eastAsia="Arial" w:hAnsi="Arial"/>
          <w:color w:val="1A2A4A"/>
          <w:sz w:val="20"/>
          <w:szCs w:val="20"/>
        </w:rPr>
        <w:t xml:space="preserve">Log an Activity every time you have any contact with OPG or Bruce Power — email, call, site meeting, or conference conversation. These are the most important Activity logs in the system.</w:t>
      </w:r>
    </w:p>
    <w:p>
      <w:pPr>
        <w:pStyle w:val="ListParagraph"/>
        <w:numPr>
          <w:ilvl w:val="0"/>
          <w:numId w:val="2"/>
        </w:numPr>
        <w:spacing w:after="90"/>
      </w:pPr>
      <w:r>
        <w:rPr>
          <w:rFonts w:ascii="Arial" w:cs="Arial" w:eastAsia="Arial" w:hAnsi="Arial"/>
          <w:color w:val="1A2A4A"/>
          <w:sz w:val="20"/>
          <w:szCs w:val="20"/>
        </w:rPr>
        <w:t xml:space="preserve">Amount: use your best estimate of the outage contract value. For MSA work, use the annual run-rate estimate. Jon will review with you — a number is always better than zero.</w:t>
      </w:r>
    </w:p>
    <w:p>
      <w:pPr>
        <w:pStyle w:val="ListParagraph"/>
        <w:numPr>
          <w:ilvl w:val="0"/>
          <w:numId w:val="2"/>
        </w:numPr>
        <w:spacing w:after="90"/>
      </w:pPr>
      <w:r>
        <w:rPr>
          <w:rFonts w:ascii="Arial" w:cs="Arial" w:eastAsia="Arial" w:hAnsi="Arial"/>
          <w:color w:val="1A2A4A"/>
          <w:sz w:val="20"/>
          <w:szCs w:val="20"/>
        </w:rPr>
        <w:t xml:space="preserve">Tag BU_Initiative__c = 'Nuclear-OPG' on both the Lead and the Opportunity without exception.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4"/>
              <w:bottom w:val="single" w:color="6D28D9" w:sz="4"/>
              <w:right w:val="single" w:color="6D28D9" w:sz="4"/>
            </w:tcBorders>
            <w:shd w:fill="EDE9FE" w:val="clear"/>
            <w:tcMar>
              <w:top w:type="dxa" w:w="100"/>
              <w:left w:type="dxa" w:w="220"/>
              <w:bottom w:type="dxa" w:w="60"/>
              <w:right w:type="dxa" w:w="220"/>
            </w:tcMar>
          </w:tcPr>
          <w:p>
            <w:r>
              <w:rPr>
                <w:rFonts w:ascii="Arial" w:cs="Arial" w:eastAsia="Arial" w:hAnsi="Arial"/>
                <w:b/>
                <w:bCs/>
                <w:color w:val="6D28D9"/>
                <w:sz w:val="20"/>
                <w:szCs w:val="20"/>
              </w:rPr>
              <w:t xml:space="preserve">Understanding the two Nuclear tracks — your lane vs Olivier’s lane</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There are two distinct commercial tracks within the Nuclear/OPG initiative and they must not be confused.
Your track — MSA and maintenance/inspection growth: You own the commercial pipeline for OPG maintenance contracts, inspection MSAs, and ongoing outage inspection work. Jon Eustace supports you with his existing OPG executive relationship. These deals move through Salesforce as Opportunities tagged Nuclear-OPG.
Olivier’s track — Aecon, new build SMR, and refurbishment: Olivier Marcotte owns the relationship with Aecon and any commercial activity related to new build SMR projects or major refurbishment contracts. This is a completely separate commercial track. Do not represent Nucleom in Aecon or SMR conversations without Olivier.</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Rule: any conversation that touches Aecon, new build SMR, or refurbishment contracts must be escalated to Olivier immediately — that is his commercial territory.</w:t>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6D28D9" w:sz="4"/>
              <w:left w:val="single" w:color="6D28D9" w:sz="4"/>
              <w:bottom w:val="single" w:color="6D28D9" w:sz="4"/>
              <w:right w:val="single" w:color="6D28D9" w:sz="4"/>
            </w:tcBorders>
            <w:shd w:fill="EDE9FE"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bl>
    <w:p>
      <w:pPr>
        <w:spacing w:after="80"/>
      </w:pPr>
    </w:p>
    <w:p>
      <w:pPr>
        <w:pStyle w:val="Heading2"/>
      </w:pPr>
      <w:r>
        <w:t xml:space="preserve">4.3  Logging Activities — after every interaction</w:t>
      </w:r>
    </w:p>
    <w:p>
      <w:pPr>
        <w:spacing w:after="120"/>
      </w:pPr>
      <w:r>
        <w:rPr>
          <w:rFonts w:ascii="Arial" w:cs="Arial" w:eastAsia="Arial" w:hAnsi="Arial"/>
          <w:sz w:val="20"/>
          <w:szCs w:val="20"/>
        </w:rPr>
        <w:t xml:space="preserve">Every client touchpoint needs a Salesforce Activity. Open the Contact or Opportunity → New Activity → Log a Call. Fill in date (actual date, not today), subject, and a 2–4 sentence description of what happened and what is next.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60A" w:sz="4"/>
              <w:left w:val="single" w:color="C9860A" w:sz="4"/>
              <w:bottom w:val="single" w:color="C9860A" w:sz="4"/>
              <w:right w:val="single" w:color="C9860A" w:sz="4"/>
            </w:tcBorders>
            <w:shd w:fill="FEF3C7" w:val="clear"/>
            <w:tcMar>
              <w:top w:type="dxa" w:w="100"/>
              <w:left w:type="dxa" w:w="220"/>
              <w:bottom w:type="dxa" w:w="60"/>
              <w:right w:type="dxa" w:w="220"/>
            </w:tcMar>
          </w:tcPr>
          <w:p>
            <w:r>
              <w:rPr>
                <w:rFonts w:ascii="Arial" w:cs="Arial" w:eastAsia="Arial" w:hAnsi="Arial"/>
                <w:b/>
                <w:bCs/>
                <w:color w:val="C9860A"/>
                <w:sz w:val="20"/>
                <w:szCs w:val="20"/>
              </w:rPr>
              <w:t xml:space="preserve">The 30-day stalled deal alert</w:t>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20"/>
              <w:bottom w:type="dxa" w:w="60"/>
              <w:right w:type="dxa" w:w="220"/>
            </w:tcMar>
          </w:tcPr>
          <w:p>
            <w:pPr>
              <w:spacing w:after="60"/>
            </w:pPr>
            <w:r>
              <w:rPr>
                <w:rFonts w:ascii="Arial" w:cs="Arial" w:eastAsia="Arial" w:hAnsi="Arial"/>
                <w:color w:val="1A2A4A"/>
                <w:sz w:val="19"/>
                <w:szCs w:val="19"/>
              </w:rPr>
              <w:t xml:space="preserve">The commercial system flags any open opportunity with no logged Activity in 30 days. This will appear in the Monday morning email as a stalled deal alert, visible to Jon.</w:t>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20"/>
              <w:bottom w:type="dxa" w:w="60"/>
              <w:right w:type="dxa" w:w="220"/>
            </w:tcMar>
          </w:tcPr>
          <w:p>
            <w:pPr>
              <w:spacing w:after="60"/>
            </w:pPr>
            <w:r>
              <w:rPr>
                <w:rFonts w:ascii="Arial" w:cs="Arial" w:eastAsia="Arial" w:hAnsi="Arial"/>
                <w:color w:val="1A2A4A"/>
                <w:sz w:val="19"/>
                <w:szCs w:val="19"/>
              </w:rPr>
              <w:t xml:space="preserve"/>
            </w:r>
          </w:p>
        </w:tc>
      </w:tr>
      <w:tr>
        <w:tc>
          <w:tcPr>
            <w:tcW w:type="dxa" w:w="9360"/>
            <w:tcBorders>
              <w:top w:val="single" w:color="C9860A" w:sz="4"/>
              <w:left w:val="single" w:color="C9860A" w:sz="4"/>
              <w:bottom w:val="single" w:color="C9860A" w:sz="4"/>
              <w:right w:val="single" w:color="C9860A" w:sz="4"/>
            </w:tcBorders>
            <w:shd w:fill="FEF3C7" w:val="clear"/>
            <w:tcMar>
              <w:top w:type="dxa" w:w="60"/>
              <w:left w:type="dxa" w:w="220"/>
              <w:bottom w:type="dxa" w:w="60"/>
              <w:right w:type="dxa" w:w="220"/>
            </w:tcMar>
          </w:tcPr>
          <w:p>
            <w:pPr>
              <w:spacing w:after="60"/>
            </w:pPr>
            <w:r>
              <w:rPr>
                <w:rFonts w:ascii="Arial" w:cs="Arial" w:eastAsia="Arial" w:hAnsi="Arial"/>
                <w:color w:val="1A2A4A"/>
                <w:sz w:val="19"/>
                <w:szCs w:val="19"/>
              </w:rPr>
              <w:t xml:space="preserve">For Nuclear deals specifically: even if nothing happened this week, log a brief note ('OPG MSA maintenance track — no update this week, follow-up call with OPG procurement scheduled for [date]'). This shows the relationship is being actively managed, not forgotten.</w:t>
            </w:r>
          </w:p>
        </w:tc>
      </w:tr>
    </w:tbl>
    <w:p>
      <w:pPr>
        <w:spacing w:after="80"/>
      </w:pPr>
    </w:p>
    <w:p>
      <w:r>
        <w:br w:type="page"/>
      </w:r>
    </w:p>
    <w:p>
      <w:pPr>
        <w:pStyle w:val="Heading1"/>
      </w:pPr>
      <w:r>
        <w:t xml:space="preserve">5.  Your Key Conferences</w:t>
      </w:r>
    </w:p>
    <w:p>
      <w:pPr>
        <w:spacing w:after="120"/>
      </w:pPr>
      <w:r>
        <w:rPr>
          <w:rFonts w:ascii="Arial" w:cs="Arial" w:eastAsia="Arial" w:hAnsi="Arial"/>
          <w:sz w:val="20"/>
          <w:szCs w:val="20"/>
        </w:rPr>
        <w:t xml:space="preserve">Conferences are commercial deployments. Every conversation at a conference should result in a Salesforce Lead entry within 48 hours of returning. This is the standing rule for the whole commercial team — no exceptions.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Conference</w:t>
            </w:r>
          </w:p>
        </w:tc>
        <w:tc>
          <w:tcPr>
            <w:tcW w:type="dxa" w:w="18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When</w:t>
            </w:r>
          </w:p>
        </w:tc>
        <w:tc>
          <w:tcPr>
            <w:tcW w:type="dxa" w:w="16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Initiative</w:t>
            </w:r>
          </w:p>
        </w:tc>
        <w:tc>
          <w:tcPr>
            <w:tcW w:type="dxa" w:w="35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Your objective</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IPEIA 2026</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6"/>
                <w:szCs w:val="16"/>
              </w:rPr>
              <w:t xml:space="preserve">Mar 10-12, Calgary</w:t>
            </w:r>
          </w:p>
        </w:tc>
        <w:tc>
          <w:tcPr>
            <w:tcW w:type="dxa" w:w="1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All initiatives</w:t>
            </w:r>
          </w:p>
        </w:tc>
        <w:tc>
          <w:tcPr>
            <w:tcW w:type="dxa" w:w="3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Broadest reach. Qualify Mining East, Nuclear, Powerline leads. Every conversation = a Lead in SF within 48 hours.</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CNA 2026</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6"/>
                <w:szCs w:val="16"/>
              </w:rPr>
              <w:t xml:space="preserve">Apr 28-30, Ottawa</w:t>
            </w:r>
          </w:p>
        </w:tc>
        <w:tc>
          <w:tcPr>
            <w:tcW w:type="dxa" w:w="1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Nuclear/OPG</w:t>
            </w:r>
          </w:p>
        </w:tc>
        <w:tc>
          <w:tcPr>
            <w:tcW w:type="dxa" w:w="3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Jon Eustace will attend CNA 2026 (Apr 28–30, Ottawa) this year to advance the OPG executive relationship. You will begin attending from 2027 onwards. For 2026: debrief with Jon after the conference and ensure any new OPG contacts he makes are introduced to you for follow-up.</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T&amp;D Conference</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6"/>
                <w:szCs w:val="16"/>
              </w:rPr>
              <w:t xml:space="preserve">May 4-7, Chicago</w:t>
            </w:r>
          </w:p>
        </w:tc>
        <w:tc>
          <w:tcPr>
            <w:tcW w:type="dxa" w:w="1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Powerline</w:t>
            </w:r>
          </w:p>
        </w:tc>
        <w:tc>
          <w:tcPr>
            <w:tcW w:type="dxa" w:w="3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Joint play with Mathieu. Utility transmission and distribution professionals. LineCore, LineOhm, LineRay pitch. Your target: Hydro One, Emera, NS Power.</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CEN CAN Expo</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6"/>
                <w:szCs w:val="16"/>
              </w:rPr>
              <w:t xml:space="preserve">Sep 9-10, Thunder Bay</w:t>
            </w:r>
          </w:p>
        </w:tc>
        <w:tc>
          <w:tcPr>
            <w:tcW w:type="dxa" w:w="1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Mining NDT</w:t>
            </w:r>
          </w:p>
        </w:tc>
        <w:tc>
          <w:tcPr>
            <w:tcW w:type="dxa" w:w="3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Northern Ontario mining operators. Vale, Agnico, Newmont — your primary Mining NDT Eastern targets. This is your most targeted Eastern mining show.</w:t>
            </w:r>
          </w:p>
        </w:tc>
      </w:tr>
      <w:tr>
        <w:tc>
          <w:tcPr>
            <w:tcW w:type="dxa" w:w="24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ASNT 2026</w:t>
            </w:r>
          </w:p>
        </w:tc>
        <w:tc>
          <w:tcPr>
            <w:tcW w:type="dxa" w:w="18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6678A0"/>
                <w:sz w:val="16"/>
                <w:szCs w:val="16"/>
              </w:rPr>
              <w:t xml:space="preserve">Oct 12-15, Columbus</w:t>
            </w:r>
          </w:p>
        </w:tc>
        <w:tc>
          <w:tcPr>
            <w:tcW w:type="dxa" w:w="1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Mining NDT</w:t>
            </w:r>
          </w:p>
        </w:tc>
        <w:tc>
          <w:tcPr>
            <w:tcW w:type="dxa" w:w="35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7"/>
                <w:szCs w:val="17"/>
              </w:rPr>
              <w:t xml:space="preserve">Joint EIG show. Broader NDT industry. Mining NDT and Powerline leads. Coordinate with Ekoscan team on messaging.</w:t>
            </w:r>
          </w:p>
        </w:tc>
      </w:tr>
      <w:tr>
        <w:tc>
          <w:tcPr>
            <w:tcW w:type="dxa" w:w="24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ECNDT Verona</w:t>
            </w:r>
          </w:p>
        </w:tc>
        <w:tc>
          <w:tcPr>
            <w:tcW w:type="dxa" w:w="18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6678A0"/>
                <w:sz w:val="16"/>
                <w:szCs w:val="16"/>
              </w:rPr>
              <w:t xml:space="preserve">Jun 15-19, Italy</w:t>
            </w:r>
          </w:p>
        </w:tc>
        <w:tc>
          <w:tcPr>
            <w:tcW w:type="dxa" w:w="1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All initiatives</w:t>
            </w:r>
          </w:p>
        </w:tc>
        <w:tc>
          <w:tcPr>
            <w:tcW w:type="dxa" w:w="35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7"/>
                <w:szCs w:val="17"/>
              </w:rPr>
              <w:t xml:space="preserve">Joint EIG international show. Nuclear positioning for European context, Mining NDT credibility. Coordinate with Ekoscan team on presentation of EIG capabilities.</w:t>
            </w:r>
          </w:p>
        </w:tc>
      </w:tr>
    </w:tbl>
    <w:p>
      <w:pPr>
        <w:spacing w:after="80"/>
      </w:pPr>
    </w:p>
    <w:p>
      <w:pPr>
        <w:pStyle w:val="Heading1"/>
      </w:pPr>
      <w:r>
        <w:t xml:space="preserve">6.  What Jon Needs from You — Week to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Expectation</w:t>
            </w:r>
          </w:p>
        </w:tc>
        <w:tc>
          <w:tcPr>
            <w:tcW w:type="dxa" w:w="5760"/>
            <w:tcBorders>
              <w:top w:val="single" w:color="0A1F5C" w:sz="4"/>
              <w:left w:val="single" w:color="0A1F5C" w:sz="4"/>
              <w:bottom w:val="single" w:color="0A1F5C" w:sz="4"/>
              <w:right w:val="single" w:color="0A1F5C" w:sz="4"/>
            </w:tcBorders>
            <w:shd w:fill="0A1F5C" w:val="clear"/>
            <w:tcMar>
              <w:top w:type="dxa" w:w="80"/>
              <w:left w:type="dxa" w:w="160"/>
              <w:bottom w:type="dxa" w:w="80"/>
              <w:right w:type="dxa" w:w="160"/>
            </w:tcMar>
          </w:tcPr>
          <w:p>
            <w:r>
              <w:rPr>
                <w:rFonts w:ascii="Arial" w:cs="Arial" w:eastAsia="Arial" w:hAnsi="Arial"/>
                <w:b/>
                <w:bCs/>
                <w:color w:val="FFFFFF"/>
                <w:sz w:val="18"/>
                <w:szCs w:val="18"/>
              </w:rPr>
              <w:t xml:space="preserve">What good looks like</w:t>
            </w:r>
          </w:p>
        </w:tc>
      </w:tr>
      <w:tr>
        <w:tc>
          <w:tcPr>
            <w:tcW w:type="dxa" w:w="3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Salesforce updated by Friday 4PM ET</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Every open opportunity has a current stage, amount, close date, and a logged Activity from this week. New contacts are entered as Leads.</w:t>
            </w:r>
          </w:p>
        </w:tc>
      </w:tr>
      <w:tr>
        <w:tc>
          <w:tcPr>
            <w:tcW w:type="dxa" w:w="3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BU_Initiative__c on every record</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Every Lead and Opportunity is tagged. Nuclear-OPG in particular must never be left untagged — this is the highest-value initiative in the plan.</w:t>
            </w:r>
          </w:p>
        </w:tc>
      </w:tr>
      <w:tr>
        <w:tc>
          <w:tcPr>
            <w:tcW w:type="dxa" w:w="3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Nuclear/OPG relationship visibility</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Weekly Salesforce Activity log on every Nuclear/OPG opportunity, even if nothing changed. Jon needs to see the relationship is being actively managed.</w:t>
            </w:r>
          </w:p>
        </w:tc>
      </w:tr>
      <w:tr>
        <w:tc>
          <w:tcPr>
            <w:tcW w:type="dxa" w:w="3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Nuclear track discipline — know your lane</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Any conversation touching Aecon, new build SMR, or refurbishment is escalated to Olivier immediately. Your MSA/maintenance track conversations are coordinated with Jon.</w:t>
            </w:r>
          </w:p>
        </w:tc>
      </w:tr>
      <w:tr>
        <w:tc>
          <w:tcPr>
            <w:tcW w:type="dxa" w:w="3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48-hour conference entry rule</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Every lead collected at a conference is in Salesforce within 48 hours. No exceptions.</w:t>
            </w:r>
          </w:p>
        </w:tc>
      </w:tr>
      <w:tr>
        <w:tc>
          <w:tcPr>
            <w:tcW w:type="dxa" w:w="360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bCs/>
                <w:color w:val="0A1F5C"/>
                <w:sz w:val="18"/>
                <w:szCs w:val="18"/>
              </w:rPr>
              <w:t xml:space="preserve">3X flags from site visits</w:t>
            </w:r>
          </w:p>
        </w:tc>
        <w:tc>
          <w:tcPr>
            <w:tcW w:type="dxa" w:w="5760"/>
            <w:tcBorders>
              <w:top w:val="single" w:color="D0DCF0" w:sz="1"/>
              <w:left w:val="single" w:color="D0DCF0" w:sz="1"/>
              <w:bottom w:val="single" w:color="D0DCF0" w:sz="1"/>
              <w:right w:val="single" w:color="D0DCF0" w:sz="1"/>
            </w:tcBorders>
            <w:shd w:fill="FFFFFF" w:val="clear"/>
            <w:tcMar>
              <w:top w:type="dxa" w:w="80"/>
              <w:left w:type="dxa" w:w="160"/>
              <w:bottom w:type="dxa" w:w="80"/>
              <w:right w:type="dxa" w:w="160"/>
            </w:tcMar>
          </w:tcPr>
          <w:p>
            <w:r>
              <w:rPr>
                <w:rFonts w:ascii="Arial" w:cs="Arial" w:eastAsia="Arial" w:hAnsi="Arial"/>
                <w:b w:val="false"/>
                <w:bCs w:val="false"/>
                <w:color w:val="1A2A4A"/>
                <w:sz w:val="18"/>
                <w:szCs w:val="18"/>
              </w:rPr>
              <w:t xml:space="preserve">Any AMBER or RED finding in Eastern Canada is flagged as a 3X Composite opportunity immediately — same day.</w:t>
            </w:r>
          </w:p>
        </w:tc>
      </w:tr>
      <w:tr>
        <w:tc>
          <w:tcPr>
            <w:tcW w:type="dxa" w:w="360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bCs/>
                <w:color w:val="0A1F5C"/>
                <w:sz w:val="18"/>
                <w:szCs w:val="18"/>
              </w:rPr>
              <w:t xml:space="preserve">One win and one ask per Monday meeting</w:t>
            </w:r>
          </w:p>
        </w:tc>
        <w:tc>
          <w:tcPr>
            <w:tcW w:type="dxa" w:w="5760"/>
            <w:tcBorders>
              <w:top w:val="single" w:color="D0DCF0" w:sz="1"/>
              <w:left w:val="single" w:color="D0DCF0" w:sz="1"/>
              <w:bottom w:val="single" w:color="D0DCF0" w:sz="1"/>
              <w:right w:val="single" w:color="D0DCF0" w:sz="1"/>
            </w:tcBorders>
            <w:shd w:fill="F4F7FB" w:val="clear"/>
            <w:tcMar>
              <w:top w:type="dxa" w:w="80"/>
              <w:left w:type="dxa" w:w="160"/>
              <w:bottom w:type="dxa" w:w="80"/>
              <w:right w:type="dxa" w:w="160"/>
            </w:tcMar>
          </w:tcPr>
          <w:p>
            <w:r>
              <w:rPr>
                <w:rFonts w:ascii="Arial" w:cs="Arial" w:eastAsia="Arial" w:hAnsi="Arial"/>
                <w:b w:val="false"/>
                <w:bCs w:val="false"/>
                <w:color w:val="1A2A4A"/>
                <w:sz w:val="18"/>
                <w:szCs w:val="18"/>
              </w:rPr>
              <w:t xml:space="preserve">One positive update (won, converted, advanced) and one deal where you want support or a decision. Be specific about what you need from Jon or Olivier.</w:t>
            </w:r>
          </w:p>
        </w:tc>
      </w:tr>
    </w:tbl>
    <w:p>
      <w:pPr>
        <w:spacing w:after="80"/>
      </w:pPr>
    </w:p>
    <w:p>
      <w:pPr>
        <w:pBdr>
          <w:bottom w:val="single" w:color="0D5050" w:sz="4" w:space="1"/>
        </w:pBdr>
        <w:spacing w:after="160" w:before="120"/>
      </w:pPr>
    </w:p>
    <w:p>
      <w:pPr>
        <w:spacing w:after="80" w:before="120"/>
        <w:jc w:val="center"/>
      </w:pPr>
      <w:r>
        <w:rPr>
          <w:rFonts w:ascii="Arial" w:cs="Arial" w:eastAsia="Arial" w:hAnsi="Arial"/>
          <w:i/>
          <w:iCs/>
          <w:color w:val="6678A0"/>
          <w:sz w:val="18"/>
          <w:szCs w:val="18"/>
        </w:rPr>
        <w:t xml:space="preserve">Questions on any of the above: Jon Eustace (Jon.Eustace@nucleom.com)  ·  MSA/maintenance Nuclear track: escalate to Jon  ·  Aecon/SMR/refurbishment track: Olivier Marcotte  ·  Salesforce access: Éric Carmichael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F0" w:sz="2" w:space="2"/>
      </w:pBdr>
      <w:spacing w:before="80"/>
      <w:jc w:val="center"/>
    </w:pPr>
    <w:r>
      <w:rPr>
        <w:rFonts w:ascii="Arial" w:cs="Arial" w:eastAsia="Arial" w:hAnsi="Arial"/>
        <w:color w:val="6678A0"/>
        <w:sz w:val="16"/>
        <w:szCs w:val="16"/>
      </w:rPr>
      <w:t xml:space="preserve">Page </w:t>
    </w:r>
    <w:r>
      <w:rPr>
        <w:rFonts w:ascii="Arial" w:cs="Arial" w:eastAsia="Arial" w:hAnsi="Arial"/>
        <w:color w:val="6678A0"/>
        <w:sz w:val="16"/>
        <w:szCs w:val="16"/>
      </w:rPr>
      <w:fldChar w:fldCharType="begin"/>
      <w:instrText xml:space="preserve">PAGE</w:instrText>
      <w:fldChar w:fldCharType="separate"/>
      <w:fldChar w:fldCharType="end"/>
    </w:r>
    <w:r>
      <w:rPr>
        <w:rFonts w:ascii="Arial" w:cs="Arial" w:eastAsia="Arial" w:hAnsi="Arial"/>
        <w:color w:val="6678A0"/>
        <w:sz w:val="16"/>
        <w:szCs w:val="16"/>
      </w:rPr>
      <w:t xml:space="preserve"> of </w:t>
    </w:r>
    <w:r>
      <w:rPr>
        <w:rFonts w:ascii="Arial" w:cs="Arial" w:eastAsia="Arial" w:hAnsi="Arial"/>
        <w:color w:val="6678A0"/>
        <w:sz w:val="16"/>
        <w:szCs w:val="16"/>
      </w:rPr>
      <w:fldChar w:fldCharType="begin"/>
      <w:instrText xml:space="preserve">NUMPAGES</w:instrText>
      <w:fldChar w:fldCharType="separate"/>
      <w:fldChar w:fldCharType="end"/>
    </w:r>
    <w:r>
      <w:rPr>
        <w:rFonts w:ascii="Arial" w:cs="Arial" w:eastAsia="Arial" w:hAnsi="Arial"/>
        <w:color w:val="6678A0"/>
        <w:sz w:val="16"/>
        <w:szCs w:val="16"/>
      </w:rPr>
      <w:t xml:space="preserve">  ·  Ekoscan Integrity Group — BU Services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5050" w:sz="2" w:space="2"/>
      </w:pBdr>
      <w:spacing w:after="0"/>
      <w:jc w:val="right"/>
    </w:pPr>
    <w:r>
      <w:rPr>
        <w:rFonts w:ascii="Arial" w:cs="Arial" w:eastAsia="Arial" w:hAnsi="Arial"/>
        <w:color w:val="6678A0"/>
        <w:sz w:val="16"/>
        <w:szCs w:val="16"/>
      </w:rPr>
      <w:t xml:space="preserve">Vinoth Tharma  ·  Commercial Lead Role Brief  ·  BU Services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lvl w:ilvl="1" w15:tentative="1">
      <w:start w:val="1"/>
      <w:numFmt w:val="bullet"/>
      <w:lvlText w:val="◦"/>
      <w:lvlJc w:val="left"/>
      <w:pPr>
        <w:ind w:left="920" w:hanging="320"/>
      </w:pPr>
    </w:lvl>
  </w:abstractNum>
  <w:abstractNum w:abstractNumId="3" w15:restartNumberingAfterBreak="0">
    <w:multiLevelType w:val="hybridMultilevel"/>
    <w:lvl w:ilvl="0" w15:tentative="1">
      <w:start w:val="1"/>
      <w:numFmt w:val="bullet"/>
      <w:lvlText w:val="✓"/>
      <w:lvlJc w:val="left"/>
      <w:pPr>
        <w:ind w:left="560" w:hanging="32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5050" w:sz="3" w:space="2"/>
      </w:pBdr>
      <w:spacing w:after="180" w:before="360"/>
      <w:outlineLvl w:val="0"/>
    </w:pPr>
    <w:rPr>
      <w:rFonts w:ascii="Arial" w:cs="Arial" w:eastAsia="Arial" w:hAnsi="Arial"/>
      <w:b/>
      <w:bCs/>
      <w:color w:val="0A1F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5CA8"/>
      <w:sz w:val="24"/>
      <w:szCs w:val="24"/>
    </w:rPr>
  </w:style>
  <w:style w:type="paragraph" w:styleId="Heading3">
    <w:name w:val="Heading 3"/>
    <w:basedOn w:val="Normal"/>
    <w:next w:val="Normal"/>
    <w:qFormat/>
    <w:pPr>
      <w:spacing w:after="80" w:before="200"/>
      <w:outlineLvl w:val="2"/>
    </w:pPr>
    <w:rPr>
      <w:rFonts w:ascii="Arial" w:cs="Arial" w:eastAsia="Arial" w:hAnsi="Arial"/>
      <w:b/>
      <w:bCs/>
      <w:color w:val="6678A0"/>
      <w:sz w:val="21"/>
      <w:szCs w:val="21"/>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2026-04-19T05:37:30.746Z</dcterms:created>
  <dcterms:modified xsi:type="dcterms:W3CDTF">2026-04-19T05:37:30.746Z</dcterms:modified>
</cp:coreProperties>
</file>

<file path=docProps/custom.xml><?xml version="1.0" encoding="utf-8"?>
<Properties xmlns="http://schemas.openxmlformats.org/officeDocument/2006/custom-properties" xmlns:vt="http://schemas.openxmlformats.org/officeDocument/2006/docPropsVTypes"/>
</file>