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bottom w:color="4472c4" w:space="5" w:sz="6" w:val="single"/>
        </w:pBdr>
        <w:rPr/>
      </w:pPr>
      <w:r w:rsidDel="00000000" w:rsidR="00000000" w:rsidRPr="00000000">
        <w:rPr>
          <w:rtl w:val="0"/>
        </w:rPr>
        <w:t xml:space="preserve">StudyProof with AI Study Coach</w:t>
      </w:r>
    </w:p>
    <w:p w:rsidR="00000000" w:rsidDel="00000000" w:rsidP="00000000" w:rsidRDefault="00000000" w:rsidRPr="00000000" w14:paraId="00000002">
      <w:pPr>
        <w:spacing w:after="200" w:lineRule="auto"/>
        <w:rPr/>
      </w:pPr>
      <w:r w:rsidDel="00000000" w:rsidR="00000000" w:rsidRPr="00000000">
        <w:rPr>
          <w:rtl w:val="0"/>
        </w:rPr>
        <w:t>Jonathan Pan, University of Edinburgh, s2623724@ed.ac.uk</w:t>
      </w:r>
    </w:p>
    <w:p w:rsidR="00000000" w:rsidDel="00000000" w:rsidP="00000000" w:rsidRDefault="00000000" w:rsidRPr="00000000" w14:paraId="00000003">
      <w:pPr>
        <w:pStyle w:val="Heading1"/>
        <w:rPr/>
      </w:pPr>
      <w:r w:rsidDel="00000000" w:rsidR="00000000" w:rsidRPr="00000000">
        <w:rPr>
          <w:rtl w:val="0"/>
        </w:rPr>
        <w:t xml:space="preserve">Abstract</w:t>
      </w:r>
    </w:p>
    <w:p w:rsidR="00000000" w:rsidDel="00000000" w:rsidP="00000000" w:rsidRDefault="00000000" w:rsidRPr="00000000" w14:paraId="00000004">
      <w:pPr>
        <w:rPr/>
      </w:pPr>
      <w:r w:rsidDel="00000000" w:rsidR="00000000" w:rsidRPr="00000000">
        <w:rPr>
          <w:rtl w:val="0"/>
        </w:rPr>
        <w:t>StudyProof is a study app that doesn’t just track your hours — it proves you actually learned. The Python/CustomTkinter desktop prototype covers both sides of studying. The tracker side ensures the student has put in the time and effort: real-time countdowns and a monotonic-clock stopwatch log only genuine minutes, surfaced as XP, daily medals, streaks, a calendar, notes, statistics and a PDF library. The AI Study Coach then makes sure that time becomes knowledge: it actively tests what the student has studied against their own selected materials, requires an unaided first answer before any hint or feedback is unlocked, stores that first answer immutably, and uses a private background assessor to flag weak topics that “Revise Weak Topics” reopens and seven-day recaps bring back as loose ends with working Resume buttons. Everything outside the model call — timing, scoring rules, storage and recap facts — is deterministic, local-first and testable, and recaps work offline. Version 1.2.0 passes 122 automated tests plus GUI-smoke, performance and frozen-build checks: a working demo, not a concept. Its contribution is this two-sided workflow — verified effort plus tested understanding — not a claim that recorded minutes or AI ratings establish mastery; evaluation with students remains future work.</w:t>
      </w:r>
    </w:p>
    <w:p w:rsidR="00000000" w:rsidDel="00000000" w:rsidP="00000000" w:rsidRDefault="00000000" w:rsidRPr="00000000" w14:paraId="00000005">
      <w:pPr>
        <w:pStyle w:val="Heading1"/>
        <w:rPr/>
      </w:pPr>
      <w:r w:rsidDel="00000000" w:rsidR="00000000" w:rsidRPr="00000000">
        <w:rPr>
          <w:rtl w:val="0"/>
        </w:rPr>
        <w:t xml:space="preserve">1. Introduction / Problem Statement</w:t>
      </w:r>
    </w:p>
    <w:p w:rsidR="00000000" w:rsidDel="00000000" w:rsidP="00000000" w:rsidRDefault="00000000" w:rsidRPr="00000000" w14:paraId="00000006">
      <w:pPr>
        <w:rPr/>
      </w:pPr>
      <w:r w:rsidDel="00000000" w:rsidR="00000000" w:rsidRPr="00000000">
        <w:rPr>
          <w:b w:val="1"/>
          <w:bCs w:val="1"/>
          <w:rtl w:val="0"/>
        </w:rPr>
        <w:t>Problem and gap. Independent university study requires students to monitor effort, recognise difficulties and adjust strategies; self-regulated learning connects monitoring and reflection with subsequent action [1]. A timer records duration and a calendar records participation, yet neither alone establishes whether a student can explain a concept, and fluent AI explanations can create familiarity without demonstrating understanding — the “hallucinated understanding” the TeachAthon 2026 opening slides name as the key risk to learning. Practice testing offers a stronger basis for checking recall than rereading alone [2]. The same slides describe an “optimism gap”: GenAI is trusted as a 24/7 tutor while ethics, assessment-integrity and skills-erosion concerns go unaddressed and policies do not translate clearly into practice. Students are missing a tool that both verifies time spent and converts it into demonstrable knowledge.</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Objectives. StudyProof covers both sides of studying in one desktop workflow for students working from their own notes and PDFs. The tracker side ensures a student has genuinely put in the time and effort: presets and custom lengths run real-time countdowns, paused time never counts, cancelled sessions record nothing, and stopwatch runs of ten minutes or more log only whole completed ten-minute blocks, so XP, medals (Bronze ≥ 120 min, Silver ≥ 180 min, Gold ≥ 300 min per day) and streaks reflect authentic effort. The coach side then makes sure that time becomes knowledge: every session elicits an unaided explanation first, grounds questions and feedback in the student's selected materials, and turns private assessment scores into concrete revision targets rather than opaque ratings. Together these address the TeachAthon concerns about “hallucinated understanding”, skills erosion and assessment integrity by modelling responsible AI use in practice. The contribution is this integration, not a claim that other study tools lack comparable features.</w:t>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2. Proposed Solution</w:t>
      </w:r>
    </w:p>
    <w:p w:rsidR="00000000" w:rsidDel="00000000" w:rsidP="00000000" w:rsidRDefault="00000000" w:rsidRPr="00000000" w14:paraId="00000009">
      <w:pPr>
        <w:rPr/>
      </w:pPr>
      <w:r w:rsidDel="00000000" w:rsidR="00000000" w:rsidRPr="00000000">
        <w:rPr>
          <w:b w:val="1"/>
          <w:bCs w:val="1"/>
          <w:rtl w:val="0"/>
        </w:rPr>
        <w:t>2.1 Effort you can trust. On Home, the 1-hour and 2-hour presets and the custom dialog (validated to 5 minutes – 12 hours) start a real-time countdown on the sidebar stopwatch; nothing is logged until it genuinely reaches zero, pausing freezes the remaining time so paused minutes never count, cancelling records nothing, and only then is the planned duration saved. Alternatively, resetting a stopwatch run of at least ten minutes records whole ten-minute blocks rounded down (2:35:12 → 2 h 30 min); shorter runs are discarded. Timing uses a monotonic clock, and starting another session is disabled while a countdown runs, so minutes cannot be stacked or typed in. XP (10 per completed ten-minute block), daily medals, streaks (≥ 10 qualifying minutes), the Monday-first calendar, weekly/monthly/lifetime statistics and optional dated notes turn that verified effort into visible routines. Coaching is a separate, student-initiated activity.</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2.2 Proof you actually learned. Tracking alone cannot show whether time became knowledge, so the coach side actively tests the student. Notes support create, edit, search and delete, and imported PDFs are copied into a local library with background page-text extraction and a zoomable viewer. In Coach, the student selects up to five notes or PDFs and receives a question drawn from that material. The system prompt forbids any answer or hint before the learner’s first attempt; the first answer is stored immutably alongside later revisions, and hints and follow-ups are gated behind it, so the record shows what the student could do unaided before any model help — evidence of practice, with revision choices left with the learner.</w:t>
      </w: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Revision support. A separate background assessor identifies the question and source and rates the latest answer 0–100. Scores below 70 flag a topic; scores of at least 85 clear it; intermediate scores retain an existing flag. The interface presents topics rather than numerical scores. “Revise Weak Topics” reopens the saved question, and Statistics lists the same specific weak topics and opens their revision sessions directly, so flagged gaps become concrete practice rather than opaque ratings. These thresholds are implementation rules, not validated measures of mastery. Seven-day recaps, with an optional 30-day view, combine recorded effort, coached topics, assessment-backed improvements and unanswered questions as “loose ends,” each with a Resume button that reopens the exact question, closing the loop between time spent and knowledge demonstrated.</w:t>
      </w: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2.3 Implemented GenAI contribution. The live coach sends the selected source text, question state and the last ten conversation turns to a configured OpenAI-compatible chat-completions endpoint (deepseek-flash or deepseek-v4-pro). Generative models produce questions and context-sensitive explanations and interpret varied free-text answers, which fixed timers or keyword rules cannot readily provide across arbitrary course materials — because the coach grades free explanations of the student’s own notes, it tests understanding rather than pattern-matching. Deterministic code handles timing, statistics, storage and recap facts. Optional AI recap wording is restricted to locally verified alternatives chosen from aggregate facts only — raw private scores, complete source texts and navigation IDs never cross the prompt boundary — with a fully functional local fallback when no provider is configured or a call fails. No model is needed to calculate study totals.</w:t>
      </w: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2.4 Architecture and feasibility. Python and CustomTkinter provide the themed desktop interface; AppState coordinates records and views through a thread-safe event queue so background work never blocks the UI; PyMuPDF extracts and renders PDFs. JSON persistence uses atomic replacement, schema-version validation and backup-and-quarantine recovery, keeping study data on-device in the OS app-data folder. The provider implements a 30-second timeout, sub-second cancellation, one retry on transient errors and strict key redaction. Opening questions use bounded structured parsing with one repair retry; ordinary coaching accepts prose. Quote checking verifies supplied structured excerpts against the selected text, but does not verify every conversational claim.</w:t>
      </w: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Practical limits. Context packing takes leading pages in selection order, up to one million characters, rather than retrieving the most relevant passages. This can omit later material and exceed an endpoint’s context or cost limits. Proposed improvements are token-aware budgets, relevant-passage selection and tested endpoint configurations. They are extensions, not completed capabilities.</w:t>
      </w: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2.5 Prototype and completion. StudyProof v1.2.0 is a finished, shippable prototype: source code, 122 automated unit and GUI-integration tests, an end-to-end GUI smoke test, performance gates (10,000-session startup/refresh/autosave budgets, 200-page PDF extraction ≤ 15 s, page rendering ≤ 300 ms) and a PyInstaller Windows packaging script exist at https://github.com/Jon8652/StudyProof; release validation on 19 October 2026 additionally passed 32 checks against the frozen executable. A demonstration follows the full two-sided loop: countdown completion, note/PDF selection, an unaided initial answer, feedback, weak-topic revision and recap. Tests cover persistence, timing, coach state and invalid responses, using scripted providers. This satisfies the Demonstration &amp; Project Completion criterion — a working prototype with a clear path forward — though it evidences an inspectable implementation, not live-model accuracy or educational effectiveness. Before release, rerun the suite and packaged build, verify a live endpoint with non-sensitive materials, and publish a matching demo revision.</w:t>
      </w: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t xml:space="preserve">3. Implications &amp; Ethical Considerations</w:t>
      </w:r>
    </w:p>
    <w:p w:rsidR="00000000" w:rsidDel="00000000" w:rsidP="00000000" w:rsidRDefault="00000000" w:rsidRPr="00000000" w14:paraId="00000013">
      <w:pPr>
        <w:rPr/>
      </w:pPr>
      <w:r w:rsidDel="00000000" w:rsidR="00000000" w:rsidRPr="00000000">
        <w:rPr>
          <w:b w:val="1"/>
          <w:bCs w:val="1"/>
          <w:rtl w:val="0"/>
        </w:rPr>
        <w:t>3.1 Educational implications. StudyProof reframes the study tracker from attendance to evidence: the tracker side confirms the student has put in the time, while the coach confirms that time has become knowledge, and the intended benefit is more purposeful revision informed by both. Because it is subject-agnostic — the coach works from whatever notes or PDFs the student selects — it serves any text-based course without institution-wide integration. Wider adoption requires accessible interfaces, affordable AI and course-specific guidance. No student evaluation or learning gain has been established.</w:t>
      </w: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3.2 Privacy and transparency. Tracking data stays on-device in the local save file and there is no telemetry; only the selected sources, question state and recent turns reach the configured AI provider, with keys masked in Settings and redacted from errors. However, keys reside in plaintext JSON, and HTTP endpoints are accepted; masking and error redaction are insufficient protections. Before wider deployment, add explicit transfer consent, a data preview, secure credential storage, HTTPS enforcement for remote services and provider-retention guidance [3]. Explain retention across conversations, topics, backups and providers: deleting a chat retains unresolved topics. Transmit only authorised materials.</w:t>
      </w: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Reliability and autonomy. Incorrect sources, fabricated explanations and biased assessment can misdirect revision. Quote checks establish correspondence, not truth; ordinary prose has weaker verification. Built-in safeguards keep the human in charge: the coach must say when the sources do not cover a topic and may never invent citations, assessment failures leave existing weak topics unchanged, and flags point to the exact saved question so a student can see why a topic was flagged and revisit it. Proposed additions include visible uncertainty and educator review of sample responses. Hidden scores should never determine grades. First responses cannot prove unaided work or prevent assessment misuse; the app is for practice, and students should check course rules and consult staff or disclose AI use where required.</w:t>
      </w: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Fairness and wellbeing. Language proficiency and disability may affect ratings independently of knowledge; varied writing styles and accessibility needs, including keyboard and screen-reader use, require evaluation. Core tracking and recaps remain available without paid AI — recaps work fully offline — but live coaching needs connectivity and credentials. XP rewards time; daily medals require two, three or five hours, and streaks reward consecutive qualifying days. Fixed incentives may disadvantage time-limited students or encourage excessive study. Optional rewards, flexible targets and neutral language are proposed mitigations; recaps already avoid guilt, urgency and population comparisons, toning every figure against the student's own goal or baseline routine instead.</w:t>
      </w: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3.3 Evaluation and next steps. Time cannot establish learning, nor AI ratings retention. After privacy improvements, a proposed consent-based pilot would compare tracker-only use with coached practice, assessing usability, feedback errors, pressure and independently marked delayed recall. Automated delayed-retrieval scheduling and institution-wide integration remain unimplemented.</w:t>
      </w: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tl w:val="0"/>
        </w:rPr>
        <w:t xml:space="preserve">References</w:t>
      </w:r>
    </w:p>
    <w:p w:rsidR="00000000" w:rsidDel="00000000" w:rsidP="00000000" w:rsidRDefault="00000000" w:rsidRPr="00000000" w14:paraId="00000019">
      <w:pPr>
        <w:spacing w:after="80" w:lineRule="auto"/>
        <w:rPr/>
      </w:pPr>
      <w:r w:rsidDel="00000000" w:rsidR="00000000" w:rsidRPr="00000000">
        <w:rPr>
          <w:rtl w:val="0"/>
        </w:rPr>
        <w:t xml:space="preserve">[1] Zimmerman, B. J. Becoming a Self-Regulated Learner: An Overview. Theory Into Practice, 41(2), 64–70, 2002. doi:10.1207/s15430421tip4102_2.</w:t>
      </w:r>
    </w:p>
    <w:p w:rsidR="00000000" w:rsidDel="00000000" w:rsidP="00000000" w:rsidRDefault="00000000" w:rsidRPr="00000000" w14:paraId="0000001A">
      <w:pPr>
        <w:spacing w:after="80" w:lineRule="auto"/>
        <w:rPr/>
      </w:pPr>
      <w:r w:rsidDel="00000000" w:rsidR="00000000" w:rsidRPr="00000000">
        <w:rPr>
          <w:rtl w:val="0"/>
        </w:rPr>
        <w:t xml:space="preserve">[2] Dunlosky, J., Rawson, K. A., Marsh, E. J., Nathan, M. J., and Willingham, D. T. Improving Students’ Learning With Effective Learning Techniques: Promising Directions From Cognitive and Educational Psychology. Psychological Science in the Public Interest, 14(1), 4–58, 2013. doi:10.1177/1529100612453266.</w:t>
      </w:r>
    </w:p>
    <w:p w:rsidR="00000000" w:rsidDel="00000000" w:rsidP="00000000" w:rsidRDefault="00000000" w:rsidRPr="00000000" w14:paraId="0000001B">
      <w:pPr>
        <w:spacing w:after="80" w:lineRule="auto"/>
        <w:rPr/>
      </w:pPr>
      <w:r w:rsidDel="00000000" w:rsidR="00000000" w:rsidRPr="00000000">
        <w:rPr>
          <w:rtl w:val="0"/>
        </w:rPr>
        <w:t xml:space="preserve">[3] Miao, F., and Holmes, W. Guidance for Generative AI in Education and Research. UNESCO, 2023. https://doi.org/10.54675/EWZM9535.</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00" w:line="29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widowControl w:val="1"/>
      <w:spacing w:after="100" w:before="200" w:line="290" w:lineRule="auto"/>
    </w:pPr>
    <w:rPr>
      <w:rFonts w:ascii="Calibri" w:cs="Calibri" w:eastAsia="Calibri" w:hAnsi="Calibri"/>
      <w:b w:val="1"/>
      <w:bCs w:val="1"/>
      <w:color w:val="365f91"/>
      <w:sz w:val="28"/>
      <w:szCs w:val="28"/>
    </w:rPr>
  </w:style>
  <w:style w:type="paragraph" w:styleId="Heading2">
    <w:name w:val="heading 2"/>
    <w:basedOn w:val="Normal"/>
    <w:next w:val="Normal"/>
    <w:pPr>
      <w:keepNext w:val="1"/>
      <w:keepLines w:val="1"/>
      <w:widowControl w:val="1"/>
      <w:spacing w:after="100" w:before="200" w:line="290" w:lineRule="auto"/>
    </w:pPr>
    <w:rPr>
      <w:rFonts w:ascii="Calibri" w:cs="Calibri" w:eastAsia="Calibri" w:hAnsi="Calibri"/>
      <w:b w:val="1"/>
      <w:bCs w:val="1"/>
      <w:color w:val="365f91"/>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widowControl w:val="1"/>
      <w:pBdr>
        <w:bottom w:color="4f81bd" w:space="4" w:sz="8" w:val="single"/>
      </w:pBdr>
      <w:spacing w:after="24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