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cadrage pour un agent de support EasyVista</w:t>
      </w:r>
    </w:p>
    <w:p>
      <w:pPr>
        <w:pStyle w:val="Subtitle"/>
      </w:pPr>
      <w:r>
        <w:t>Version de travail  •  29 septembre 2026</w:t>
      </w:r>
    </w:p>
    <w:p>
      <w:r>
        <w:t>Ce dossier définit une première version d’un assistant qui analyse les notifications de tickets reçues dans une boîte Outlook personnelle. Les réponses restent rédigées et envoyées par les agents dans EasyVista. La qualité des propositions s’améliore grâce à l’enregistrement volontaire des réponses finales validées par l’équipe.</w:t>
      </w:r>
    </w:p>
    <w:p>
      <w:pPr>
        <w:pStyle w:val="Heading1"/>
      </w:pPr>
      <w:r>
        <w:t>Décision proposée</w:t>
      </w:r>
    </w:p>
    <w:p>
      <w:r>
        <w:t>Lancer un pilote limité à un groupe support et à la boîte Outlook d’un agent. L’assistant produit une fiche par ticket, sans envoyer de message ni modifier EasyVista. Un retour simple après traitement permet de constituer progressivement une base de réponses fiables et de mesurer l’utilité réelle du dispositif.</w:t>
      </w:r>
    </w:p>
    <w:p>
      <w:pPr>
        <w:pStyle w:val="Heading1"/>
      </w:pPr>
      <w:r>
        <w:t>1 Contexte et objectifs</w:t>
      </w:r>
    </w:p>
    <w:p>
      <w:r>
        <w:t>Les demandes affectées au groupe EasyVista génèrent des courriels dans les boîtes personnelles de ses membres. Le traitement et la réponse au demandeur se font dans EasyVista. Les mêmes notifications peuvent donc être reçues par plusieurs personnes, alors que le contenu final de la réponse n’est pas disponible dans Outlook.</w:t>
      </w:r>
    </w:p>
    <w:p>
      <w:pPr>
        <w:pStyle w:val="ListBullet"/>
        <w:spacing w:after="60"/>
      </w:pPr>
      <w:r>
        <w:t>Réduire le temps nécessaire pour comprendre et qualifier une demande.</w:t>
      </w:r>
    </w:p>
    <w:p>
      <w:pPr>
        <w:pStyle w:val="ListBullet"/>
        <w:spacing w:after="60"/>
      </w:pPr>
      <w:r>
        <w:t>Proposer une question de clarification lorsque le ticket ne contient pas les informations utiles.</w:t>
      </w:r>
    </w:p>
    <w:p>
      <w:pPr>
        <w:pStyle w:val="ListBullet"/>
        <w:spacing w:after="60"/>
      </w:pPr>
      <w:r>
        <w:t>Suggérer une pré-réponse fondée sur une documentation validée ou des cas résolus comparables.</w:t>
      </w:r>
    </w:p>
    <w:p>
      <w:pPr>
        <w:pStyle w:val="ListBullet"/>
        <w:spacing w:after="60"/>
      </w:pPr>
      <w:r>
        <w:t>Capitaliser les réponses finales de l’équipe et suivre les thèmes récurrents ainsi que l’usage des propositions.</w:t>
      </w:r>
    </w:p>
    <w:p>
      <w:r>
        <w:t>Le pilote vise l’aide à la décision des agents support. Il ne remplace pas leur validation métier et ne prétend pas mesurer la qualité des réponses uniquement à partir des modifications de texte.</w:t>
      </w:r>
    </w:p>
    <w:p>
      <w:pPr>
        <w:pStyle w:val="Heading1"/>
      </w:pPr>
      <w:r>
        <w:t>2 Périmètre du pilote</w:t>
      </w:r>
    </w:p>
    <w:tbl>
      <w:tblPr>
        <w:tblW w:type="auto" w:w="0"/>
        <w:jc w:val="center"/>
        <w:tblLayout w:type="fixed"/>
        <w:tblLook w:firstColumn="1" w:firstRow="1" w:lastColumn="0" w:lastRow="0" w:noHBand="0" w:noVBand="1" w:val="04A0"/>
      </w:tblPr>
      <w:tblGrid>
        <w:gridCol w:w="4535"/>
        <w:gridCol w:w="4535"/>
      </w:tblGrid>
      <w:tr>
        <w:trPr>
          <w:tblHeader w:val="true"/>
        </w:trPr>
        <w:tc>
          <w:tcPr>
            <w:tcW w:type="dxa" w:w="4535"/>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Inclus dès le départ</w:t>
            </w:r>
          </w:p>
        </w:tc>
        <w:tc>
          <w:tcPr>
            <w:tcW w:type="dxa" w:w="4535"/>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À traiter dans une phase ultérieure</w:t>
            </w:r>
          </w:p>
        </w:tc>
      </w:tr>
      <w:tr>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Lecture des notifications EasyVista dans une boîte Outlook personnelle</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Synchronisation directe des tickets et actions via EasyVista</w:t>
            </w:r>
          </w:p>
        </w:tc>
      </w:tr>
      <w:tr>
        <w:tc>
          <w:tcPr>
            <w:tcW w:type="dxa" w:w="4535"/>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Extraction du numéro de ticket et dédoublonnage</w:t>
            </w:r>
          </w:p>
        </w:tc>
        <w:tc>
          <w:tcPr>
            <w:tcW w:type="dxa" w:w="4535"/>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Récupération automatique de la réponse finale et de la clôture</w:t>
            </w:r>
          </w:p>
        </w:tc>
      </w:tr>
      <w:tr>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Analyse, clarification et pré-réponse avec validation humaine</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Envoi automatique au demandeur</w:t>
            </w:r>
          </w:p>
        </w:tc>
      </w:tr>
      <w:tr>
        <w:tc>
          <w:tcPr>
            <w:tcW w:type="dxa" w:w="4535"/>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Enregistrement manuel de la réponse finale validée</w:t>
            </w:r>
          </w:p>
        </w:tc>
        <w:tc>
          <w:tcPr>
            <w:tcW w:type="dxa" w:w="4535"/>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Calcul complet des engagements et délais EasyVista</w:t>
            </w:r>
          </w:p>
        </w:tc>
      </w:tr>
    </w:tbl>
    <w:p>
      <w:pPr>
        <w:spacing w:after="20"/>
      </w:pPr>
    </w:p>
    <w:p>
      <w:pPr>
        <w:pStyle w:val="Heading1"/>
      </w:pPr>
      <w:r>
        <w:t>3 Parcours de traitement</w:t>
      </w:r>
    </w:p>
    <w:p>
      <w:pPr>
        <w:pStyle w:val="ListNumber"/>
        <w:spacing w:after="80"/>
      </w:pPr>
      <w:r>
        <w:t>Une notification arrive dans Outlook. Le système vérifie qu’elle correspond au groupe concerné, extrait le numéro EasyVista et crée ou met à jour une fiche unique pour ce ticket.</w:t>
      </w:r>
    </w:p>
    <w:p>
      <w:pPr>
        <w:pStyle w:val="ListNumber"/>
        <w:spacing w:after="80"/>
      </w:pPr>
      <w:r>
        <w:t>L’assistant retire les signatures et citations répétées, résume la demande, repère les ambiguïtés et cherche des sources documentaires ou des cas résolus validés.</w:t>
      </w:r>
    </w:p>
    <w:p>
      <w:pPr>
        <w:pStyle w:val="ListNumber"/>
        <w:spacing w:after="80"/>
      </w:pPr>
      <w:r>
        <w:t>Il affiche soit une pré-réponse sourcée, soit une question de clarification, soit un constat d’absence de base fiable. L’agent décide de la suite et répond dans EasyVista.</w:t>
      </w:r>
    </w:p>
    <w:p>
      <w:pPr>
        <w:pStyle w:val="ListNumber"/>
        <w:spacing w:after="80"/>
      </w:pPr>
      <w:r>
        <w:t>Après l’envoi, l’agent colle la réponse finale dans la fiche, qualifie la proposition et, si le cas est réutilisable, le valide pour la base de connaissances.</w:t>
      </w:r>
    </w:p>
    <w:p>
      <w:pPr>
        <w:pStyle w:val="Heading1"/>
      </w:pPr>
      <w:r>
        <w:t>4 Fiche attendue pour chaque ticket</w:t>
      </w:r>
    </w:p>
    <w:tbl>
      <w:tblPr>
        <w:tblW w:type="auto" w:w="0"/>
        <w:jc w:val="center"/>
        <w:tblLayout w:type="fixed"/>
        <w:tblLook w:firstColumn="1" w:firstRow="1" w:lastColumn="0" w:lastRow="0" w:noHBand="0" w:noVBand="1" w:val="04A0"/>
      </w:tblPr>
      <w:tblGrid>
        <w:gridCol w:w="2324"/>
        <w:gridCol w:w="6746"/>
      </w:tblGrid>
      <w:tr>
        <w:trPr>
          <w:tblHeader w:val="true"/>
        </w:trPr>
        <w:tc>
          <w:tcPr>
            <w:tcW w:type="dxa" w:w="2324"/>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Champ</w:t>
            </w:r>
          </w:p>
        </w:tc>
        <w:tc>
          <w:tcPr>
            <w:tcW w:type="dxa" w:w="6746"/>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Contenu attendu</w:t>
            </w:r>
          </w:p>
        </w:tc>
      </w:tr>
      <w:tr>
        <w:tc>
          <w:tcPr>
            <w:tcW w:type="dxa" w:w="23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Identification</w:t>
            </w:r>
          </w:p>
        </w:tc>
        <w:tc>
          <w:tcPr>
            <w:tcW w:type="dxa" w:w="674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Numéro de ticket, date de notification, sujet, catégorie si disponible.</w:t>
            </w:r>
          </w:p>
        </w:tc>
      </w:tr>
      <w:tr>
        <w:tc>
          <w:tcPr>
            <w:tcW w:type="dxa" w:w="232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Compréhension</w:t>
            </w:r>
          </w:p>
        </w:tc>
        <w:tc>
          <w:tcPr>
            <w:tcW w:type="dxa" w:w="6746"/>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Résumé fidèle, demande reformulée, problème ou action attendue.</w:t>
            </w:r>
          </w:p>
        </w:tc>
      </w:tr>
      <w:tr>
        <w:tc>
          <w:tcPr>
            <w:tcW w:type="dxa" w:w="23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Manques</w:t>
            </w:r>
          </w:p>
        </w:tc>
        <w:tc>
          <w:tcPr>
            <w:tcW w:type="dxa" w:w="674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Informations nécessaires, formulées en questions concrètes.</w:t>
            </w:r>
          </w:p>
        </w:tc>
      </w:tr>
      <w:tr>
        <w:tc>
          <w:tcPr>
            <w:tcW w:type="dxa" w:w="232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Suggestion</w:t>
            </w:r>
          </w:p>
        </w:tc>
        <w:tc>
          <w:tcPr>
            <w:tcW w:type="dxa" w:w="6746"/>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Texte prêt à adapter et à saisir dans EasyVista, ou demande de précisions.</w:t>
            </w:r>
          </w:p>
        </w:tc>
      </w:tr>
      <w:tr>
        <w:tc>
          <w:tcPr>
            <w:tcW w:type="dxa" w:w="23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Justification</w:t>
            </w:r>
          </w:p>
        </w:tc>
        <w:tc>
          <w:tcPr>
            <w:tcW w:type="dxa" w:w="674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Sources citées avec lien, titre, date et passage utile quand ils existent.</w:t>
            </w:r>
          </w:p>
        </w:tc>
      </w:tr>
      <w:tr>
        <w:tc>
          <w:tcPr>
            <w:tcW w:type="dxa" w:w="232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Retour</w:t>
            </w:r>
          </w:p>
        </w:tc>
        <w:tc>
          <w:tcPr>
            <w:tcW w:type="dxa" w:w="6746"/>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Statut accepté, modifié ou rejeté, réponse finale et motif éventuel.</w:t>
            </w:r>
          </w:p>
        </w:tc>
      </w:tr>
    </w:tbl>
    <w:p>
      <w:pPr>
        <w:spacing w:after="20"/>
      </w:pPr>
    </w:p>
    <w:p>
      <w:pPr>
        <w:pStyle w:val="Heading1"/>
      </w:pPr>
      <w:r>
        <w:t>5 Apprentissage continu</w:t>
      </w:r>
    </w:p>
    <w:p>
      <w:r>
        <w:t>Le mécanisme recommandé consiste à enrichir une base de connaissances consultée au moment de chaque nouvelle demande. Il ne nécessite pas de réentraîner le modèle après chaque ticket. Chaque nouveau cas contient la demande reformulée, le contexte utile, la réponse finale, la date, le domaine et la décision de validation.</w:t>
      </w:r>
    </w:p>
    <w:p>
      <w:pPr>
        <w:pStyle w:val="ListBullet"/>
        <w:spacing w:after="60"/>
      </w:pPr>
      <w:r>
        <w:t>Un cas entre dans la base seulement après validation explicite par un agent autorisé.</w:t>
      </w:r>
    </w:p>
    <w:p>
      <w:pPr>
        <w:pStyle w:val="ListBullet"/>
        <w:spacing w:after="60"/>
      </w:pPr>
      <w:r>
        <w:t>Les réponses rejetées, incomplètes ou devenues obsolètes restent hors des références proposées.</w:t>
      </w:r>
    </w:p>
    <w:p>
      <w:pPr>
        <w:pStyle w:val="ListBullet"/>
        <w:spacing w:after="60"/>
      </w:pPr>
      <w:r>
        <w:t>Une documentation officielle et à jour prévaut sur un ancien ticket similaire en cas de contradiction.</w:t>
      </w:r>
    </w:p>
    <w:p>
      <w:pPr>
        <w:pStyle w:val="ListBullet"/>
        <w:spacing w:after="60"/>
      </w:pPr>
      <w:r>
        <w:t>Les cas comparables sont présentés comme exemples contextualisés, jamais comme preuve universelle.</w:t>
      </w:r>
    </w:p>
    <w:p>
      <w:pPr>
        <w:pStyle w:val="ListBullet"/>
        <w:spacing w:after="60"/>
      </w:pPr>
      <w:r>
        <w:t>Une règle de révision et d’expiration permet de retirer les procédures périmées.</w:t>
      </w:r>
    </w:p>
    <w:p>
      <w:r>
        <w:t>À froid, sans documentation ni historique validé, l’assistant peut déjà résumer les demandes et préparer des questions de clarification. Il doit s’abstenir de proposer une résolution technique qu’aucune source ne soutient.</w:t>
      </w:r>
    </w:p>
    <w:p>
      <w:pPr>
        <w:pStyle w:val="Heading1"/>
      </w:pPr>
      <w:r>
        <w:t>6 Indicateurs et règles de calcul</w:t>
      </w:r>
    </w:p>
    <w:tbl>
      <w:tblPr>
        <w:tblW w:type="auto" w:w="0"/>
        <w:jc w:val="center"/>
        <w:tblLayout w:type="fixed"/>
        <w:tblLook w:firstColumn="1" w:firstRow="1" w:lastColumn="0" w:lastRow="0" w:noHBand="0" w:noVBand="1" w:val="04A0"/>
      </w:tblPr>
      <w:tblGrid>
        <w:gridCol w:w="1814"/>
        <w:gridCol w:w="4649"/>
        <w:gridCol w:w="2608"/>
      </w:tblGrid>
      <w:tr>
        <w:trPr>
          <w:tblHeader w:val="true"/>
        </w:trPr>
        <w:tc>
          <w:tcPr>
            <w:tcW w:type="dxa" w:w="1814"/>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Indicateur</w:t>
            </w:r>
          </w:p>
        </w:tc>
        <w:tc>
          <w:tcPr>
            <w:tcW w:type="dxa" w:w="4649"/>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Définition opérationnelle</w:t>
            </w:r>
          </w:p>
        </w:tc>
        <w:tc>
          <w:tcPr>
            <w:tcW w:type="dxa" w:w="2608"/>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Données requises</w:t>
            </w:r>
          </w:p>
        </w:tc>
      </w:tr>
      <w:tr>
        <w:tc>
          <w:tcPr>
            <w:tcW w:type="dxa" w:w="181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Sujets récurrents</w:t>
            </w:r>
          </w:p>
        </w:tc>
        <w:tc>
          <w:tcPr>
            <w:tcW w:type="dxa" w:w="464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Nombre de tickets par thème et période, avec regroupement des formulations proches.</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Notifications dédoublonnées et catégorisation vérifiée.</w:t>
            </w:r>
          </w:p>
        </w:tc>
      </w:tr>
      <w:tr>
        <w:tc>
          <w:tcPr>
            <w:tcW w:type="dxa" w:w="181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Utilisation des propositions</w:t>
            </w:r>
          </w:p>
        </w:tc>
        <w:tc>
          <w:tcPr>
            <w:tcW w:type="dxa" w:w="4649"/>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Part des fiches marquées acceptées, modifiées ou rejetées parmi les fiches évaluées.</w:t>
            </w:r>
          </w:p>
        </w:tc>
        <w:tc>
          <w:tcPr>
            <w:tcW w:type="dxa" w:w="2608"/>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Retour des agents après réponse.</w:t>
            </w:r>
          </w:p>
        </w:tc>
      </w:tr>
      <w:tr>
        <w:tc>
          <w:tcPr>
            <w:tcW w:type="dxa" w:w="181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Justesse</w:t>
            </w:r>
          </w:p>
        </w:tc>
        <w:tc>
          <w:tcPr>
            <w:tcW w:type="dxa" w:w="464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Part des suggestions jugées correctes sur un échantillon revu par l’équipe.</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Évaluation humaine distincte du taux de reprise.</w:t>
            </w:r>
          </w:p>
        </w:tc>
      </w:tr>
      <w:tr>
        <w:tc>
          <w:tcPr>
            <w:tcW w:type="dxa" w:w="181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Délai de préparation</w:t>
            </w:r>
          </w:p>
        </w:tc>
        <w:tc>
          <w:tcPr>
            <w:tcW w:type="dxa" w:w="4649"/>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Temps entre réception de la notification et production de la fiche.</w:t>
            </w:r>
          </w:p>
        </w:tc>
        <w:tc>
          <w:tcPr>
            <w:tcW w:type="dxa" w:w="2608"/>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Horodatages Outlook et agent.</w:t>
            </w:r>
          </w:p>
        </w:tc>
      </w:tr>
      <w:tr>
        <w:tc>
          <w:tcPr>
            <w:tcW w:type="dxa" w:w="181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Premier retour et résolution</w:t>
            </w:r>
          </w:p>
        </w:tc>
        <w:tc>
          <w:tcPr>
            <w:tcW w:type="dxa" w:w="464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Temps entre création du ticket et première réponse, puis clôture, selon les horaires retenus.</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Dates EasyVista à importer ultérieurement.</w:t>
            </w:r>
          </w:p>
        </w:tc>
      </w:tr>
    </w:tbl>
    <w:p>
      <w:pPr>
        <w:spacing w:after="20"/>
      </w:pPr>
    </w:p>
    <w:p>
      <w:r>
        <w:t>Le taux de reprise ne constitue pas un taux de précision : un texte repris tel quel peut être faux, et une réponse très modifiée peut partir d’une bonne suggestion. Les résultats du pilote doivent aussi afficher le nombre de tickets évalués et la part sans retour, afin d’éviter une lecture trompeuse.</w:t>
      </w:r>
    </w:p>
    <w:p>
      <w:pPr>
        <w:pStyle w:val="Heading1"/>
      </w:pPr>
      <w:r>
        <w:t>7 Données et contrôles</w:t>
      </w:r>
    </w:p>
    <w:p>
      <w:r>
        <w:t>Les données minimales sont le numéro et le contenu utile du ticket, l’horodatage du mail, la proposition de l’assistant, la décision de l’agent et la réponse finale lorsqu’elle est enregistrée. Les noms, coordonnées, pièces jointes et informations sensibles sont à limiter au strict besoin du pilote. Les droits d’accès, le lieu de stockage, la durée de conservation et l’utilisation éventuelle d’un service d’IA externe sont à valider avec les responsables internes avant toute mise en production.</w:t>
      </w:r>
    </w:p>
    <w:p>
      <w:r>
        <w:t>Les notifications peuvent contenir des instructions formulées par un demandeur. Elles sont traitées comme des données à analyser, et ne doivent jamais devenir des consignes pour l’assistant. La fiche doit conserver la trace des sources consultées et de la validation humaine. Aucun contenu n’est envoyé automatiquement au demandeur.</w:t>
      </w:r>
    </w:p>
    <w:p>
      <w:pPr>
        <w:pStyle w:val="Heading1"/>
      </w:pPr>
      <w:r>
        <w:t>8 Mise en œuvre proposée</w:t>
      </w:r>
    </w:p>
    <w:tbl>
      <w:tblPr>
        <w:tblW w:type="auto" w:w="0"/>
        <w:jc w:val="center"/>
        <w:tblLayout w:type="fixed"/>
        <w:tblLook w:firstColumn="1" w:firstRow="1" w:lastColumn="0" w:lastRow="0" w:noHBand="0" w:noVBand="1" w:val="04A0"/>
      </w:tblPr>
      <w:tblGrid>
        <w:gridCol w:w="1984"/>
        <w:gridCol w:w="7087"/>
      </w:tblGrid>
      <w:tr>
        <w:trPr>
          <w:tblHeader w:val="true"/>
        </w:trPr>
        <w:tc>
          <w:tcPr>
            <w:tcW w:type="dxa" w:w="1984"/>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Étape</w:t>
            </w:r>
          </w:p>
        </w:tc>
        <w:tc>
          <w:tcPr>
            <w:tcW w:type="dxa" w:w="7087"/>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Livrable et critère de passage</w:t>
            </w:r>
          </w:p>
        </w:tc>
      </w:tr>
      <w:t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1 Observer les données</w:t>
            </w:r>
          </w:p>
        </w:tc>
        <w:tc>
          <w:tcPr>
            <w:tcW w:type="dxa" w:w="708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Rassembler quelques notifications anonymisées et les réponses finales correspondantes. Confirmer la stabilité du numéro de ticket et les variantes de mails.</w:t>
            </w:r>
          </w:p>
        </w:tc>
      </w:tr>
      <w:tr>
        <w:tc>
          <w:tcPr>
            <w:tcW w:type="dxa" w:w="198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2 Construire le pilote</w:t>
            </w:r>
          </w:p>
        </w:tc>
        <w:tc>
          <w:tcPr>
            <w:tcW w:type="dxa" w:w="7087"/>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Créer le filtre Outlook, la fiche unique par ticket, l’analyse et le formulaire de retour. Tester le fonctionnement sur un périmètre limité.</w:t>
            </w:r>
          </w:p>
        </w:tc>
      </w:tr>
      <w:t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3 Évaluer avec les agents</w:t>
            </w:r>
          </w:p>
        </w:tc>
        <w:tc>
          <w:tcPr>
            <w:tcW w:type="dxa" w:w="708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Comparer les fiches aux réponses réelles sur un échantillon. Mesurer les erreurs, les abstentions, le temps gagné et la charge du retour manuel.</w:t>
            </w:r>
          </w:p>
        </w:tc>
      </w:tr>
      <w:tr>
        <w:tc>
          <w:tcPr>
            <w:tcW w:type="dxa" w:w="1984"/>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4 Étendre si utile</w:t>
            </w:r>
          </w:p>
        </w:tc>
        <w:tc>
          <w:tcPr>
            <w:tcW w:type="dxa" w:w="7087"/>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Ajouter les documentations validées, puis étudier un export ou une connexion EasyVista pour récupérer réponses, statuts et horodatages.</w:t>
            </w:r>
          </w:p>
        </w:tc>
      </w:tr>
    </w:tbl>
    <w:p>
      <w:pPr>
        <w:spacing w:after="20"/>
      </w:pPr>
    </w:p>
    <w:p>
      <w:pPr>
        <w:pStyle w:val="Heading1"/>
      </w:pPr>
      <w:r>
        <w:t>9 Critères de réussite du pilote</w:t>
      </w:r>
    </w:p>
    <w:p>
      <w:pPr>
        <w:pStyle w:val="ListBullet"/>
        <w:spacing w:after="60"/>
      </w:pPr>
      <w:r>
        <w:t>Chaque notification exploitable génère au plus une fiche par numéro de ticket, même si plusieurs messages concernent le même ticket.</w:t>
      </w:r>
    </w:p>
    <w:p>
      <w:pPr>
        <w:pStyle w:val="ListBullet"/>
        <w:spacing w:after="60"/>
      </w:pPr>
      <w:r>
        <w:t>Les agents distinguent immédiatement une pré-réponse sourcée, une demande de clarification et une absence de réponse fiable.</w:t>
      </w:r>
    </w:p>
    <w:p>
      <w:pPr>
        <w:pStyle w:val="ListBullet"/>
        <w:spacing w:after="60"/>
      </w:pPr>
      <w:r>
        <w:t>Une réponse finale validée peut être retrouvée pour un ticket similaire ; une réponse rejetée n’est pas réutilisée.</w:t>
      </w:r>
    </w:p>
    <w:p>
      <w:pPr>
        <w:pStyle w:val="ListBullet"/>
        <w:spacing w:after="60"/>
      </w:pPr>
      <w:r>
        <w:t>Le tableau de bord expose les volumes et les dénominateurs de chaque taux, ainsi que la couverture réelle des retours.</w:t>
      </w:r>
    </w:p>
    <w:p>
      <w:pPr>
        <w:pStyle w:val="ListBullet"/>
        <w:spacing w:after="60"/>
      </w:pPr>
      <w:r>
        <w:t>L’équipe juge que le temps consacré au retour après réponse reste acceptable au regard de l’aide obtenue.</w:t>
      </w:r>
    </w:p>
    <w:p>
      <w:pPr>
        <w:pStyle w:val="Heading1"/>
      </w:pPr>
      <w:r>
        <w:t>10 Tâches complémentaires à prévoir</w:t>
      </w:r>
    </w:p>
    <w:p>
      <w:r>
        <w:t>Ces fonctions apportent une valeur supplémentaire avec les données du pilote. Elles restent soumises à la vérification des agents et peuvent être activées progressivement, après stabilisation de la fiche de pré-réponse.</w:t>
      </w:r>
    </w:p>
    <w:tbl>
      <w:tblPr>
        <w:tblW w:type="auto" w:w="0"/>
        <w:jc w:val="center"/>
        <w:tblLayout w:type="fixed"/>
        <w:tblLook w:firstColumn="1" w:firstRow="1" w:lastColumn="0" w:lastRow="0" w:noHBand="0" w:noVBand="1" w:val="04A0"/>
      </w:tblPr>
      <w:tblGrid>
        <w:gridCol w:w="2438"/>
        <w:gridCol w:w="3742"/>
        <w:gridCol w:w="2891"/>
      </w:tblGrid>
      <w:tr>
        <w:trPr>
          <w:tblHeader w:val="true"/>
        </w:trPr>
        <w:tc>
          <w:tcPr>
            <w:tcW w:type="dxa" w:w="2438"/>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Tâche</w:t>
            </w:r>
          </w:p>
        </w:tc>
        <w:tc>
          <w:tcPr>
            <w:tcW w:type="dxa" w:w="3742"/>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Résultat attendu</w:t>
            </w:r>
          </w:p>
        </w:tc>
        <w:tc>
          <w:tcPr>
            <w:tcW w:type="dxa" w:w="2891"/>
            <w:shd w:fill="DDE7F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b/>
                <w:sz w:val="17"/>
              </w:rPr>
              <w:t>Condition de mise en œuvre</w:t>
            </w:r>
          </w:p>
        </w:tc>
      </w:tr>
      <w:tr>
        <w:tc>
          <w:tcPr>
            <w:tcW w:type="dxa" w:w="243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Repérer les afflux de demandes similaires</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Signaler plusieurs notifications proches sur une courte période et afficher les numéros de tickets concernés. L’équipe peut ainsi vérifier s’il s’agit d’un incident collectif.</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Définir les seuils d’alerte et éviter les doublons ; aucune fusion automatique des tickets.</w:t>
            </w:r>
          </w:p>
        </w:tc>
      </w:tr>
      <w:tr>
        <w:tc>
          <w:tcPr>
            <w:tcW w:type="dxa" w:w="2438"/>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Aider à orienter les tickets</w:t>
            </w:r>
          </w:p>
        </w:tc>
        <w:tc>
          <w:tcPr>
            <w:tcW w:type="dxa" w:w="3742"/>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Suggérer une catégorie, une priorité ou un spécialiste à consulter lorsque la demande sort du traitement habituel du groupe.</w:t>
            </w:r>
          </w:p>
        </w:tc>
        <w:tc>
          <w:tcPr>
            <w:tcW w:type="dxa" w:w="2891"/>
            <w:shd w:fill="F7F9FB"/>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Faire valider la suggestion par un agent ; confirmer les règles de priorité et d’escalade du service.</w:t>
            </w:r>
          </w:p>
        </w:tc>
      </w:tr>
      <w:tr>
        <w:tc>
          <w:tcPr>
            <w:tcW w:type="dxa" w:w="243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Repérer les lacunes documentaires</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Lister les sujets répétés sans source fiable et préparer une proposition de fiche de connaissance à partir de réponses finales validées.</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line="259" w:lineRule="auto"/>
            </w:pPr>
            <w:r>
              <w:rPr>
                <w:sz w:val="17"/>
              </w:rPr>
              <w:t>Nommer un responsable de publication ; ne rendre la fiche consultable qu’après sa validation.</w:t>
            </w:r>
          </w:p>
        </w:tc>
      </w:tr>
    </w:tbl>
    <w:p>
      <w:pPr>
        <w:spacing w:after="20"/>
      </w:pPr>
    </w:p>
    <w:p>
      <w:pPr>
        <w:pStyle w:val="Heading1"/>
      </w:pPr>
      <w:r>
        <w:t>11 Points à confirmer avant réalisation</w:t>
      </w:r>
    </w:p>
    <w:p>
      <w:pPr>
        <w:pStyle w:val="ListNumber"/>
        <w:spacing w:after="80"/>
      </w:pPr>
      <w:r>
        <w:t>Obtenir des exemples anonymisés de notifications et de réponses EasyVista pour établir les règles d’extraction et le format de la fiche.</w:t>
      </w:r>
    </w:p>
    <w:p>
      <w:pPr>
        <w:pStyle w:val="ListNumber"/>
        <w:spacing w:after="80"/>
      </w:pPr>
      <w:r>
        <w:t>Identifier le groupe pilote, le volume hebdomadaire, les catégories de tickets et la personne chargée de valider les cas réutilisables.</w:t>
      </w:r>
    </w:p>
    <w:p>
      <w:pPr>
        <w:pStyle w:val="ListNumber"/>
        <w:spacing w:after="80"/>
      </w:pPr>
      <w:r>
        <w:t>Choisir où l’agent affichera sa fiche et où la réponse finale sera enregistrée, en tenant compte des outils déjà autorisés dans l’entreprise.</w:t>
      </w:r>
    </w:p>
    <w:p>
      <w:pPr>
        <w:pStyle w:val="ListNumber"/>
        <w:spacing w:after="80"/>
      </w:pPr>
      <w:r>
        <w:t>Recenser les documents de référence disponibles et définir leur responsable de mise à jour.</w:t>
      </w:r>
    </w:p>
    <w:p>
      <w:pPr>
        <w:pStyle w:val="ListNumber"/>
        <w:spacing w:after="80"/>
      </w:pPr>
      <w:r>
        <w:t>Valider avec les équipes internes les conditions d’accès aux mails et de traitement des données support.</w:t>
      </w:r>
    </w:p>
    <w:p>
      <w:pPr>
        <w:pStyle w:val="Heading1"/>
      </w:pPr>
      <w:r>
        <w:t>Références techniques</w:t>
      </w:r>
    </w:p>
    <w:p>
      <w:pPr>
        <w:pStyle w:val="Small"/>
      </w:pPr>
      <w:r>
        <w:t>Microsoft, Déclencher un flux cloud selon les propriétés d’un courrier électronique : https://learn.microsoft.com/en-us/power-automate/email-triggers</w:t>
      </w:r>
    </w:p>
    <w:p>
      <w:pPr>
        <w:pStyle w:val="Small"/>
      </w:pPr>
      <w:r>
        <w:t>Microsoft, Connecteur Office 365 Outlook et déclencheur pour boîte partagée : https://learn.microsoft.com/en-us/connectors/office365connector/</w:t>
      </w:r>
    </w:p>
    <w:p>
      <w:pPr>
        <w:pStyle w:val="Small"/>
      </w:pPr>
      <w:r>
        <w:t>Microsoft, Notifications de changements Outlook dans Microsoft Graph : https://learn.microsoft.com/en-us/graph/outlook-change-notifications-overview</w:t>
      </w:r>
    </w:p>
    <w:sectPr w:rsidR="00FC693F" w:rsidRPr="0006063C" w:rsidSect="00034616">
      <w:footerReference w:type="default" r:id="rId9"/>
      <w:pgSz w:w="12240" w:h="15840"/>
      <w:pgMar w:top="1191"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Dossier de cadrage  •  29 septembre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cadrage pour un agent de support EasyVista</dc:title>
  <dc:subject>Pilote Outlook et capitalisation des réponses EasyVista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