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/>
        </w:tc>
      </w:tr>
    </w:tbl>
    <w:p>
      <w:pPr>
        <w:spacing w:after="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7285" w:val="clear"/>
            <w:tcMar>
              <w:top w:type="dxa" w:w="14"/>
              <w:left w:type="dxa" w:w="0"/>
              <w:bottom w:type="dxa" w:w="14"/>
              <w:right w:type="dxa" w:w="0"/>
            </w:tcMar>
          </w:tcPr>
          <w:p/>
        </w:tc>
      </w:tr>
    </w:tbl>
    <w:p>
      <w:pPr>
        <w:spacing w:after="160" w:before="1400"/>
        <w:jc w:val="center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MGP Inc. — GIS &amp; Web Applications</w:t>
      </w:r>
    </w:p>
    <w:p>
      <w:pPr>
        <w:spacing w:after="1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La Grange Parking Apps</w:t>
      </w:r>
    </w:p>
    <w:p>
      <w:pPr>
        <w:spacing w:after="320"/>
        <w:jc w:val="center"/>
      </w:pPr>
      <w:r>
        <w:rPr>
          <w:rFonts w:ascii="Arial" w:cs="Arial" w:eastAsia="Arial" w:hAnsi="Arial"/>
          <w:b/>
          <w:bCs/>
          <w:color w:val="0B7285"/>
          <w:spacing w:val="60"/>
          <w:sz w:val="26"/>
          <w:szCs w:val="26"/>
        </w:rPr>
        <w:t xml:space="preserve">DEVELOPER GUIDE</w:t>
      </w:r>
    </w:p>
    <w:tbl>
      <w:tblPr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4933950" cy="3086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395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spacing w:after="220"/>
        <w:jc w:val="center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What the two parking maps are, where every piece of content lives, and how to edit, verify, and deploy safely.</w:t>
      </w:r>
    </w:p>
    <w:p>
      <w:pPr>
        <w:spacing w:after="70"/>
        <w:jc w:val="center"/>
      </w:pPr>
      <w:hyperlink w:history="1" r:id="rIdwyplfmkdtama7-2ov21ny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Permit app — mango-cliff-087d26410.7.azurestaticapps.net</w:t>
        </w:r>
      </w:hyperlink>
    </w:p>
    <w:p>
      <w:pPr>
        <w:spacing w:after="220"/>
        <w:jc w:val="center"/>
      </w:pPr>
      <w:hyperlink w:history="1" r:id="rIdxsaeen9c8epfpk4gn_pkl">
        <w:r>
          <w:rPr>
            <w:rFonts w:ascii="Arial" w:cs="Arial" w:eastAsia="Arial" w:hAnsi="Arial"/>
            <w:color w:val="2E74B5"/>
            <w:sz w:val="20"/>
            <w:szCs w:val="20"/>
            <w:u w:val="single"/>
          </w:rPr>
          <w:t xml:space="preserve">Public app — ashy-mud-0b906db10.7.azurestaticapps.net</w:t>
        </w:r>
      </w:hyperlink>
    </w:p>
    <w:p>
      <w:pPr>
        <w:jc w:val="center"/>
      </w:pPr>
      <w:r>
        <w:rPr>
          <w:rFonts w:ascii="Arial" w:cs="Arial" w:eastAsia="Arial" w:hAnsi="Arial"/>
          <w:i/>
          <w:iCs/>
          <w:color w:val="808080"/>
          <w:sz w:val="17"/>
          <w:szCs w:val="17"/>
        </w:rPr>
        <w:t xml:space="preserve">September 2026 · regenerated by scripts/generate-dev-guide.mjs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If page numbers are missing, right-click the table and choose "Update Field".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E5E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★</w:t>
            </w:r>
          </w:p>
        </w:tc>
        <w:tc>
          <w:tcPr>
            <w:tcW w:type="pct" w:w="9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Quick Reference — 90% of the job on one page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Quick Reference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0B7285" w:sz="6"/>
              <w:left w:val="single" w:color="0B7285" w:sz="6"/>
              <w:bottom w:val="single" w:color="0B7285" w:sz="6"/>
              <w:right w:val="single" w:color="0B7285" w:sz="6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p>
            <w:pPr>
              <w:shd w:fill="0B7285" w:val="clear"/>
              <w:spacing w:after="90"/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▶  Run it locally</w:t>
            </w:r>
          </w:p>
          <w:p>
            <w:pPr>
              <w:spacing w:after="45"/>
              <w:ind w:left="140" w:right="10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npm install</w:t>
            </w:r>
          </w:p>
          <w:p>
            <w:pPr>
              <w:spacing w:after="45"/>
              <w:ind w:left="140" w:right="10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npm run dev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   → permit app</w:t>
            </w:r>
          </w:p>
          <w:p>
            <w:pPr>
              <w:spacing w:after="45"/>
              <w:ind w:left="140" w:right="10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npm run dev:public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   → public app</w:t>
            </w:r>
          </w:p>
          <w:p>
            <w:pPr>
              <w:spacing w:after="70"/>
              <w:ind w:left="140" w:right="100"/>
            </w:pP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No .env needed — a fresh clone just runs.</w:t>
            </w:r>
          </w:p>
        </w:tc>
        <w:tc>
          <w:tcPr>
            <w:tcW w:type="pct" w:w="50%"/>
            <w:tcBorders>
              <w:top w:val="single" w:color="5B4B9E" w:sz="6"/>
              <w:left w:val="single" w:color="5B4B9E" w:sz="6"/>
              <w:bottom w:val="single" w:color="5B4B9E" w:sz="6"/>
              <w:right w:val="single" w:color="5B4B9E" w:sz="6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p>
            <w:pPr>
              <w:shd w:fill="5B4B9E" w:val="clear"/>
              <w:spacing w:after="90"/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✎  Edit content</w:t>
            </w:r>
          </w:p>
          <w:p>
            <w:pPr>
              <w:spacing w:after="45"/>
              <w:ind w:left="140" w:right="100"/>
            </w:pP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Nearly everything is JSON, not code:</w:t>
            </w:r>
          </w:p>
          <w:p>
            <w:pPr>
              <w:spacing w:after="45"/>
              <w:ind w:left="140" w:right="10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public/profiles/lagrange-permit.json</w:t>
            </w:r>
          </w:p>
          <w:p>
            <w:pPr>
              <w:spacing w:after="45"/>
              <w:ind w:left="140" w:right="10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public/profiles/lagrange-public.json</w:t>
            </w:r>
          </w:p>
          <w:p>
            <w:pPr>
              <w:spacing w:after="70"/>
              <w:ind w:left="140" w:right="100"/>
            </w:pP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Property reference: </w:t>
            </w: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src/config/types.ts</w:t>
            </w:r>
          </w:p>
        </w:tc>
      </w:tr>
      <w:tr>
        <w:tc>
          <w:tcPr>
            <w:tcW w:type="pct" w:w="50%"/>
            <w:tcBorders>
              <w:top w:val="single" w:color="2F7D32" w:sz="6"/>
              <w:left w:val="single" w:color="2F7D32" w:sz="6"/>
              <w:bottom w:val="single" w:color="2F7D32" w:sz="6"/>
              <w:right w:val="single" w:color="2F7D32" w:sz="6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p>
            <w:pPr>
              <w:shd w:fill="2F7D32" w:val="clear"/>
              <w:spacing w:after="90"/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  Verify</w:t>
            </w:r>
          </w:p>
          <w:p>
            <w:pPr>
              <w:spacing w:after="45"/>
              <w:ind w:left="140" w:right="10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node scripts/verify-permit-pages.mjs</w:t>
            </w:r>
          </w:p>
          <w:p>
            <w:pPr>
              <w:spacing w:after="45"/>
              <w:ind w:left="140" w:right="10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node scripts/verify-basemaps.mjs</w:t>
            </w:r>
          </w:p>
          <w:p>
            <w:pPr>
              <w:spacing w:after="70"/>
              <w:ind w:left="140" w:right="100"/>
            </w:pP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Then click through the pages you touched.</w:t>
            </w:r>
          </w:p>
        </w:tc>
        <w:tc>
          <w:tcPr>
            <w:tcW w:type="pct" w:w="50%"/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tcMar>
              <w:top w:type="dxa" w:w="0"/>
              <w:left w:type="dxa" w:w="0"/>
              <w:bottom w:type="dxa" w:w="120"/>
              <w:right w:type="dxa" w:w="0"/>
            </w:tcMar>
            <w:vAlign w:val="top"/>
          </w:tcPr>
          <w:p>
            <w:pPr>
              <w:shd w:fill="B45309" w:val="clear"/>
              <w:spacing w:after="90"/>
              <w:ind w:left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⇪  Deploy</w:t>
            </w:r>
          </w:p>
          <w:p>
            <w:pPr>
              <w:spacing w:after="45"/>
              <w:ind w:left="140" w:right="10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npm run build</w:t>
            </w:r>
          </w:p>
          <w:p>
            <w:pPr>
              <w:spacing w:after="45"/>
              <w:ind w:left="140" w:right="100"/>
            </w:pP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git push origin master:main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  ← not plain push!</w:t>
            </w:r>
          </w:p>
          <w:p>
            <w:pPr>
              <w:spacing w:after="70"/>
              <w:ind w:left="140" w:right="100"/>
            </w:pP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SWA deploy — see Chapter 6.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538135" w:sz="24"/>
              <w:left w:val="single" w:color="538135" w:sz="6"/>
              <w:bottom w:val="single" w:color="538135" w:sz="6"/>
              <w:right w:val="single" w:color="538135" w:sz="6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538135"/>
                <w:sz w:val="23"/>
                <w:szCs w:val="23"/>
              </w:rPr>
              <w:t xml:space="preserve">✓  DO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538135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Edit profiles (</w:t>
            </w: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*.json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) for content changes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538135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Keep </w:t>
            </w:r>
            <w:r>
              <w:rPr>
                <w:rFonts w:ascii="Arial" w:cs="Arial" w:eastAsia="Arial" w:hAnsi="Arial"/>
                <w:b/>
                <w:bCs/>
                <w:color w:val="2B2B2B"/>
                <w:sz w:val="21"/>
                <w:szCs w:val="21"/>
              </w:rPr>
              <w:t xml:space="preserve">tab.areaIds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 exactly as the Village lists lots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538135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Read </w:t>
            </w: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docs/BACKLOG.md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 before "fixing" a bug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538135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Run the verify scripts before showing the Village</w:t>
            </w:r>
          </w:p>
        </w:tc>
        <w:tc>
          <w:tcPr>
            <w:tcW w:type="pct" w:w="50%"/>
            <w:tcBorders>
              <w:top w:val="single" w:color="C00000" w:sz="24"/>
              <w:left w:val="single" w:color="C00000" w:sz="6"/>
              <w:bottom w:val="single" w:color="C00000" w:sz="6"/>
              <w:right w:val="single" w:color="C00000" w:sz="6"/>
            </w:tcBorders>
            <w:shd w:fill="FBE4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00000"/>
                <w:sz w:val="23"/>
                <w:szCs w:val="23"/>
              </w:rPr>
              <w:t xml:space="preserve">✗  DON'T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 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Show pricing anywhere (RATE_TEXT exists — never surface it)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 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Use the word "decal" in user-visible text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 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Hardcode field names, lot ids, or copy in components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 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Add a landing page / layout chooser (removed on purpose)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74E5B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pct" w:w="9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7285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The Two Apps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0B7285"/>
          <w:sz w:val="26"/>
          <w:szCs w:val="26"/>
        </w:rPr>
        <w:t xml:space="preserve">1. The Two Apps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B7285"/>
                <w:sz w:val="44"/>
                <w:szCs w:val="44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>codebase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B7285"/>
                <w:sz w:val="44"/>
                <w:szCs w:val="44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>static apps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4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B7285"/>
                <w:sz w:val="44"/>
                <w:szCs w:val="44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>permit pages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B7285"/>
                <w:sz w:val="44"/>
                <w:szCs w:val="44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08080"/>
                <w:sz w:val="18"/>
                <w:szCs w:val="18"/>
              </w:rPr>
              <w:t xml:space="preserve">servers · logins · databases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B9E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Profiles (JSON)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public/profiles/* — ALL content: tabs, lots, text, colors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30"/>
                <w:szCs w:val="30"/>
              </w:rPr>
              <w:t xml:space="preserve">→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7285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Two React apps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Guided Finder (permit) · Explorer (public) — static SPAs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30"/>
                <w:szCs w:val="30"/>
              </w:rPr>
              <w:t xml:space="preserve">→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ArcGIS Online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hosted feature services — anonymous, read-only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30"/>
                <w:szCs w:val="30"/>
              </w:rPr>
              <w:t xml:space="preserve">↓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Azure Static Web Apps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Free plan · one resource per app · manual deploy</w:t>
            </w:r>
          </w:p>
        </w:tc>
        <w:tc>
          <w:tcPr>
            <w:tcW w:type="pct" w:w="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What is deployed is the reference for "how it should look" — keep a live site open next to your dev server.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72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pct" w:w="3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72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it serves</w:t>
            </w:r>
          </w:p>
        </w:tc>
        <w:tc>
          <w:tcPr>
            <w:tcW w:type="pct" w:w="2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72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Runs with</w:t>
            </w:r>
          </w:p>
        </w:tc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72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 site</w:t>
            </w:r>
          </w:p>
        </w:tc>
      </w:tr>
      <w:tr>
        <w:tc>
          <w:tcPr>
            <w:tcW w:type="pct" w:w="1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Permit</w:t>
            </w:r>
          </w:p>
        </w:tc>
        <w:tc>
          <w:tcPr>
            <w:tcW w:type="pct" w:w="3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4 permit-type pages</w:t>
            </w:r>
          </w:p>
        </w:tc>
        <w:tc>
          <w:tcPr>
            <w:tcW w:type="pct" w:w="2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npm run dev</w:t>
            </w:r>
          </w:p>
        </w:tc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n_zktv4_lcrnkyquxjyo">
              <w:r>
                <w:rPr>
                  <w:rFonts w:ascii="Arial" w:cs="Arial" w:eastAsia="Arial" w:hAnsi="Arial"/>
                  <w:color w:val="2E74B5"/>
                  <w:sz w:val="20"/>
                  <w:szCs w:val="20"/>
                  <w:u w:val="single"/>
                </w:rPr>
                <w:t xml:space="preserve">mango-cliff-087d26410…</w:t>
              </w:r>
            </w:hyperlink>
          </w:p>
        </w:tc>
      </w:tr>
      <w:tr>
        <w:tc>
          <w:tcPr>
            <w:tcW w:type="pct" w:w="1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Public</w:t>
            </w:r>
          </w:p>
        </w:tc>
        <w:tc>
          <w:tcPr>
            <w:tcW w:type="pct" w:w="3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Visitors — time-based parking</w:t>
            </w:r>
          </w:p>
        </w:tc>
        <w:tc>
          <w:tcPr>
            <w:tcW w:type="pct" w:w="2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npm run dev:public</w:t>
            </w:r>
          </w:p>
        </w:tc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7llmofgjygenhv0atbmeo">
              <w:r>
                <w:rPr>
                  <w:rFonts w:ascii="Arial" w:cs="Arial" w:eastAsia="Arial" w:hAnsi="Arial"/>
                  <w:color w:val="2E74B5"/>
                  <w:sz w:val="20"/>
                  <w:szCs w:val="20"/>
                  <w:u w:val="single"/>
                </w:rPr>
                <w:t xml:space="preserve">ashy-mud-0b906db10…</w:t>
              </w:r>
            </w:hyperlink>
          </w:p>
        </w:tc>
      </w:tr>
    </w:tbl>
    <w:p>
      <w:pPr>
        <w:spacing w:after="120"/>
      </w:pPr>
    </w:p>
    <w:tbl>
      <w:tblPr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581650" cy="3486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1650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The permit app — the visitor picks a permit type, then sees only that page’s lots and rules (the "Guided Finder").</w:t>
      </w:r>
    </w:p>
    <w:tbl>
      <w:tblPr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581650" cy="3486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1650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The public app — legend categories, consolidated on-street row, and the lot list.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2B2B2B"/>
          <w:sz w:val="21"/>
          <w:szCs w:val="21"/>
        </w:rPr>
        <w:t xml:space="preserve">Stack: </w:t>
      </w:r>
      <w:r>
        <w:rPr>
          <w:rFonts w:ascii="Arial" w:cs="Arial" w:eastAsia="Arial" w:hAnsi="Arial"/>
          <w:color w:val="2B2B2B"/>
          <w:sz w:val="21"/>
          <w:szCs w:val="21"/>
        </w:rPr>
        <w:t xml:space="preserve">React 19 · TypeScript · Vite 7 · ArcGIS JS SDK v5 — hooks only, no state library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2B2B2B"/>
          <w:sz w:val="21"/>
          <w:szCs w:val="21"/>
        </w:rPr>
        <w:t xml:space="preserve">Hidden layouts: </w:t>
      </w:r>
      <w:r>
        <w:rPr>
          <w:rFonts w:ascii="Consolas" w:cs="Consolas" w:eastAsia="Consolas" w:hAnsi="Consolas"/>
          <w:color w:val="2B2B2B"/>
          <w:sz w:val="19"/>
          <w:szCs w:val="19"/>
        </w:rPr>
        <w:t xml:space="preserve">#/explorer</w:t>
      </w:r>
      <w:r>
        <w:rPr>
          <w:rFonts w:ascii="Arial" w:cs="Arial" w:eastAsia="Arial" w:hAnsi="Arial"/>
          <w:color w:val="2B2B2B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2B2B2B"/>
          <w:sz w:val="19"/>
          <w:szCs w:val="19"/>
        </w:rPr>
        <w:t xml:space="preserve">#/directory</w:t>
      </w:r>
      <w:r>
        <w:rPr>
          <w:rFonts w:ascii="Arial" w:cs="Arial" w:eastAsia="Arial" w:hAnsi="Arial"/>
          <w:color w:val="2B2B2B"/>
          <w:sz w:val="21"/>
          <w:szCs w:val="21"/>
        </w:rPr>
        <w:t xml:space="preserve"> exist for internal comparison only — nothing links to them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color w:val="2B2B2B"/>
          <w:sz w:val="21"/>
          <w:szCs w:val="21"/>
        </w:rPr>
        <w:t xml:space="preserve">Stale copy: </w:t>
      </w:r>
      <w:r>
        <w:rPr>
          <w:rFonts w:ascii="Arial" w:cs="Arial" w:eastAsia="Arial" w:hAnsi="Arial"/>
          <w:color w:val="2B2B2B"/>
          <w:sz w:val="21"/>
          <w:szCs w:val="21"/>
        </w:rPr>
        <w:t xml:space="preserve">the nested </w:t>
      </w:r>
      <w:r>
        <w:rPr>
          <w:rFonts w:ascii="Consolas" w:cs="Consolas" w:eastAsia="Consolas" w:hAnsi="Consolas"/>
          <w:color w:val="2B2B2B"/>
          <w:sz w:val="19"/>
          <w:szCs w:val="19"/>
        </w:rPr>
        <w:t xml:space="preserve">lagrange-parking/</w:t>
      </w:r>
      <w:r>
        <w:rPr>
          <w:rFonts w:ascii="Arial" w:cs="Arial" w:eastAsia="Arial" w:hAnsi="Arial"/>
          <w:color w:val="2B2B2B"/>
          <w:sz w:val="21"/>
          <w:szCs w:val="21"/>
        </w:rPr>
        <w:t xml:space="preserve"> folder is an old duplicate — never touch it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72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 this…</w:t>
            </w:r>
          </w:p>
        </w:tc>
        <w:tc>
          <w:tcPr>
            <w:tcW w:type="pct" w:w="65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728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…when you need</w:t>
            </w:r>
          </w:p>
        </w:tc>
      </w:tr>
      <w:tr>
        <w:tc>
          <w:tcPr>
            <w:tcW w:type="pct" w:w="35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docs/PROJECT-CONTEXT.md</w:t>
            </w:r>
          </w:p>
        </w:tc>
        <w:tc>
          <w:tcPr>
            <w:tcW w:type="pct" w:w="65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Who the client is, content rules, dated "Current state" block</w:t>
            </w:r>
          </w:p>
        </w:tc>
      </w:tr>
      <w:tr>
        <w:tc>
          <w:tcPr>
            <w:tcW w:type="pct" w:w="35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docs/DATA.md</w:t>
            </w:r>
          </w:p>
        </w:tc>
        <w:tc>
          <w:tcPr>
            <w:tcW w:type="pct" w:w="65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Data pipeline + every known data defect the app works around</w:t>
            </w:r>
          </w:p>
        </w:tc>
      </w:tr>
      <w:tr>
        <w:tc>
          <w:tcPr>
            <w:tcW w:type="pct" w:w="35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docs/BACKLOG.md</w:t>
            </w:r>
          </w:p>
        </w:tc>
        <w:tc>
          <w:tcPr>
            <w:tcW w:type="pct" w:w="65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Open items — check before changing behaviour</w:t>
            </w:r>
          </w:p>
        </w:tc>
      </w:tr>
      <w:tr>
        <w:tc>
          <w:tcPr>
            <w:tcW w:type="pct" w:w="35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CLAUDE.md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  ·  </w:t>
            </w: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DEPLOY.md</w:t>
            </w:r>
          </w:p>
        </w:tc>
        <w:tc>
          <w:tcPr>
            <w:tcW w:type="pct" w:w="65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Condensed working notes · deploy runbook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31A27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pct" w:w="9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62639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Content Rules — Non-Negotiable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A62639"/>
          <w:sz w:val="26"/>
          <w:szCs w:val="26"/>
        </w:rPr>
        <w:t xml:space="preserve">2. Content Rules — Non-Negotiable</w:t>
      </w:r>
    </w:p>
    <w:p>
      <w:pPr>
        <w:spacing w:after="12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From the Village stakeholder (Charity). Easy to violate by accident — check every change against this table.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538135" w:sz="24"/>
              <w:left w:val="single" w:color="538135" w:sz="6"/>
              <w:bottom w:val="single" w:color="538135" w:sz="6"/>
              <w:right w:val="single" w:color="538135" w:sz="6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538135"/>
                <w:sz w:val="23"/>
                <w:szCs w:val="23"/>
              </w:rPr>
              <w:t xml:space="preserve">✓  DO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538135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Plain-language guidance: "where you may park"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538135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Treat </w:t>
            </w:r>
            <w:r>
              <w:rPr>
                <w:rFonts w:ascii="Arial" w:cs="Arial" w:eastAsia="Arial" w:hAnsi="Arial"/>
                <w:b/>
                <w:bCs/>
                <w:color w:val="2B2B2B"/>
                <w:sz w:val="21"/>
                <w:szCs w:val="21"/>
              </w:rPr>
              <w:t xml:space="preserve">tab.areaIds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 as the Village’s verbatim, binding lot list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538135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Keep per-lot cards minimal — the sidebar "What you need to know" is the star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538135"/>
                <w:sz w:val="20"/>
                <w:szCs w:val="20"/>
              </w:rPr>
              <w:t xml:space="preserve">✓ 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Get stakeholder sign-off before adding attribute rows back</w:t>
            </w:r>
          </w:p>
        </w:tc>
        <w:tc>
          <w:tcPr>
            <w:tcW w:type="pct" w:w="50%"/>
            <w:tcBorders>
              <w:top w:val="single" w:color="C00000" w:sz="24"/>
              <w:left w:val="single" w:color="C00000" w:sz="6"/>
              <w:bottom w:val="single" w:color="C00000" w:sz="6"/>
              <w:right w:val="single" w:color="C00000" w:sz="6"/>
            </w:tcBorders>
            <w:shd w:fill="FBE4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00000"/>
                <w:sz w:val="23"/>
                <w:szCs w:val="23"/>
              </w:rPr>
              <w:t xml:space="preserve">✗  DON'T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 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Pricing — RATE_TEXT / RATE_MONTHLY are populated but banned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 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"Decal" — survives only as internal RULETYPE codes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 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Ordinance / legalese text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 </w:t>
            </w:r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Data-derived lot lists replacing the Village’s list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5309" w:sz="6"/>
              <w:left w:val="single" w:color="B45309" w:sz="24"/>
              <w:bottom w:val="single" w:color="B45309" w:sz="6"/>
              <w:right w:val="single" w:color="B45309" w:sz="6"/>
            </w:tcBorders>
            <w:shd w:fill="FFF3D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⚠  Several "bugs" are decisions, not bugs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Lots with empty detail cards, 5 lint errors on main, odd RULETYPE values — all known, with decisions recorded in </w:t>
            </w: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docs/BACKLOG.md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. Read it before changing behaviour.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421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pct" w:w="9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7D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Common Edits — Recipes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2F7D32"/>
          <w:sz w:val="26"/>
          <w:szCs w:val="26"/>
        </w:rPr>
        <w:t xml:space="preserve">3. Common Edits — Recipes</w:t>
      </w:r>
    </w:p>
    <w:p>
      <w:pPr>
        <w:spacing w:after="12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Every recipe is a JSON edit — no component changes. Dev: save + hard-reload. Production: deploy (Chapter 6). Property reference: </w:t>
      </w:r>
      <w:r>
        <w:rPr>
          <w:rFonts w:ascii="Consolas" w:cs="Consolas" w:eastAsia="Consolas" w:hAnsi="Consolas"/>
          <w:color w:val="2B2B2B"/>
          <w:sz w:val="19"/>
          <w:szCs w:val="19"/>
        </w:rPr>
        <w:t xml:space="preserve">src/config/types.ts</w:t>
      </w:r>
      <w:r>
        <w:rPr>
          <w:rFonts w:ascii="Arial" w:cs="Arial" w:eastAsia="Arial" w:hAnsi="Arial"/>
          <w:color w:val="2B2B2B"/>
          <w:sz w:val="21"/>
          <w:szCs w:val="21"/>
        </w:rPr>
        <w:t xml:space="preserve">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F7D32"/>
          <w:sz w:val="23"/>
          <w:szCs w:val="23"/>
        </w:rPr>
        <w:t xml:space="preserve">3.1 — Change sidebar text on a permit page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F7D3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pct" w:w="8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lagrange-permit.json</w:t>
            </w:r>
          </w:p>
        </w:tc>
      </w:tr>
      <w:tr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F7D3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Edit</w:t>
            </w:r>
          </w:p>
        </w:tc>
        <w:tc>
          <w:tcPr>
            <w:tcW w:type="pct" w:w="8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Find the tab by </w:t>
            </w: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id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 → edit </w:t>
            </w: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guide.sections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 bullets (support nested </w:t>
            </w: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items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 + </w:t>
            </w: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links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)</w:t>
            </w:r>
          </w:p>
        </w:tc>
      </w:tr>
      <w:tr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F7D3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Verify</w:t>
            </w:r>
          </w:p>
        </w:tc>
        <w:tc>
          <w:tcPr>
            <w:tcW w:type="pct" w:w="8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Hard-reload, read the page</w:t>
            </w:r>
          </w:p>
        </w:tc>
      </w:tr>
    </w:tbl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Example: adding "Effective October 1st, …" to two resident bullets was a one-line edit each.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F7D32"/>
          <w:sz w:val="23"/>
          <w:szCs w:val="23"/>
        </w:rPr>
        <w:t xml:space="preserve">3.2 — Add / remove a lot on a permit page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F7D3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pct" w:w="8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lagrange-permit.json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  →  the tab’s </w:t>
            </w: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areaIds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 array</w:t>
            </w:r>
          </w:p>
        </w:tc>
      </w:tr>
      <w:tr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F7D3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Also</w:t>
            </w:r>
          </w:p>
        </w:tc>
        <w:tc>
          <w:tcPr>
            <w:tcW w:type="pct" w:w="8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Update guide text if it names lots ("valid anywhere within Lot 2 and Lot 4")</w:t>
            </w:r>
          </w:p>
        </w:tc>
      </w:tr>
      <w:tr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F7D3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Verify</w:t>
            </w:r>
          </w:p>
        </w:tc>
        <w:tc>
          <w:tcPr>
            <w:tcW w:type="pct" w:w="8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node scripts/verify-permit-pages.mjs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 — every id must resolve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5309" w:sz="6"/>
              <w:left w:val="single" w:color="B45309" w:sz="24"/>
              <w:bottom w:val="single" w:color="B45309" w:sz="6"/>
              <w:right w:val="single" w:color="B45309" w:sz="6"/>
            </w:tcBorders>
            <w:shd w:fill="FFF3D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⚠  The lot must also pass the layer baseWhere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Permit app filter: </w:t>
            </w: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USERCLASS = 'PERMIT'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. A VISITOR-class lot will be listed but never draw — check with an anonymous query first (Chapter 4).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F7D32"/>
          <w:sz w:val="23"/>
          <w:szCs w:val="23"/>
        </w:rPr>
        <w:t xml:space="preserve">3.3 — Rename a lot / add a note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F7D3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Rename</w:t>
            </w:r>
          </w:p>
        </w:tc>
        <w:tc>
          <w:tcPr>
            <w:tcW w:type="pct" w:w="8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profile.nameOverrides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 keyed by AREAID — e.g. </w:t>
            </w: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"VILLAGEHALLPARKINGSTRUCTURE": "VH Garage"</w:t>
            </w:r>
          </w:p>
        </w:tc>
      </w:tr>
      <w:tr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F7D3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  <w:tc>
          <w:tcPr>
            <w:tcW w:type="pct" w:w="8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tab.note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 (every card) · </w:t>
            </w: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tab.lotNotes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 (per lot) · </w:t>
            </w: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tab.lotSubzoneNotes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 (green callout style)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F7D32"/>
          <w:sz w:val="23"/>
          <w:szCs w:val="23"/>
        </w:rPr>
        <w:t xml:space="preserve">3.4 — Designated spaces inside a lot</w:t>
      </w:r>
    </w:p>
    <w:p>
      <w:pPr>
        <w:spacing w:after="12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Two mechanisms — the same lot can use either, per page: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F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pct" w:w="45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F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draws</w:t>
            </w:r>
          </w:p>
        </w:tc>
        <w:tc>
          <w:tcPr>
            <w:tcW w:type="pct" w:w="35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F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Turned on by</w:t>
            </w:r>
          </w:p>
        </w:tc>
      </w:tr>
      <w:tr>
        <w:tc>
          <w:tcPr>
            <w:tcW w:type="pct" w:w="2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21"/>
                <w:szCs w:val="21"/>
              </w:rPr>
              <w:t xml:space="preserve">Subzones</w:t>
            </w:r>
          </w:p>
        </w:tc>
        <w:tc>
          <w:tcPr>
            <w:tcW w:type="pct" w:w="45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Resident overnight bands (hosted subzone layer)</w:t>
            </w:r>
          </w:p>
        </w:tc>
        <w:tc>
          <w:tcPr>
            <w:tcW w:type="pct" w:w="35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tab.showSubzones: true</w:t>
            </w:r>
          </w:p>
        </w:tc>
      </w:tr>
      <w:tr>
        <w:tc>
          <w:tcPr>
            <w:tcW w:type="pct" w:w="2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21"/>
                <w:szCs w:val="21"/>
              </w:rPr>
              <w:t xml:space="preserve">Overlay layers</w:t>
            </w:r>
          </w:p>
        </w:tc>
        <w:tc>
          <w:tcPr>
            <w:tcW w:type="pct" w:w="45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Any filtered polygon (e.g. Lot 5 CBD employee rows)</w:t>
            </w:r>
          </w:p>
        </w:tc>
        <w:tc>
          <w:tcPr>
            <w:tcW w:type="pct" w:w="35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overlayLayers[]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 + </w:t>
            </w: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showForAreaId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 + </w:t>
            </w: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showForTabIds</w:t>
            </w:r>
          </w:p>
        </w:tc>
      </w:tr>
    </w:tbl>
    <w:p>
      <w:pPr>
        <w:spacing w:after="60"/>
      </w:pPr>
    </w:p>
    <w:tbl>
      <w:tblPr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581650" cy="3486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1650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Same lot, page 1: Resident Overnight — green subzone bands mark the only spaces valid overnight.</w:t>
      </w:r>
    </w:p>
    <w:tbl>
      <w:tblPr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581650" cy="3486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1650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Same lot, page 2: Employees — the CBD rows overlay draws instead (showForTabIds: ["employees"]).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5309" w:sz="6"/>
              <w:left w:val="single" w:color="B45309" w:sz="24"/>
              <w:bottom w:val="single" w:color="B45309" w:sz="6"/>
              <w:right w:val="single" w:color="B45309" w:sz="6"/>
            </w:tcBorders>
            <w:shd w:fill="FFF3D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⚠  Absence of green is ambiguous — and it fails quiet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Only permitted areas were digitized: "no bands" can mean "not permitted" or "not drawn yet" (VH Garage, Lot 15)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The "park only in the highlighted areas" sentence must stay gated by useSubzoneAreaIds — never show it unconditionally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If the subzone service stops answering anonymously, every band and note silently disappears (docs/DATA.md §3.6)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F7D32"/>
          <w:sz w:val="23"/>
          <w:szCs w:val="23"/>
        </w:rPr>
        <w:t xml:space="preserve">3.5 — Public map "Availability / Time limit" text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F7D3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pct" w:w="8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lagrange-public.json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  →  </w:t>
            </w: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areaInfo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 (per-AREAID overrides — NOT the GIS rules)</w:t>
            </w:r>
          </w:p>
        </w:tc>
      </w:tr>
      <w:tr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F7D3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Edit</w:t>
            </w:r>
          </w:p>
        </w:tc>
        <w:tc>
          <w:tcPr>
            <w:tcW w:type="pct" w:w="8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Change the </w:t>
            </w: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timeLimit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availability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 strings</w:t>
            </w:r>
          </w:p>
        </w:tc>
      </w:tr>
      <w:tr>
        <w:tc>
          <w:tcPr>
            <w:tcW w:type="pct" w:w="1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2F7D3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Flag</w:t>
            </w:r>
          </w:p>
        </w:tc>
        <w:tc>
          <w:tcPr>
            <w:tcW w:type="pct" w:w="8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Check whether the hosted ParkingRule table needs the same change</w:t>
            </w:r>
          </w:p>
        </w:tc>
      </w:tr>
    </w:tbl>
    <w:tbl>
      <w:tblPr>
        <w:tblW w:type="pct" w:w="10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581650" cy="3486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1650" cy="3486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Village Hall Surface Lot — these two lines come from profile.areaInfo (e.g. the 3 hr → 4 hr fix, Sept 2026).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3370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type="pct" w:w="9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B9E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The Data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5B4B9E"/>
          <w:sz w:val="26"/>
          <w:szCs w:val="26"/>
        </w:rPr>
        <w:t xml:space="preserve">4. The Data</w:t>
      </w:r>
    </w:p>
    <w:p>
      <w:pPr>
        <w:spacing w:after="12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Both apps read public ArcGIS Online services anonymously. Full model + defects: docs/DATA.md.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5B4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(services2.arcgis.com/FwavjPsU0K1YB1vX)</w:t>
            </w:r>
          </w:p>
        </w:tc>
        <w:tc>
          <w:tcPr>
            <w:tcW w:type="pct" w:w="5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5B4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Contains</w:t>
            </w:r>
          </w:p>
        </w:tc>
      </w:tr>
      <w:tr>
        <w:tc>
          <w:tcPr>
            <w:tcW w:type="pct" w:w="5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LaGrange_Parking_Permits/FeatureServer/2</w:t>
            </w:r>
          </w:p>
        </w:tc>
        <w:tc>
          <w:tcPr>
            <w:tcW w:type="pct" w:w="5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ParkingArea polygons — AREAID, AREANAME, USERCLASS, HAS* flags</w:t>
            </w:r>
          </w:p>
        </w:tc>
      </w:tr>
      <w:tr>
        <w:tc>
          <w:tcPr>
            <w:tcW w:type="pct" w:w="5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LaGrange_Parking_Permits/FeatureServer/3</w:t>
            </w:r>
          </w:p>
        </w:tc>
        <w:tc>
          <w:tcPr>
            <w:tcW w:type="pct" w:w="5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ParkingRule table — RULETYPE, ENFORCE_TEXT, MAXDURATION</w:t>
            </w:r>
          </w:p>
        </w:tc>
      </w:tr>
      <w:tr>
        <w:tc>
          <w:tcPr>
            <w:tcW w:type="pct" w:w="5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LaGrange_Overnight_Resident_Subzones/…/0</w:t>
            </w:r>
          </w:p>
        </w:tc>
        <w:tc>
          <w:tcPr>
            <w:tcW w:type="pct" w:w="5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Designated overnight bands (YES-only digitization)</w:t>
            </w:r>
          </w:p>
        </w:tc>
      </w:tr>
      <w:tr>
        <w:tc>
          <w:tcPr>
            <w:tcW w:type="pct" w:w="5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LaGrangeImportantPlaces_ParkingContext_/…/0</w:t>
            </w:r>
          </w:p>
        </w:tc>
        <w:tc>
          <w:tcPr>
            <w:tcW w:type="pct" w:w="5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Reference polygons — parks, civic, Metra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6"/>
              <w:left w:val="single" w:color="C00000" w:sz="24"/>
              <w:bottom w:val="single" w:color="C00000" w:sz="6"/>
              <w:right w:val="single" w:color="C00000" w:sz="6"/>
            </w:tcBorders>
            <w:shd w:fill="FBE4E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⛔  Republishing the service breaks both apps — every time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Republishing resets AGOL sharing to org-only → both apps fail with {"code":499, "Token Required"}. After ANY republish: re-share Public, then confirm an untokened query returns a count:</w:t>
            </w:r>
          </w:p>
          <w:p>
            <w:pPr>
              <w:shd w:fill="F4F4F4" w:val="clear"/>
              <w:spacing w:after="120"/>
              <w:ind w:left="288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…/FeatureServer/2/query?where=1=1&amp;returnCountOnly=true&amp;f=json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5B4B9E"/>
          <w:sz w:val="23"/>
          <w:szCs w:val="23"/>
        </w:rPr>
        <w:t xml:space="preserve">Check the data before you edit a profile</w:t>
      </w:r>
    </w:p>
    <w:p>
      <w:pPr>
        <w:shd w:fill="F4F4F4" w:val="clear"/>
        <w:spacing w:after="0"/>
        <w:ind w:left="288"/>
      </w:pPr>
      <w:r>
        <w:rPr>
          <w:rFonts w:ascii="Consolas" w:cs="Consolas" w:eastAsia="Consolas" w:hAnsi="Consolas"/>
          <w:sz w:val="19"/>
          <w:szCs w:val="19"/>
        </w:rPr>
        <w:t xml:space="preserve">node -e 'fetch("https://services2.arcgis.com/FwavjPsU0K1YB1vX/arcgis/rest/services/" +</w:t>
      </w:r>
    </w:p>
    <w:p>
      <w:pPr>
        <w:shd w:fill="F4F4F4" w:val="clear"/>
        <w:spacing w:after="0"/>
        <w:ind w:left="288"/>
      </w:pPr>
      <w:r>
        <w:rPr>
          <w:rFonts w:ascii="Consolas" w:cs="Consolas" w:eastAsia="Consolas" w:hAnsi="Consolas"/>
          <w:sz w:val="19"/>
          <w:szCs w:val="19"/>
        </w:rPr>
        <w:t xml:space="preserve">  "LaGrange_Parking_Permits/FeatureServer/2/query?where=AREAID=%27LOT4%27" +</w:t>
      </w:r>
    </w:p>
    <w:p>
      <w:pPr>
        <w:shd w:fill="F4F4F4" w:val="clear"/>
        <w:spacing w:after="0"/>
        <w:ind w:left="288"/>
      </w:pPr>
      <w:r>
        <w:rPr>
          <w:rFonts w:ascii="Consolas" w:cs="Consolas" w:eastAsia="Consolas" w:hAnsi="Consolas"/>
          <w:sz w:val="19"/>
          <w:szCs w:val="19"/>
        </w:rPr>
        <w:t xml:space="preserve">  "&amp;outFields=AREAID,USERCLASS,HASCBD&amp;returnGeometry=false&amp;f=json")</w:t>
      </w:r>
    </w:p>
    <w:p>
      <w:pPr>
        <w:shd w:fill="F4F4F4" w:val="clear"/>
        <w:spacing w:after="120"/>
        <w:ind w:left="288"/>
      </w:pPr>
      <w:r>
        <w:rPr>
          <w:rFonts w:ascii="Consolas" w:cs="Consolas" w:eastAsia="Consolas" w:hAnsi="Consolas"/>
          <w:sz w:val="19"/>
          <w:szCs w:val="19"/>
        </w:rPr>
        <w:t xml:space="preserve">  .then(r=&gt;r.json()).then(j=&gt;console.log(JSON.stringify(j.features)))'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06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</w:t>
            </w:r>
          </w:p>
        </w:tc>
        <w:tc>
          <w:tcPr>
            <w:tcW w:type="pct" w:w="9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Verify Before You Show Anyone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5. Verify Before You Show Anyone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pct" w:w="5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Proves</w:t>
            </w:r>
          </w:p>
        </w:tc>
      </w:tr>
      <w:tr>
        <w:tc>
          <w:tcPr>
            <w:tcW w:type="pct" w:w="4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node scripts/verify-permit-pages.mjs</w:t>
            </w:r>
          </w:p>
        </w:tc>
        <w:tc>
          <w:tcPr>
            <w:tcW w:type="pct" w:w="5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Every lot on every permit page resolves + returns rules (NO RULES warnings = known upstream mislabels)</w:t>
            </w:r>
          </w:p>
        </w:tc>
      </w:tr>
      <w:tr>
        <w:tc>
          <w:tcPr>
            <w:tcW w:type="pct" w:w="4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node scripts/verify-basemaps.mjs</w:t>
            </w:r>
          </w:p>
        </w:tc>
        <w:tc>
          <w:tcPr>
            <w:tcW w:type="pct" w:w="5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Each basemap serves a real tile over La Grange (metadata alone lies)</w:t>
            </w:r>
          </w:p>
        </w:tc>
      </w:tr>
      <w:tr>
        <w:tc>
          <w:tcPr>
            <w:tcW w:type="pct" w:w="4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node scripts/inspect-service.mjs</w:t>
            </w:r>
          </w:p>
        </w:tc>
        <w:tc>
          <w:tcPr>
            <w:tcW w:type="pct" w:w="5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Schema + value distributions</w:t>
            </w:r>
          </w:p>
        </w:tc>
      </w:tr>
      <w:tr>
        <w:tc>
          <w:tcPr>
            <w:tcW w:type="pct" w:w="4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npm run lint</w:t>
            </w:r>
          </w:p>
        </w:tc>
        <w:tc>
          <w:tcPr>
            <w:tcW w:type="pct" w:w="5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Only NEW errors matter — 5 are pre-existing on main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B45309"/>
          <w:sz w:val="23"/>
          <w:szCs w:val="23"/>
        </w:rPr>
        <w:t xml:space="preserve">2-minute browser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Permit app — open all four pages, click one lot on 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Lot 5 twice: Resident Overnight → green bands · Employees → CBD rows overlay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Public app — click 2–3 lots, sanity-check Availability / Time limit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FB2D9" w:sz="6"/>
              <w:left w:val="single" w:color="7FB2D9" w:sz="24"/>
              <w:bottom w:val="single" w:color="7FB2D9" w:sz="6"/>
              <w:right w:val="single" w:color="7FB2D9" w:sz="6"/>
            </w:tcBorders>
            <w:shd w:fill="EAF3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4B5"/>
                <w:sz w:val="21"/>
                <w:szCs w:val="21"/>
              </w:rPr>
              <w:t xml:space="preserve">ℹ  Expected noise — ignore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Esri console deprecation warnings (Home/Locate widgets, Polygon.centroid)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NO RULES on Lot 13 (commuter) and Lot 2 / VH Garage (employees) — upstream; those pages hide rules anyway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E5E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6</w:t>
            </w:r>
          </w:p>
        </w:tc>
        <w:tc>
          <w:tcPr>
            <w:tcW w:type="pct" w:w="9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Ship It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5C8B"/>
          <w:sz w:val="26"/>
          <w:szCs w:val="26"/>
        </w:rPr>
        <w:t xml:space="preserve">6. Ship It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7285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 · BUILD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npm run build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30"/>
                <w:szCs w:val="30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B9E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 · PUSH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git push origin master:main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30"/>
                <w:szCs w:val="30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 · DEPLOY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SWA CLI × 2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30"/>
                <w:szCs w:val="30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7D32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 · SMOKE TEST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live profiles + click-through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5309" w:sz="6"/>
              <w:left w:val="single" w:color="B45309" w:sz="24"/>
              <w:bottom w:val="single" w:color="B45309" w:sz="6"/>
              <w:right w:val="single" w:color="B45309" w:sz="6"/>
            </w:tcBorders>
            <w:shd w:fill="FFF3D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⚠  Branch gotcha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Local branch is </w:t>
            </w: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master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; GitHub default is </w:t>
            </w: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main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. A plain </w:t>
            </w: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git push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 creates a stray remote branch — always push </w:t>
            </w: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master:main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5C8B"/>
          <w:sz w:val="23"/>
          <w:szCs w:val="23"/>
        </w:rPr>
        <w:t xml:space="preserve">Deploy both SWAs (PowerShell, verified 2026-09-01)</w:t>
      </w:r>
    </w:p>
    <w:p>
      <w:pPr>
        <w:shd w:fill="F4F4F4" w:val="clear"/>
        <w:spacing w:after="0"/>
        <w:ind w:left="288"/>
      </w:pPr>
      <w:r>
        <w:rPr>
          <w:rFonts w:ascii="Consolas" w:cs="Consolas" w:eastAsia="Consolas" w:hAnsi="Consolas"/>
          <w:sz w:val="19"/>
          <w:szCs w:val="19"/>
        </w:rPr>
        <w:t xml:space="preserve">$TOKEN = az staticwebapp secrets list -n lagrange-parking-permit -g rg-lagrange-parking `</w:t>
      </w:r>
    </w:p>
    <w:p>
      <w:pPr>
        <w:shd w:fill="F4F4F4" w:val="clear"/>
        <w:spacing w:after="0"/>
        <w:ind w:left="288"/>
      </w:pPr>
      <w:r>
        <w:rPr>
          <w:rFonts w:ascii="Consolas" w:cs="Consolas" w:eastAsia="Consolas" w:hAnsi="Consolas"/>
          <w:sz w:val="19"/>
          <w:szCs w:val="19"/>
        </w:rPr>
        <w:t xml:space="preserve">           --query "properties.apiKey" -o tsv</w:t>
      </w:r>
    </w:p>
    <w:p>
      <w:pPr>
        <w:shd w:fill="F4F4F4" w:val="clear"/>
        <w:spacing w:after="0"/>
        <w:ind w:left="288"/>
      </w:pPr>
      <w:r>
        <w:rPr>
          <w:rFonts w:ascii="Consolas" w:cs="Consolas" w:eastAsia="Consolas" w:hAnsi="Consolas"/>
          <w:sz w:val="19"/>
          <w:szCs w:val="19"/>
        </w:rPr>
        <w:t xml:space="preserve">npx -y "@azure/static-web-apps-cli" deploy ./dist/permit --deployment-token $TOKEN --env production</w:t>
      </w:r>
    </w:p>
    <w:p>
      <w:pPr>
        <w:shd w:fill="F4F4F4" w:val="clear"/>
        <w:spacing w:after="0"/>
        <w:ind w:left="288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4F4F4" w:val="clear"/>
        <w:spacing w:after="0"/>
        <w:ind w:left="288"/>
      </w:pPr>
      <w:r>
        <w:rPr>
          <w:rFonts w:ascii="Consolas" w:cs="Consolas" w:eastAsia="Consolas" w:hAnsi="Consolas"/>
          <w:sz w:val="19"/>
          <w:szCs w:val="19"/>
        </w:rPr>
        <w:t xml:space="preserve">$TOKEN = az staticwebapp secrets list -n lagrange-parking-public -g rg-lagrange-parking `</w:t>
      </w:r>
    </w:p>
    <w:p>
      <w:pPr>
        <w:shd w:fill="F4F4F4" w:val="clear"/>
        <w:spacing w:after="0"/>
        <w:ind w:left="288"/>
      </w:pPr>
      <w:r>
        <w:rPr>
          <w:rFonts w:ascii="Consolas" w:cs="Consolas" w:eastAsia="Consolas" w:hAnsi="Consolas"/>
          <w:sz w:val="19"/>
          <w:szCs w:val="19"/>
        </w:rPr>
        <w:t xml:space="preserve">           --query "properties.apiKey" -o tsv</w:t>
      </w:r>
    </w:p>
    <w:p>
      <w:pPr>
        <w:shd w:fill="F4F4F4" w:val="clear"/>
        <w:spacing w:after="120"/>
        <w:ind w:left="288"/>
      </w:pPr>
      <w:r>
        <w:rPr>
          <w:rFonts w:ascii="Consolas" w:cs="Consolas" w:eastAsia="Consolas" w:hAnsi="Consolas"/>
          <w:sz w:val="19"/>
          <w:szCs w:val="19"/>
        </w:rPr>
        <w:t xml:space="preserve">npx -y "@azure/static-web-apps-cli" deploy ./dist/public --deployment-token $TOKEN --env production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5C8B"/>
          <w:sz w:val="23"/>
          <w:szCs w:val="23"/>
        </w:rPr>
        <w:t xml:space="preserve">Smoke test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Fetch each site’s </w:t>
      </w:r>
      <w:r>
        <w:rPr>
          <w:rFonts w:ascii="Consolas" w:cs="Consolas" w:eastAsia="Consolas" w:hAnsi="Consolas"/>
          <w:color w:val="2B2B2B"/>
          <w:sz w:val="19"/>
          <w:szCs w:val="19"/>
        </w:rPr>
        <w:t xml:space="preserve">/profiles/*.json</w:t>
      </w:r>
      <w:r>
        <w:rPr>
          <w:rFonts w:ascii="Arial" w:cs="Arial" w:eastAsia="Arial" w:hAnsi="Arial"/>
          <w:color w:val="2B2B2B"/>
          <w:sz w:val="21"/>
          <w:szCs w:val="21"/>
        </w:rPr>
        <w:t xml:space="preserve"> and confirm your edits are live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Click through one permit page and one public lot card</w:t>
      </w:r>
    </w:p>
    <w:p>
      <w:pPr>
        <w:spacing w:after="12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Azure: tenant </w:t>
      </w:r>
      <w:r>
        <w:rPr>
          <w:rFonts w:ascii="Arial" w:cs="Arial" w:eastAsia="Arial" w:hAnsi="Arial"/>
          <w:b/>
          <w:bCs/>
          <w:color w:val="2B2B2B"/>
          <w:sz w:val="21"/>
          <w:szCs w:val="21"/>
        </w:rPr>
        <w:t xml:space="preserve">Spark by MGP</w:t>
      </w:r>
      <w:r>
        <w:rPr>
          <w:rFonts w:ascii="Arial" w:cs="Arial" w:eastAsia="Arial" w:hAnsi="Arial"/>
          <w:color w:val="2B2B2B"/>
          <w:sz w:val="21"/>
          <w:szCs w:val="21"/>
        </w:rPr>
        <w:t xml:space="preserve"> · subscription </w:t>
      </w:r>
      <w:r>
        <w:rPr>
          <w:rFonts w:ascii="Arial" w:cs="Arial" w:eastAsia="Arial" w:hAnsi="Arial"/>
          <w:b/>
          <w:bCs/>
          <w:color w:val="2B2B2B"/>
          <w:sz w:val="21"/>
          <w:szCs w:val="21"/>
        </w:rPr>
        <w:t xml:space="preserve">Microsoft Azure Sponsorship</w:t>
      </w:r>
      <w:r>
        <w:rPr>
          <w:rFonts w:ascii="Arial" w:cs="Arial" w:eastAsia="Arial" w:hAnsi="Arial"/>
          <w:color w:val="2B2B2B"/>
          <w:sz w:val="21"/>
          <w:szCs w:val="21"/>
        </w:rPr>
        <w:t xml:space="preserve"> · resource group </w:t>
      </w:r>
      <w:r>
        <w:rPr>
          <w:rFonts w:ascii="Consolas" w:cs="Consolas" w:eastAsia="Consolas" w:hAnsi="Consolas"/>
          <w:color w:val="2B2B2B"/>
          <w:sz w:val="19"/>
          <w:szCs w:val="19"/>
        </w:rPr>
        <w:t xml:space="preserve">rg-lagrange-parking</w:t>
      </w:r>
      <w:r>
        <w:rPr>
          <w:rFonts w:ascii="Arial" w:cs="Arial" w:eastAsia="Arial" w:hAnsi="Arial"/>
          <w:color w:val="2B2B2B"/>
          <w:sz w:val="21"/>
          <w:szCs w:val="21"/>
        </w:rPr>
        <w:t xml:space="preserve">. Recreate-from-scratch: </w:t>
      </w:r>
      <w:r>
        <w:rPr>
          <w:rFonts w:ascii="Consolas" w:cs="Consolas" w:eastAsia="Consolas" w:hAnsi="Consolas"/>
          <w:color w:val="2B2B2B"/>
          <w:sz w:val="19"/>
          <w:szCs w:val="19"/>
        </w:rPr>
        <w:t xml:space="preserve">DEPLOY.md</w:t>
      </w:r>
      <w:r>
        <w:rPr>
          <w:rFonts w:ascii="Arial" w:cs="Arial" w:eastAsia="Arial" w:hAnsi="Arial"/>
          <w:color w:val="2B2B2B"/>
          <w:sz w:val="21"/>
          <w:szCs w:val="21"/>
        </w:rPr>
        <w:t xml:space="preserve">. CI builds but does not deploy.</w:t>
      </w: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3A47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7</w:t>
            </w:r>
          </w:p>
        </w:tc>
        <w:tc>
          <w:tcPr>
            <w:tcW w:type="pct" w:w="9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When Something Looks Broken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7. When Something Looks Broken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755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pct" w:w="6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4755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 → fix</w:t>
            </w:r>
          </w:p>
        </w:tc>
      </w:tr>
      <w:tr>
        <w:tc>
          <w:tcPr>
            <w:tcW w:type="pct" w:w="3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No parking data, console shows {"code":499}</w:t>
            </w:r>
          </w:p>
        </w:tc>
        <w:tc>
          <w:tcPr>
            <w:tcW w:type="pct" w:w="6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Service was republished; sharing reset → re-share Public in AGOL (Ch. 4)</w:t>
            </w:r>
          </w:p>
        </w:tc>
      </w:tr>
      <w:tr>
        <w:tc>
          <w:tcPr>
            <w:tcW w:type="pct" w:w="3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Basemap / aerial blank</w:t>
            </w:r>
          </w:p>
        </w:tc>
        <w:tc>
          <w:tcPr>
            <w:tcW w:type="pct" w:w="6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verify-basemaps.mjs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. GISC_IMAGERY_* 404s over La Grange — use COUNTY_IMAGERY_COOK_2025_Project</w:t>
            </w:r>
          </w:p>
        </w:tc>
      </w:tr>
      <w:tr>
        <w:tc>
          <w:tcPr>
            <w:tcW w:type="pct" w:w="3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All green bands + notes vanished</w:t>
            </w:r>
          </w:p>
        </w:tc>
        <w:tc>
          <w:tcPr>
            <w:tcW w:type="pct" w:w="6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Subzone service stopped answering anonymously — fails quiet (DATA.md §3.6)</w:t>
            </w:r>
          </w:p>
        </w:tc>
      </w:tr>
      <w:tr>
        <w:tc>
          <w:tcPr>
            <w:tcW w:type="pct" w:w="3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Lot draws, card is empty</w:t>
            </w:r>
          </w:p>
        </w:tc>
        <w:tc>
          <w:tcPr>
            <w:tcW w:type="pct" w:w="6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Upstream RULETYPE mislabel — known, see BACKLOG.md</w:t>
            </w:r>
          </w:p>
        </w:tc>
      </w:tr>
      <w:tr>
        <w:tc>
          <w:tcPr>
            <w:tcW w:type="pct" w:w="3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Lot in areaIds never draws</w:t>
            </w:r>
          </w:p>
        </w:tc>
        <w:tc>
          <w:tcPr>
            <w:tcW w:type="pct" w:w="6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Fails </w:t>
            </w: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baseWhere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 (e.g. USERCLASS=VISITOR on permit app) — query it</w:t>
            </w:r>
          </w:p>
        </w:tc>
      </w:tr>
      <w:tr>
        <w:tc>
          <w:tcPr>
            <w:tcW w:type="pct" w:w="3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profile.branding change does nothing</w:t>
            </w:r>
          </w:p>
        </w:tc>
        <w:tc>
          <w:tcPr>
            <w:tcW w:type="pct" w:w="6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Branding applies only inside the internal Explorer; live look = hardcoded CSS defaults</w:t>
            </w:r>
          </w:p>
        </w:tc>
      </w:tr>
      <w:tr>
        <w:tc>
          <w:tcPr>
            <w:tcW w:type="pct" w:w="3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5 lint errors</w:t>
            </w:r>
          </w:p>
        </w:tc>
        <w:tc>
          <w:tcPr>
            <w:tcW w:type="pct" w:w="6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Pre-existing — only chase NEW ones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9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95443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8</w:t>
            </w:r>
          </w:p>
        </w:tc>
        <w:tc>
          <w:tcPr>
            <w:tcW w:type="pct" w:w="91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66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GIS Analyst Documentation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0E7C66"/>
          <w:sz w:val="26"/>
          <w:szCs w:val="26"/>
        </w:rPr>
        <w:t xml:space="preserve">8. GIS Analyst Documentation</w:t>
      </w:r>
    </w:p>
    <w:p>
      <w:pPr>
        <w:spacing w:after="12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The GIS side of the project — who is involved, where every source lives, how data flows to the apps, and the decisions that shaped the deliverable. Maintained by the GIS analyst; the running log is </w:t>
      </w:r>
      <w:r>
        <w:rPr>
          <w:rFonts w:ascii="Consolas" w:cs="Consolas" w:eastAsia="Consolas" w:hAnsi="Consolas"/>
          <w:color w:val="2B2B2B"/>
          <w:sz w:val="19"/>
          <w:szCs w:val="19"/>
        </w:rPr>
        <w:t xml:space="preserve">PROJECTDOCUMENTATION.md</w:t>
      </w:r>
      <w:r>
        <w:rPr>
          <w:rFonts w:ascii="Arial" w:cs="Arial" w:eastAsia="Arial" w:hAnsi="Arial"/>
          <w:color w:val="2B2B2B"/>
          <w:sz w:val="21"/>
          <w:szCs w:val="21"/>
        </w:rPr>
        <w:t xml:space="preserve"> on the X: drive.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66"/>
          <w:sz w:val="23"/>
          <w:szCs w:val="23"/>
        </w:rPr>
        <w:t xml:space="preserve">8.1 — Client outcome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E7C66" w:sz="6"/>
              <w:left w:val="single" w:color="0E7C66" w:sz="24"/>
              <w:bottom w:val="single" w:color="0E7C66" w:sz="6"/>
              <w:right w:val="single" w:color="0E7C66" w:sz="6"/>
            </w:tcBorders>
            <w:shd w:fill="EAF3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E7C66"/>
                <w:sz w:val="21"/>
                <w:szCs w:val="21"/>
              </w:rPr>
              <w:t xml:space="preserve">◎  What the Village gets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Village of La Grange stakeholders and the public have accurate, clear maps that show where each parking permit applies, who is eligible for it, and where visitors may park — supporting the Village’s parking management revamp and its move from "decals" to "permits."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1"/>
          <w:szCs w:val="21"/>
        </w:rPr>
        <w:t xml:space="preserve">Deliverable: </w:t>
      </w:r>
      <w:r>
        <w:rPr>
          <w:rFonts w:ascii="Arial" w:cs="Arial" w:eastAsia="Arial" w:hAnsi="Arial"/>
          <w:color w:val="2B2B2B"/>
          <w:sz w:val="21"/>
          <w:szCs w:val="21"/>
        </w:rPr>
        <w:t xml:space="preserve">two public, mobile-friendly parking maps from one React codebase, deployed as separate Azure Static Web Apps, both reading one publicly shared ArcGIS Online feature service — no login. Supporting GIS work: the Village’s flat parking inventory restructured into a related area-and-rule model, published to the Village’s AGOL organization with the designated overnight-resident areas digitized from engineering drawings.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1"/>
          <w:szCs w:val="21"/>
        </w:rPr>
        <w:t xml:space="preserve">Status (2026-08-05): </w:t>
      </w:r>
      <w:r>
        <w:rPr>
          <w:rFonts w:ascii="Arial" w:cs="Arial" w:eastAsia="Arial" w:hAnsi="Arial"/>
          <w:color w:val="2B2B2B"/>
          <w:sz w:val="21"/>
          <w:szCs w:val="21"/>
        </w:rPr>
        <w:t xml:space="preserve">both apps live, in an iterate-on-feedback phase. Every item from the 2026-07-28 stakeholder meeting is complete. Open items wait on the Village — the real permit purchase URL, a landing-page cover photo, and the missing engineering sheet for the Village Hall garage.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B2B2B"/>
          <w:sz w:val="21"/>
          <w:szCs w:val="21"/>
        </w:rPr>
        <w:t xml:space="preserve">Timeline: </w:t>
      </w:r>
      <w:r>
        <w:rPr>
          <w:rFonts w:ascii="Arial" w:cs="Arial" w:eastAsia="Arial" w:hAnsi="Arial"/>
          <w:color w:val="2B2B2B"/>
          <w:sz w:val="21"/>
          <w:szCs w:val="21"/>
        </w:rPr>
        <w:t xml:space="preserve">Village’s stated program go-live was end of June 2026; MGP follows Charity Jones’s lead on timing. MGP hours: TBD.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66"/>
          <w:sz w:val="23"/>
          <w:szCs w:val="23"/>
        </w:rPr>
        <w:t xml:space="preserve">8.2 — Stakeholders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E7C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pct" w:w="7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E7C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pct" w:w="2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21"/>
                <w:szCs w:val="21"/>
              </w:rPr>
              <w:t xml:space="preserve">Charity Jones</w:t>
            </w:r>
          </w:p>
        </w:tc>
        <w:tc>
          <w:tcPr>
            <w:tcW w:type="pct" w:w="7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Village of La Grange, Assistant Village Manager — primary contact and reviewer; all design and content decisions route through her</w:t>
            </w:r>
          </w:p>
        </w:tc>
      </w:tr>
      <w:tr>
        <w:tc>
          <w:tcPr>
            <w:tcW w:type="pct" w:w="2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21"/>
                <w:szCs w:val="21"/>
              </w:rPr>
              <w:t xml:space="preserve">Susan Mika</w:t>
            </w:r>
          </w:p>
        </w:tc>
        <w:tc>
          <w:tcPr>
            <w:tcW w:type="pct" w:w="7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Village of La Grange — stakeholder</w:t>
            </w:r>
          </w:p>
        </w:tc>
      </w:tr>
      <w:tr>
        <w:tc>
          <w:tcPr>
            <w:tcW w:type="pct" w:w="2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21"/>
                <w:szCs w:val="21"/>
              </w:rPr>
              <w:t xml:space="preserve">Esri</w:t>
            </w:r>
          </w:p>
        </w:tc>
        <w:tc>
          <w:tcPr>
            <w:tcW w:type="pct" w:w="7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ArcGIS Pro · ArcGIS Online · ArcGIS Maps SDK for JavaScript</w:t>
            </w:r>
          </w:p>
        </w:tc>
      </w:tr>
      <w:tr>
        <w:tc>
          <w:tcPr>
            <w:tcW w:type="pct" w:w="2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21"/>
                <w:szCs w:val="21"/>
              </w:rPr>
              <w:t xml:space="preserve">Passport</w:t>
            </w:r>
          </w:p>
        </w:tc>
        <w:tc>
          <w:tcPr>
            <w:tcW w:type="pct" w:w="7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The Village’s parking permit system — source of the eligibility list</w:t>
            </w:r>
          </w:p>
        </w:tc>
      </w:tr>
      <w:tr>
        <w:tc>
          <w:tcPr>
            <w:tcW w:type="pct" w:w="2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21"/>
                <w:szCs w:val="21"/>
              </w:rPr>
              <w:t xml:space="preserve">Microsoft Azure</w:t>
            </w:r>
          </w:p>
        </w:tc>
        <w:tc>
          <w:tcPr>
            <w:tcW w:type="pct" w:w="7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Static Web Apps hosting for both applications</w:t>
            </w:r>
          </w:p>
        </w:tc>
      </w:tr>
    </w:tbl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66"/>
          <w:sz w:val="23"/>
          <w:szCs w:val="23"/>
        </w:rPr>
        <w:t xml:space="preserve">8.3 — Data lineage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95443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LGDM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mgp-sql02 · Parking_Restriction_POLY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30"/>
                <w:szCs w:val="30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C66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 GDB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lagrange_build_fgdb.py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30"/>
                <w:szCs w:val="30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8B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AGOL SERVICE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FFFFFF"/>
                <w:sz w:val="16"/>
                <w:szCs w:val="16"/>
              </w:rPr>
              <w:t xml:space="preserve">LaGrange_Parking_Permits</w:t>
            </w:r>
          </w:p>
        </w:tc>
        <w:tc>
          <w:tcPr>
            <w:tcW w:type="pct" w:w="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30"/>
                <w:szCs w:val="30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7285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permit + public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6"/>
              <w:left w:val="single" w:color="C00000" w:sz="24"/>
              <w:bottom w:val="single" w:color="C00000" w:sz="6"/>
              <w:right w:val="single" w:color="C00000" w:sz="6"/>
            </w:tcBorders>
            <w:shd w:fill="FBE4E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⛔  The trap — edit the LGDM, not the geodatabase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Editing the file geodatabase alone is </w:t>
            </w:r>
            <w:r>
              <w:rPr>
                <w:rFonts w:ascii="Arial" w:cs="Arial" w:eastAsia="Arial" w:hAnsi="Arial"/>
                <w:b/>
                <w:bCs/>
                <w:color w:val="2B2B2B"/>
                <w:sz w:val="21"/>
                <w:szCs w:val="21"/>
              </w:rPr>
              <w:t xml:space="preserve">not durable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: </w:t>
            </w: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lagrange_build_fgdb.py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 rebuilds ParkingArea and ParkingRule from the LGDM, so anything added only to the geodatabase is lost on the next rebuild. </w:t>
            </w:r>
            <w:r>
              <w:rPr>
                <w:rFonts w:ascii="Arial" w:cs="Arial" w:eastAsia="Arial" w:hAnsi="Arial"/>
                <w:b/>
                <w:bCs/>
                <w:color w:val="2B2B2B"/>
                <w:sz w:val="21"/>
                <w:szCs w:val="21"/>
              </w:rPr>
              <w:t xml:space="preserve">Lot 15 is in that state today.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 Real changes go into the LGDM first, then rebuild and republish.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E7C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/ resource</w:t>
            </w:r>
          </w:p>
        </w:tc>
        <w:tc>
          <w:tcPr>
            <w:tcW w:type="pct" w:w="4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E7C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pct" w:w="4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E7C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2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21"/>
                <w:szCs w:val="21"/>
              </w:rPr>
              <w:t xml:space="preserve">Source of record</w:t>
            </w:r>
          </w:p>
        </w:tc>
        <w:tc>
          <w:tcPr>
            <w:tcW w:type="pct" w:w="4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mgp-sql02 › GISC_PRODUCTION › DBO.Parking_Restriction_POLY</w:t>
            </w:r>
          </w:p>
        </w:tc>
        <w:tc>
          <w:tcPr>
            <w:tcW w:type="pct" w:w="4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GEODBID ‘024’. The Village’s authoritative parking inventory and the origin of everything below. Edited in ArcGIS Pro.</w:t>
            </w:r>
          </w:p>
        </w:tc>
      </w:tr>
      <w:tr>
        <w:tc>
          <w:tcPr>
            <w:tcW w:type="pct" w:w="2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21"/>
                <w:szCs w:val="21"/>
              </w:rPr>
              <w:t xml:space="preserve">Working geodatabase</w:t>
            </w:r>
          </w:p>
        </w:tc>
        <w:tc>
          <w:tcPr>
            <w:tcW w:type="pct" w:w="4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X:\GISC\Community\LaGrange\Project\20240829_ParkingPermitMaps\APRX\Parking_Permit_Restructure\ParkingPermits.gdb</w:t>
            </w:r>
          </w:p>
        </w:tc>
        <w:tc>
          <w:tcPr>
            <w:tcW w:type="pct" w:w="4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ParkingArea, ParkingRule, OvernightResidentSubzones, PermitEligibleAddress, StudyZone + domains. Rebuilt from the LGDM by lagrange_build_fgdb.py.</w:t>
            </w:r>
          </w:p>
        </w:tc>
      </w:tr>
      <w:tr>
        <w:tc>
          <w:tcPr>
            <w:tcW w:type="pct" w:w="2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21"/>
                <w:szCs w:val="21"/>
              </w:rPr>
              <w:t xml:space="preserve">ArcGIS Pro project</w:t>
            </w:r>
          </w:p>
        </w:tc>
        <w:tc>
          <w:tcPr>
            <w:tcW w:type="pct" w:w="4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…\Parking_Permit_Restructure\Parking_Permit_Restructure.aprx</w:t>
            </w:r>
          </w:p>
        </w:tc>
        <w:tc>
          <w:tcPr>
            <w:tcW w:type="pct" w:w="4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Maps: Permit Parking, Visitor Parking, Permit-Eligible Addresses. Editing + QA only — the apps do not read it. Superseded original is in the adjacent "Parking Decal Maps" folder.</w:t>
            </w:r>
          </w:p>
        </w:tc>
      </w:tr>
      <w:tr>
        <w:tc>
          <w:tcPr>
            <w:tcW w:type="pct" w:w="2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21"/>
                <w:szCs w:val="21"/>
              </w:rPr>
              <w:t xml:space="preserve">Live service (apps read this)</w:t>
            </w:r>
          </w:p>
        </w:tc>
        <w:tc>
          <w:tcPr>
            <w:tcW w:type="pct" w:w="4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LaGrange_Parking_Permits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 on lagrangeil.maps.arcgis.com · item </w:t>
            </w: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f13e7fa3199141a2be6c2eea816de8d4</w:t>
            </w:r>
          </w:p>
        </w:tc>
        <w:tc>
          <w:tcPr>
            <w:tcW w:type="pct" w:w="4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Sublayer /2 ParkingArea (144 polygons) · /3 ParkingRule (173 rows, 1:many on AREAID). Shared publicly.</w:t>
            </w:r>
          </w:p>
        </w:tc>
      </w:tr>
      <w:tr>
        <w:tc>
          <w:tcPr>
            <w:tcW w:type="pct" w:w="2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21"/>
                <w:szCs w:val="21"/>
              </w:rPr>
              <w:t xml:space="preserve">Designated overnight areas</w:t>
            </w:r>
          </w:p>
        </w:tc>
        <w:tc>
          <w:tcPr>
            <w:tcW w:type="pct" w:w="4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LaGrange_Overnight_Resident_Subzones</w:t>
            </w:r>
          </w:p>
        </w:tc>
        <w:tc>
          <w:tcPr>
            <w:tcW w:type="pct" w:w="4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8 polygons over Lots 2, 5, 11, 12, 13 — digitized from Heuer and Associates engineering drawings dated 12/30/2016. Deliberately its own service.</w:t>
            </w:r>
          </w:p>
        </w:tc>
      </w:tr>
      <w:tr>
        <w:tc>
          <w:tcPr>
            <w:tcW w:type="pct" w:w="2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21"/>
                <w:szCs w:val="21"/>
              </w:rPr>
              <w:t xml:space="preserve">Context layer</w:t>
            </w:r>
          </w:p>
        </w:tc>
        <w:tc>
          <w:tcPr>
            <w:tcW w:type="pct" w:w="4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LaGrangeImportantPlaces_ParkingContext_</w:t>
            </w:r>
          </w:p>
        </w:tc>
        <w:tc>
          <w:tcPr>
            <w:tcW w:type="pct" w:w="4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23 civic, park, landmark and Metra features curated from GISC_PUBLISH_FGDB.gdb\Base\ImportantPlace_POLY. Map context only.</w:t>
            </w:r>
          </w:p>
        </w:tc>
      </w:tr>
      <w:tr>
        <w:tc>
          <w:tcPr>
            <w:tcW w:type="pct" w:w="2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21"/>
                <w:szCs w:val="21"/>
              </w:rPr>
              <w:t xml:space="preserve">Eligibility addresses</w:t>
            </w:r>
          </w:p>
        </w:tc>
        <w:tc>
          <w:tcPr>
            <w:tcW w:type="pct" w:w="4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…\20240829_ParkingPermitMaps\Data\</w:t>
            </w:r>
          </w:p>
        </w:tc>
        <w:tc>
          <w:tcPr>
            <w:tcW w:type="pct" w:w="4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Passport v2 permit-holder list ("Residential parking - address list for geocode.xlsx") + geocode outputs. Geocoded against X:\GISC\Publish\Geocoder, Esri World geocoder as fallback.</w:t>
            </w:r>
          </w:p>
        </w:tc>
      </w:tr>
      <w:tr>
        <w:tc>
          <w:tcPr>
            <w:tcW w:type="pct" w:w="2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21"/>
                <w:szCs w:val="21"/>
              </w:rPr>
              <w:t xml:space="preserve">Village policy documents</w:t>
            </w:r>
          </w:p>
        </w:tc>
        <w:tc>
          <w:tcPr>
            <w:tcW w:type="pct" w:w="4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…\Village Policies and Documentation\</w:t>
            </w:r>
          </w:p>
        </w:tc>
        <w:tc>
          <w:tcPr>
            <w:tcW w:type="pct" w:w="4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Permit policy PDFs — supply the rule text absent from the GIS data. Finished exhibits in the adjacent Deliverables folder.</w:t>
            </w:r>
          </w:p>
        </w:tc>
      </w:tr>
    </w:tbl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66"/>
          <w:sz w:val="23"/>
          <w:szCs w:val="23"/>
        </w:rPr>
        <w:t xml:space="preserve">8.4 — Other resources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E7C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pct" w:w="7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E7C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/ detail</w:t>
            </w:r>
          </w:p>
        </w:tc>
      </w:tr>
      <w:tr>
        <w:tc>
          <w:tcPr>
            <w:tcW w:type="pct" w:w="2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21"/>
                <w:szCs w:val="21"/>
              </w:rPr>
              <w:t xml:space="preserve">Application repository</w:t>
            </w:r>
          </w:p>
        </w:tc>
        <w:tc>
          <w:tcPr>
            <w:tcW w:type="pct" w:w="7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vxnoy9rf31kkcof6p3upz">
              <w:r>
                <w:rPr>
                  <w:rFonts w:ascii="Arial" w:cs="Arial" w:eastAsia="Arial" w:hAnsi="Arial"/>
                  <w:color w:val="2E74B5"/>
                  <w:sz w:val="20"/>
                  <w:szCs w:val="20"/>
                  <w:u w:val="single"/>
                </w:rPr>
                <w:t xml:space="preserve">github.com/mgp-inc/lagrange-parking</w:t>
              </w:r>
            </w:hyperlink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 — self-contained and portable; docs/ carries app-side context, data notes, backlog. Working copy: </w:t>
            </w: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E:\lagrange-parking</w:t>
            </w:r>
          </w:p>
        </w:tc>
      </w:tr>
      <w:tr>
        <w:tc>
          <w:tcPr>
            <w:tcW w:type="pct" w:w="2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21"/>
                <w:szCs w:val="21"/>
              </w:rPr>
              <w:t xml:space="preserve">Running project log</w:t>
            </w:r>
          </w:p>
        </w:tc>
        <w:tc>
          <w:tcPr>
            <w:tcW w:type="pct" w:w="7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X:\GISC\Community\LaGrange\Project\20240829_ParkingPermitMaps\PROJECTDOCUMENTATION.md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 — full decision and progress history for the GIS side</w:t>
            </w:r>
          </w:p>
        </w:tc>
      </w:tr>
      <w:tr>
        <w:tc>
          <w:tcPr>
            <w:tcW w:type="pct" w:w="2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21"/>
                <w:szCs w:val="21"/>
              </w:rPr>
              <w:t xml:space="preserve">Hosting</w:t>
            </w:r>
          </w:p>
        </w:tc>
        <w:tc>
          <w:tcPr>
            <w:tcW w:type="pct" w:w="7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Azure tenant </w:t>
            </w: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Community-Essentials.com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 · resource group </w:t>
            </w: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rg-lagrange-parking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 (centralus) · two Static Web Apps, Free plan · steps in </w:t>
            </w: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DEPLOY.md</w:t>
            </w:r>
          </w:p>
        </w:tc>
      </w:tr>
      <w:tr>
        <w:tc>
          <w:tcPr>
            <w:tcW w:type="pct" w:w="2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21"/>
                <w:szCs w:val="21"/>
              </w:rPr>
              <w:t xml:space="preserve">Branding</w:t>
            </w:r>
          </w:p>
        </w:tc>
        <w:tc>
          <w:tcPr>
            <w:tcW w:type="pct" w:w="7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Village of La Grange Brand Guidelines (0719) — Dark Blue #00306C · La Grange Blue #126BB5 · Green #43B749 · Nunito Sans + Oswald</w:t>
            </w:r>
          </w:p>
        </w:tc>
      </w:tr>
      <w:tr>
        <w:tc>
          <w:tcPr>
            <w:tcW w:type="pct" w:w="2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21"/>
                <w:szCs w:val="21"/>
              </w:rPr>
              <w:t xml:space="preserve">Basemap</w:t>
            </w:r>
          </w:p>
        </w:tc>
        <w:tc>
          <w:tcPr>
            <w:tcW w:type="pct" w:w="76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GISC Light Canvas — in both the apps and the ArcGIS Pro maps</w:t>
            </w:r>
          </w:p>
        </w:tc>
      </w:tr>
    </w:tbl>
    <w:p>
      <w:pPr>
        <w:spacing w:after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66"/>
          <w:sz w:val="23"/>
          <w:szCs w:val="23"/>
        </w:rPr>
        <w:t xml:space="preserve">8.5 — Decisions that shaped the deliverable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E7C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E7C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21"/>
                <w:szCs w:val="21"/>
              </w:rPr>
              <w:t xml:space="preserve">Two apps, not StoryMaps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Charity ended the single all-in-one map on 2026-06-18. Two audience-targeted apps replaced it; the StoryMaps in the original scope were dropped. The June AGOL web maps still exist but are QA aids only.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21"/>
                <w:szCs w:val="21"/>
              </w:rPr>
              <w:t xml:space="preserve">The parking data was de-fragmented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One physical lot arrived as several overlapping polygons, one per restriction type. Dissolved into one area per lot with its rules in a related table — this is what makes the data answerable.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21"/>
                <w:szCs w:val="21"/>
              </w:rPr>
              <w:t xml:space="preserve">Lot lists and content are the Village’s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Lots on each permit page come from the Village’s verbatim list, not a data-derived guess. Rates exist in the data but are never displayed; "decal" appears in no public text.</w:t>
            </w:r>
          </w:p>
        </w:tc>
      </w:tr>
      <w:tr>
        <w:tc>
          <w:tcPr>
            <w:tcW w:type="pct" w:w="3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2B2B"/>
                <w:sz w:val="21"/>
                <w:szCs w:val="21"/>
              </w:rPr>
              <w:t xml:space="preserve">Designated overnight areas are GIS features</w:t>
            </w:r>
          </w:p>
        </w:tc>
        <w:tc>
          <w:tcPr>
            <w:tcW w:type="pct" w:w="70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Only the permitted areas inside each lot were drawn, not the prohibited remainder — so the apps must state the rule in words. Scanned drawings were rejected in favor of real map features.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6"/>
              <w:left w:val="single" w:color="C00000" w:sz="24"/>
              <w:bottom w:val="single" w:color="C00000" w:sz="6"/>
              <w:right w:val="single" w:color="C00000" w:sz="6"/>
            </w:tcBorders>
            <w:shd w:fill="FBE4E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0000"/>
                <w:sz w:val="21"/>
                <w:szCs w:val="21"/>
              </w:rPr>
              <w:t xml:space="preserve">⛔  The one that will bite you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Republishing </w:t>
            </w: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LaGrange_Parking_Permits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 resets its sharing to organization-only, and both public apps immediately fail with "Token Required." Re-share it publicly and re-test anonymous access after </w:t>
            </w:r>
            <w:r>
              <w:rPr>
                <w:rFonts w:ascii="Arial" w:cs="Arial" w:eastAsia="Arial" w:hAnsi="Arial"/>
                <w:b/>
                <w:bCs/>
                <w:color w:val="2B2B2B"/>
                <w:sz w:val="21"/>
                <w:szCs w:val="21"/>
              </w:rPr>
              <w:t xml:space="preserve">every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 republish.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45309" w:sz="6"/>
              <w:left w:val="single" w:color="B45309" w:sz="24"/>
              <w:bottom w:val="single" w:color="B45309" w:sz="6"/>
              <w:right w:val="single" w:color="B45309" w:sz="6"/>
            </w:tcBorders>
            <w:shd w:fill="FFF3D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⚠  AREAID is the join key — spelling is everything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AREAID is the lot name uppercased with non-alphanumerics stripped: "Lot 15" → </w:t>
            </w: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LOT15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. Any other spelling silently drops the lot from its page. Verify against the live services rather than trusting the configuration: </w:t>
            </w:r>
            <w:r>
              <w:rPr>
                <w:rFonts w:ascii="Consolas" w:cs="Consolas" w:eastAsia="Consolas" w:hAnsi="Consolas"/>
                <w:color w:val="2B2B2B"/>
                <w:sz w:val="19"/>
                <w:szCs w:val="19"/>
              </w:rPr>
              <w:t xml:space="preserve">node scripts/verify-permit-pages.mjs</w:t>
            </w:r>
            <w:r>
              <w:rPr>
                <w:rFonts w:ascii="Arial" w:cs="Arial" w:eastAsia="Arial" w:hAnsi="Arial"/>
                <w:color w:val="2B2B2B"/>
                <w:sz w:val="21"/>
                <w:szCs w:val="21"/>
              </w:rPr>
              <w:t xml:space="preserve"> confirms every listed lot resolves and returns rules.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Known upstream data defects are catalogued in </w:t>
      </w:r>
      <w:r>
        <w:rPr>
          <w:rFonts w:ascii="Consolas" w:cs="Consolas" w:eastAsia="Consolas" w:hAnsi="Consolas"/>
          <w:color w:val="2B2B2B"/>
          <w:sz w:val="19"/>
          <w:szCs w:val="19"/>
        </w:rPr>
        <w:t xml:space="preserve">docs/DATA.md</w:t>
      </w:r>
      <w:r>
        <w:rPr>
          <w:rFonts w:ascii="Arial" w:cs="Arial" w:eastAsia="Arial" w:hAnsi="Arial"/>
          <w:color w:val="2B2B2B"/>
          <w:sz w:val="21"/>
          <w:szCs w:val="21"/>
        </w:rPr>
        <w:t xml:space="preserve"> — chiefly that RULETYPE is a heuristic label, which currently leaves three lots with an empty detail card.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E7C66"/>
          <w:sz w:val="23"/>
          <w:szCs w:val="23"/>
        </w:rPr>
        <w:t xml:space="preserve">8.6 — Publish / republish log</w:t>
      </w:r>
    </w:p>
    <w:p>
      <w:pPr>
        <w:spacing w:after="12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Complete one row every time the hosted service is overwritten or republished: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E7C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pct" w:w="3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E7C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  <w:tc>
          <w:tcPr>
            <w:tcW w:type="pct" w:w="1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E7C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Republished by</w:t>
            </w:r>
          </w:p>
        </w:tc>
        <w:tc>
          <w:tcPr>
            <w:tcW w:type="pct" w:w="1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E7C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Re-shared Public? (Y/N)</w:t>
            </w:r>
          </w:p>
        </w:tc>
        <w:tc>
          <w:tcPr>
            <w:tcW w:type="pct" w:w="1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E7C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Anonymous query verified? (Y/N)</w:t>
            </w:r>
          </w:p>
        </w:tc>
      </w:tr>
      <w:tr>
        <w:tc>
          <w:tcPr>
            <w:tcW w:type="pct" w:w="1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</w:t>
            </w:r>
          </w:p>
        </w:tc>
        <w:tc>
          <w:tcPr>
            <w:tcW w:type="pct" w:w="3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</w:t>
            </w:r>
          </w:p>
        </w:tc>
        <w:tc>
          <w:tcPr>
            <w:tcW w:type="pct" w:w="1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</w:t>
            </w:r>
          </w:p>
        </w:tc>
        <w:tc>
          <w:tcPr>
            <w:tcW w:type="pct" w:w="1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</w:t>
            </w:r>
          </w:p>
        </w:tc>
        <w:tc>
          <w:tcPr>
            <w:tcW w:type="pct" w:w="1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1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</w:t>
            </w:r>
          </w:p>
        </w:tc>
        <w:tc>
          <w:tcPr>
            <w:tcW w:type="pct" w:w="3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</w:t>
            </w:r>
          </w:p>
        </w:tc>
        <w:tc>
          <w:tcPr>
            <w:tcW w:type="pct" w:w="1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</w:t>
            </w:r>
          </w:p>
        </w:tc>
        <w:tc>
          <w:tcPr>
            <w:tcW w:type="pct" w:w="1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</w:t>
            </w:r>
          </w:p>
        </w:tc>
        <w:tc>
          <w:tcPr>
            <w:tcW w:type="pct" w:w="1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1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</w:t>
            </w:r>
          </w:p>
        </w:tc>
        <w:tc>
          <w:tcPr>
            <w:tcW w:type="pct" w:w="3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</w:t>
            </w:r>
          </w:p>
        </w:tc>
        <w:tc>
          <w:tcPr>
            <w:tcW w:type="pct" w:w="1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</w:t>
            </w:r>
          </w:p>
        </w:tc>
        <w:tc>
          <w:tcPr>
            <w:tcW w:type="pct" w:w="1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</w:t>
            </w:r>
          </w:p>
        </w:tc>
        <w:tc>
          <w:tcPr>
            <w:tcW w:type="pct" w:w="1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1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</w:t>
            </w:r>
          </w:p>
        </w:tc>
        <w:tc>
          <w:tcPr>
            <w:tcW w:type="pct" w:w="3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</w:t>
            </w:r>
          </w:p>
        </w:tc>
        <w:tc>
          <w:tcPr>
            <w:tcW w:type="pct" w:w="1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</w:t>
            </w:r>
          </w:p>
        </w:tc>
        <w:tc>
          <w:tcPr>
            <w:tcW w:type="pct" w:w="1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</w:t>
            </w:r>
          </w:p>
        </w:tc>
        <w:tc>
          <w:tcPr>
            <w:tcW w:type="pct" w:w="1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pct" w:w="1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</w:t>
            </w:r>
          </w:p>
        </w:tc>
        <w:tc>
          <w:tcPr>
            <w:tcW w:type="pct" w:w="34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</w:t>
            </w:r>
          </w:p>
        </w:tc>
        <w:tc>
          <w:tcPr>
            <w:tcW w:type="pct" w:w="1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</w:t>
            </w:r>
          </w:p>
        </w:tc>
        <w:tc>
          <w:tcPr>
            <w:tcW w:type="pct" w:w="1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</w:t>
            </w:r>
          </w:p>
        </w:tc>
        <w:tc>
          <w:tcPr>
            <w:tcW w:type="pct" w:w="1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1080" w:right="1240" w:bottom="108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7"/>
        <w:szCs w:val="17"/>
      </w:rPr>
      <w:t xml:space="preserve">MGP Inc. — La Grange Parking Apps (Developer Guide) | Page </w:t>
    </w:r>
    <w:r>
      <w:rPr>
        <w:rFonts w:ascii="Arial" w:cs="Arial" w:eastAsia="Arial" w:hAnsi="Arial"/>
        <w:color w:val="8080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wyplfmkdtama7-2ov21ny" Type="http://schemas.openxmlformats.org/officeDocument/2006/relationships/hyperlink" Target="https://mango-cliff-087d26410.7.azurestaticapps.net" TargetMode="External"/><Relationship Id="rIdxsaeen9c8epfpk4gn_pkl" Type="http://schemas.openxmlformats.org/officeDocument/2006/relationships/hyperlink" Target="https://ashy-mud-0b906db10.7.azurestaticapps.net" TargetMode="External"/><Relationship Id="rIden_zktv4_lcrnkyquxjyo" Type="http://schemas.openxmlformats.org/officeDocument/2006/relationships/hyperlink" Target="https://mango-cliff-087d26410.7.azurestaticapps.net" TargetMode="External"/><Relationship Id="rId7llmofgjygenhv0atbmeo" Type="http://schemas.openxmlformats.org/officeDocument/2006/relationships/hyperlink" Target="https://ashy-mud-0b906db10.7.azurestaticapps.net" TargetMode="External"/><Relationship Id="rIdvxnoy9rf31kkcof6p3upz" Type="http://schemas.openxmlformats.org/officeDocument/2006/relationships/hyperlink" Target="https://github.com/mgp-inc/lagrange-parking" TargetMode="External"/><Relationship Id="rId8" Type="http://schemas.openxmlformats.org/officeDocument/2006/relationships/image" Target="media/594ca5fa9e220dea308cbf278a5b8e9747710222.png"/><Relationship Id="rId9" Type="http://schemas.openxmlformats.org/officeDocument/2006/relationships/image" Target="media/e889c8bcebf1152af7eb1cfd99d8166fd7e1ca26.png"/><Relationship Id="rId10" Type="http://schemas.openxmlformats.org/officeDocument/2006/relationships/image" Target="media/c42b96f81779f5054555cf3a51d4cbd6778446c1.png"/><Relationship Id="rId11" Type="http://schemas.openxmlformats.org/officeDocument/2006/relationships/image" Target="media/54ded6c5bbd12ec605cc48a4b0b8d75f876a39e9.png"/><Relationship Id="rId12" Type="http://schemas.openxmlformats.org/officeDocument/2006/relationships/image" Target="media/39ebc6f87f27bae169845e6b3199ba3f95869a68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2026-09-02T18:11:30.631Z</dcterms:created>
  <dcterms:modified xsi:type="dcterms:W3CDTF">2026-09-02T18:11:30.632Z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