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168"/>
      </w:pPr>
    </w:p>
    <w:p>
      <w:pPr>
        <w:spacing w:after="200" w:before="2600"/>
        <w:jc w:val="center"/>
      </w:pPr>
      <w:r>
        <w:rPr>
          <w:rFonts w:ascii="Arial" w:cs="Arial" w:eastAsia="Arial" w:hAnsi="Arial"/>
          <w:b/>
          <w:bCs/>
          <w:color w:val="404040"/>
          <w:sz w:val="24"/>
          <w:szCs w:val="24"/>
        </w:rPr>
        <w:t xml:space="preserve">MGP Inc. — GIS &amp; Web Applications</w:t>
      </w:r>
    </w:p>
    <w:p>
      <w:pPr>
        <w:spacing w:after="160"/>
        <w:jc w:val="center"/>
      </w:pPr>
      <w:r>
        <w:rPr>
          <w:rFonts w:ascii="Arial" w:cs="Arial" w:eastAsia="Arial" w:hAnsi="Arial"/>
          <w:b/>
          <w:bCs/>
          <w:color w:val="1F4E79"/>
          <w:sz w:val="52"/>
          <w:szCs w:val="52"/>
        </w:rPr>
        <w:t xml:space="preserve">La Grange Parking Apps</w:t>
      </w:r>
    </w:p>
    <w:p>
      <w:pPr>
        <w:spacing w:after="400"/>
        <w:jc w:val="center"/>
      </w:pPr>
      <w:r>
        <w:rPr>
          <w:rFonts w:ascii="Arial" w:cs="Arial" w:eastAsia="Arial" w:hAnsi="Arial"/>
          <w:i/>
          <w:iCs/>
          <w:color w:val="595959"/>
          <w:sz w:val="30"/>
          <w:szCs w:val="30"/>
        </w:rPr>
        <w:t xml:space="preserve">Developer Guide</w:t>
      </w:r>
    </w:p>
    <w:p>
      <w:pPr>
        <w:spacing w:after="300"/>
        <w:jc w:val="center"/>
      </w:pPr>
      <w:r>
        <w:rPr>
          <w:rFonts w:ascii="Arial" w:cs="Arial" w:eastAsia="Arial" w:hAnsi="Arial"/>
          <w:color w:val="404040"/>
          <w:sz w:val="21"/>
          <w:szCs w:val="21"/>
        </w:rPr>
        <w:t xml:space="preserve">How the Village of La Grange permit and public parking maps are built, how to make the most common content edits safely, and how to verify and deploy changes.</w:t>
      </w:r>
    </w:p>
    <w:p>
      <w:pPr>
        <w:spacing w:after="80"/>
        <w:jc w:val="center"/>
      </w:pPr>
      <w:hyperlink w:history="1" r:id="rIdwfbsnlafpshr2u3rcotb2">
        <w:r>
          <w:rPr>
            <w:rFonts w:ascii="Arial" w:cs="Arial" w:eastAsia="Arial" w:hAnsi="Arial"/>
            <w:color w:val="2E74B5"/>
            <w:sz w:val="21"/>
            <w:szCs w:val="21"/>
            <w:u w:val="single"/>
          </w:rPr>
          <w:t xml:space="preserve">Permit app — mango-cliff-087d26410.7.azurestaticapps.net</w:t>
        </w:r>
      </w:hyperlink>
    </w:p>
    <w:p>
      <w:pPr>
        <w:jc w:val="center"/>
      </w:pPr>
      <w:hyperlink w:history="1" r:id="rId-ajvdgs7ljqbc0vnntnze">
        <w:r>
          <w:rPr>
            <w:rFonts w:ascii="Arial" w:cs="Arial" w:eastAsia="Arial" w:hAnsi="Arial"/>
            <w:color w:val="2E74B5"/>
            <w:sz w:val="21"/>
            <w:szCs w:val="21"/>
            <w:u w:val="single"/>
          </w:rPr>
          <w:t xml:space="preserve">Public app — ashy-mud-0b906db10.7.azurestaticapps.net</w:t>
        </w:r>
      </w:hyperlink>
    </w:p>
    <w:p>
      <w:r>
        <w:br w:type="page"/>
      </w:r>
    </w:p>
    <w:p>
      <w:pPr>
        <w:spacing w:after="120"/>
      </w:pPr>
      <w:r>
        <w:rPr>
          <w:rFonts w:ascii="Arial" w:cs="Arial" w:eastAsia="Arial" w:hAnsi="Arial"/>
          <w:b/>
          <w:bCs/>
          <w:color w:val="2E74B5"/>
          <w:sz w:val="26"/>
          <w:szCs w:val="2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Arial" w:cs="Arial" w:eastAsia="Arial" w:hAnsi="Arial"/>
          <w:i/>
          <w:iCs/>
          <w:color w:val="808080"/>
          <w:sz w:val="18"/>
          <w:szCs w:val="18"/>
        </w:rPr>
        <w:t xml:space="preserve">If page numbers are missing, right-click the table and choose "Update Field" (or press Ctrl+A then F9).</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1. Overview &amp; Architecture</w:t>
            </w:r>
          </w:p>
        </w:tc>
      </w:tr>
    </w:tbl>
    <w:p>
      <w:pPr>
        <w:spacing w:after="120"/>
      </w:pPr>
    </w:p>
    <w:p>
      <w:pPr>
        <w:pStyle w:val="Heading1"/>
        <w:spacing w:after="120" w:before="240"/>
      </w:pPr>
      <w:r>
        <w:rPr>
          <w:rFonts w:ascii="Arial" w:cs="Arial" w:eastAsia="Arial" w:hAnsi="Arial"/>
          <w:b/>
          <w:bCs/>
          <w:color w:val="2E74B5"/>
          <w:sz w:val="26"/>
          <w:szCs w:val="26"/>
        </w:rPr>
        <w:t xml:space="preserve">1. Overview &amp; Architecture</w:t>
      </w:r>
    </w:p>
    <w:p>
      <w:pPr>
        <w:spacing w:after="120"/>
      </w:pPr>
      <w:r>
        <w:rPr>
          <w:rFonts w:ascii="Arial" w:cs="Arial" w:eastAsia="Arial" w:hAnsi="Arial"/>
          <w:sz w:val="21"/>
          <w:szCs w:val="21"/>
        </w:rPr>
        <w:t xml:space="preserve">The repo builds two public, mobile-friendly interactive parking maps for the Village of La Grange from one codebase. Each is a static single-page app with hash routing — no server, no login, no identity.</w:t>
      </w:r>
    </w:p>
    <w:p>
      <w:pPr>
        <w:pStyle w:val="Heading2"/>
        <w:spacing w:after="100" w:before="240"/>
      </w:pPr>
      <w:r>
        <w:rPr>
          <w:rFonts w:ascii="Arial" w:cs="Arial" w:eastAsia="Arial" w:hAnsi="Arial"/>
          <w:b/>
          <w:bCs/>
          <w:color w:val="2E74B5"/>
          <w:sz w:val="23"/>
          <w:szCs w:val="23"/>
        </w:rPr>
        <w:t xml:space="preserve">Live sites — always compare against these</w:t>
      </w:r>
    </w:p>
    <w:p>
      <w:pPr>
        <w:pStyle w:val="ListParagraph"/>
        <w:numPr>
          <w:ilvl w:val="0"/>
          <w:numId w:val="1"/>
        </w:numPr>
        <w:spacing w:after="60"/>
      </w:pPr>
      <w:r>
        <w:rPr>
          <w:rFonts w:ascii="Arial" w:cs="Arial" w:eastAsia="Arial" w:hAnsi="Arial"/>
          <w:b/>
          <w:bCs/>
          <w:sz w:val="21"/>
          <w:szCs w:val="21"/>
        </w:rPr>
        <w:t xml:space="preserve">Permit app: </w:t>
      </w:r>
      <w:hyperlink w:history="1" r:id="rIdusirjr-wujqt-q2y2hk23">
        <w:r>
          <w:rPr>
            <w:rFonts w:ascii="Arial" w:cs="Arial" w:eastAsia="Arial" w:hAnsi="Arial"/>
            <w:color w:val="2E74B5"/>
            <w:sz w:val="21"/>
            <w:szCs w:val="21"/>
            <w:u w:val="single"/>
          </w:rPr>
          <w:t xml:space="preserve">https://mango-cliff-087d26410.7.azurestaticapps.net</w:t>
        </w:r>
      </w:hyperlink>
    </w:p>
    <w:p>
      <w:pPr>
        <w:pStyle w:val="ListParagraph"/>
        <w:numPr>
          <w:ilvl w:val="0"/>
          <w:numId w:val="1"/>
        </w:numPr>
        <w:spacing w:after="60"/>
      </w:pPr>
      <w:r>
        <w:rPr>
          <w:rFonts w:ascii="Arial" w:cs="Arial" w:eastAsia="Arial" w:hAnsi="Arial"/>
          <w:b/>
          <w:bCs/>
          <w:sz w:val="21"/>
          <w:szCs w:val="21"/>
        </w:rPr>
        <w:t xml:space="preserve">Public app: </w:t>
      </w:r>
      <w:hyperlink w:history="1" r:id="rIdkci15fsyhe0ecqiqerrbv">
        <w:r>
          <w:rPr>
            <w:rFonts w:ascii="Arial" w:cs="Arial" w:eastAsia="Arial" w:hAnsi="Arial"/>
            <w:color w:val="2E74B5"/>
            <w:sz w:val="21"/>
            <w:szCs w:val="21"/>
            <w:u w:val="single"/>
          </w:rPr>
          <w:t xml:space="preserve">https://ashy-mud-0b906db10.7.azurestaticapps.net</w:t>
        </w:r>
      </w:hyperlink>
    </w:p>
    <w:p>
      <w:pPr>
        <w:spacing w:after="120"/>
      </w:pPr>
      <w:r>
        <w:rPr>
          <w:rFonts w:ascii="Arial" w:cs="Arial" w:eastAsia="Arial" w:hAnsi="Arial"/>
          <w:sz w:val="21"/>
          <w:szCs w:val="21"/>
        </w:rPr>
        <w:t xml:space="preserve">Before and after any change, open the live site next to your local dev server — what is deployed is the reference for "how it should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shd w:fill="DEEAF6" w:val="clear"/>
            <w:tcMar>
              <w:top w:type="dxa" w:w="60"/>
              <w:left w:type="dxa" w:w="120"/>
              <w:bottom w:type="dxa" w:w="60"/>
              <w:right w:type="dxa" w:w="120"/>
            </w:tcMar>
          </w:tcPr>
          <w:p>
            <w:r>
              <w:rPr>
                <w:rFonts w:ascii="Arial" w:cs="Arial" w:eastAsia="Arial" w:hAnsi="Arial"/>
                <w:b/>
                <w:bCs/>
                <w:sz w:val="20"/>
                <w:szCs w:val="20"/>
              </w:rPr>
              <w:t xml:space="preserve">App</w:t>
            </w:r>
          </w:p>
        </w:tc>
        <w:tc>
          <w:tcPr>
            <w:tcW w:type="pct" w:w="30%"/>
            <w:shd w:fill="DEEAF6" w:val="clear"/>
            <w:tcMar>
              <w:top w:type="dxa" w:w="60"/>
              <w:left w:type="dxa" w:w="120"/>
              <w:bottom w:type="dxa" w:w="60"/>
              <w:right w:type="dxa" w:w="120"/>
            </w:tcMar>
          </w:tcPr>
          <w:p>
            <w:r>
              <w:rPr>
                <w:rFonts w:ascii="Arial" w:cs="Arial" w:eastAsia="Arial" w:hAnsi="Arial"/>
                <w:b/>
                <w:bCs/>
                <w:sz w:val="20"/>
                <w:szCs w:val="20"/>
              </w:rPr>
              <w:t xml:space="preserve">Audience</w:t>
            </w:r>
          </w:p>
        </w:tc>
        <w:tc>
          <w:tcPr>
            <w:tcW w:type="pct" w:w="28%"/>
            <w:shd w:fill="DEEAF6" w:val="clear"/>
            <w:tcMar>
              <w:top w:type="dxa" w:w="60"/>
              <w:left w:type="dxa" w:w="120"/>
              <w:bottom w:type="dxa" w:w="60"/>
              <w:right w:type="dxa" w:w="120"/>
            </w:tcMar>
          </w:tcPr>
          <w:p>
            <w:r>
              <w:rPr>
                <w:rFonts w:ascii="Arial" w:cs="Arial" w:eastAsia="Arial" w:hAnsi="Arial"/>
                <w:b/>
                <w:bCs/>
                <w:sz w:val="20"/>
                <w:szCs w:val="20"/>
              </w:rPr>
              <w:t xml:space="preserve">Build mode / profile</w:t>
            </w:r>
          </w:p>
        </w:tc>
        <w:tc>
          <w:tcPr>
            <w:tcW w:type="pct" w:w="30%"/>
            <w:shd w:fill="DEEAF6" w:val="clear"/>
            <w:tcMar>
              <w:top w:type="dxa" w:w="60"/>
              <w:left w:type="dxa" w:w="120"/>
              <w:bottom w:type="dxa" w:w="60"/>
              <w:right w:type="dxa" w:w="120"/>
            </w:tcMar>
          </w:tcPr>
          <w:p>
            <w:r>
              <w:rPr>
                <w:rFonts w:ascii="Arial" w:cs="Arial" w:eastAsia="Arial" w:hAnsi="Arial"/>
                <w:b/>
                <w:bCs/>
                <w:sz w:val="20"/>
                <w:szCs w:val="20"/>
              </w:rPr>
              <w:t xml:space="preserve">Live URL</w:t>
            </w:r>
          </w:p>
        </w:tc>
      </w:tr>
      <w:tr>
        <w:tc>
          <w:tcPr>
            <w:tcW w:type="pct" w:w="12%"/>
            <w:tcMar>
              <w:top w:type="dxa" w:w="60"/>
              <w:left w:type="dxa" w:w="120"/>
              <w:bottom w:type="dxa" w:w="60"/>
              <w:right w:type="dxa" w:w="120"/>
            </w:tcMar>
          </w:tcPr>
          <w:p>
            <w:r>
              <w:rPr>
                <w:rFonts w:ascii="Arial" w:cs="Arial" w:eastAsia="Arial" w:hAnsi="Arial"/>
                <w:sz w:val="20"/>
                <w:szCs w:val="20"/>
              </w:rPr>
              <w:t xml:space="preserve">Permit</w:t>
            </w:r>
          </w:p>
        </w:tc>
        <w:tc>
          <w:tcPr>
            <w:tcW w:type="pct" w:w="30%"/>
            <w:tcMar>
              <w:top w:type="dxa" w:w="60"/>
              <w:left w:type="dxa" w:w="120"/>
              <w:bottom w:type="dxa" w:w="60"/>
              <w:right w:type="dxa" w:w="120"/>
            </w:tcMar>
          </w:tcPr>
          <w:p>
            <w:r>
              <w:rPr>
                <w:rFonts w:ascii="Arial" w:cs="Arial" w:eastAsia="Arial" w:hAnsi="Arial"/>
                <w:sz w:val="20"/>
                <w:szCs w:val="20"/>
              </w:rPr>
              <w:t xml:space="preserve">Permit holders (4 permit-type pages)</w:t>
            </w:r>
          </w:p>
        </w:tc>
        <w:tc>
          <w:tcPr>
            <w:tcW w:type="pct" w:w="28%"/>
            <w:tcMar>
              <w:top w:type="dxa" w:w="60"/>
              <w:left w:type="dxa" w:w="120"/>
              <w:bottom w:type="dxa" w:w="60"/>
              <w:right w:type="dxa" w:w="120"/>
            </w:tcMar>
          </w:tcPr>
          <w:p>
            <w:r>
              <w:rPr>
                <w:rFonts w:ascii="Consolas" w:cs="Consolas" w:eastAsia="Consolas" w:hAnsi="Consolas"/>
                <w:sz w:val="19"/>
                <w:szCs w:val="19"/>
              </w:rPr>
              <w:t xml:space="preserve">--mode permit · lagrange-permit.json</w:t>
            </w:r>
          </w:p>
        </w:tc>
        <w:tc>
          <w:tcPr>
            <w:tcW w:type="pct" w:w="30%"/>
            <w:tcMar>
              <w:top w:type="dxa" w:w="60"/>
              <w:left w:type="dxa" w:w="120"/>
              <w:bottom w:type="dxa" w:w="60"/>
              <w:right w:type="dxa" w:w="120"/>
            </w:tcMar>
          </w:tcPr>
          <w:p>
            <w:r>
              <w:rPr>
                <w:rFonts w:ascii="Arial" w:cs="Arial" w:eastAsia="Arial" w:hAnsi="Arial"/>
                <w:sz w:val="20"/>
                <w:szCs w:val="20"/>
              </w:rPr>
              <w:t xml:space="preserve">mango-cliff-087d26410.7.azurestaticapps.net</w:t>
            </w:r>
          </w:p>
        </w:tc>
      </w:tr>
      <w:tr>
        <w:tc>
          <w:tcPr>
            <w:tcW w:type="pct" w:w="12%"/>
            <w:tcMar>
              <w:top w:type="dxa" w:w="60"/>
              <w:left w:type="dxa" w:w="120"/>
              <w:bottom w:type="dxa" w:w="60"/>
              <w:right w:type="dxa" w:w="120"/>
            </w:tcMar>
          </w:tcPr>
          <w:p>
            <w:r>
              <w:rPr>
                <w:rFonts w:ascii="Arial" w:cs="Arial" w:eastAsia="Arial" w:hAnsi="Arial"/>
                <w:sz w:val="20"/>
                <w:szCs w:val="20"/>
              </w:rPr>
              <w:t xml:space="preserve">Public</w:t>
            </w:r>
          </w:p>
        </w:tc>
        <w:tc>
          <w:tcPr>
            <w:tcW w:type="pct" w:w="30%"/>
            <w:tcMar>
              <w:top w:type="dxa" w:w="60"/>
              <w:left w:type="dxa" w:w="120"/>
              <w:bottom w:type="dxa" w:w="60"/>
              <w:right w:type="dxa" w:w="120"/>
            </w:tcMar>
          </w:tcPr>
          <w:p>
            <w:r>
              <w:rPr>
                <w:rFonts w:ascii="Arial" w:cs="Arial" w:eastAsia="Arial" w:hAnsi="Arial"/>
                <w:sz w:val="20"/>
                <w:szCs w:val="20"/>
              </w:rPr>
              <w:t xml:space="preserve">Visitors (time-based parking)</w:t>
            </w:r>
          </w:p>
        </w:tc>
        <w:tc>
          <w:tcPr>
            <w:tcW w:type="pct" w:w="28%"/>
            <w:tcMar>
              <w:top w:type="dxa" w:w="60"/>
              <w:left w:type="dxa" w:w="120"/>
              <w:bottom w:type="dxa" w:w="60"/>
              <w:right w:type="dxa" w:w="120"/>
            </w:tcMar>
          </w:tcPr>
          <w:p>
            <w:r>
              <w:rPr>
                <w:rFonts w:ascii="Consolas" w:cs="Consolas" w:eastAsia="Consolas" w:hAnsi="Consolas"/>
                <w:sz w:val="19"/>
                <w:szCs w:val="19"/>
              </w:rPr>
              <w:t xml:space="preserve">--mode public · lagrange-public.json</w:t>
            </w:r>
          </w:p>
        </w:tc>
        <w:tc>
          <w:tcPr>
            <w:tcW w:type="pct" w:w="30%"/>
            <w:tcMar>
              <w:top w:type="dxa" w:w="60"/>
              <w:left w:type="dxa" w:w="120"/>
              <w:bottom w:type="dxa" w:w="60"/>
              <w:right w:type="dxa" w:w="120"/>
            </w:tcMar>
          </w:tcPr>
          <w:p>
            <w:r>
              <w:rPr>
                <w:rFonts w:ascii="Arial" w:cs="Arial" w:eastAsia="Arial" w:hAnsi="Arial"/>
                <w:sz w:val="20"/>
                <w:szCs w:val="20"/>
              </w:rPr>
              <w:t xml:space="preserve">ashy-mud-0b906db10.7.azurestaticapps.net</w:t>
            </w:r>
          </w:p>
        </w:tc>
      </w:tr>
    </w:tbl>
    <w:p>
      <w:pPr>
        <w:spacing w:after="120"/>
      </w:pPr>
    </w:p>
    <w:p>
      <w:pPr>
        <w:pStyle w:val="Heading2"/>
        <w:spacing w:after="100" w:before="240"/>
      </w:pPr>
      <w:r>
        <w:rPr>
          <w:rFonts w:ascii="Arial" w:cs="Arial" w:eastAsia="Arial" w:hAnsi="Arial"/>
          <w:b/>
          <w:bCs/>
          <w:color w:val="2E74B5"/>
          <w:sz w:val="23"/>
          <w:szCs w:val="23"/>
        </w:rPr>
        <w:t xml:space="preserve">Technology stack</w:t>
      </w:r>
    </w:p>
    <w:p>
      <w:pPr>
        <w:pStyle w:val="ListParagraph"/>
        <w:numPr>
          <w:ilvl w:val="0"/>
          <w:numId w:val="1"/>
        </w:numPr>
        <w:spacing w:after="60"/>
      </w:pPr>
      <w:r>
        <w:rPr>
          <w:rFonts w:ascii="Arial" w:cs="Arial" w:eastAsia="Arial" w:hAnsi="Arial"/>
          <w:sz w:val="21"/>
          <w:szCs w:val="21"/>
        </w:rPr>
        <w:t xml:space="preserve">React 19 + TypeScript + Vite 7 — no state library, React hooks only</w:t>
      </w:r>
    </w:p>
    <w:p>
      <w:pPr>
        <w:pStyle w:val="ListParagraph"/>
        <w:numPr>
          <w:ilvl w:val="0"/>
          <w:numId w:val="1"/>
        </w:numPr>
        <w:spacing w:after="60"/>
      </w:pPr>
      <w:r>
        <w:rPr>
          <w:rFonts w:ascii="Arial" w:cs="Arial" w:eastAsia="Arial" w:hAnsi="Arial"/>
          <w:sz w:val="21"/>
          <w:szCs w:val="21"/>
        </w:rPr>
        <w:t xml:space="preserve">ArcGIS Maps SDK for JavaScript v5 (</w:t>
      </w:r>
      <w:r>
        <w:rPr>
          <w:rFonts w:ascii="Consolas" w:cs="Consolas" w:eastAsia="Consolas" w:hAnsi="Consolas"/>
          <w:sz w:val="19"/>
          <w:szCs w:val="19"/>
        </w:rPr>
        <w:t xml:space="preserve">@arcgis/core</w:t>
      </w:r>
      <w:r>
        <w:rPr>
          <w:rFonts w:ascii="Arial" w:cs="Arial" w:eastAsia="Arial" w:hAnsi="Arial"/>
          <w:sz w:val="21"/>
          <w:szCs w:val="21"/>
        </w:rPr>
        <w:t xml:space="preserve">) — anonymous access, no login</w:t>
      </w:r>
    </w:p>
    <w:p>
      <w:pPr>
        <w:pStyle w:val="ListParagraph"/>
        <w:numPr>
          <w:ilvl w:val="0"/>
          <w:numId w:val="1"/>
        </w:numPr>
        <w:spacing w:after="60"/>
      </w:pPr>
      <w:r>
        <w:rPr>
          <w:rFonts w:ascii="Arial" w:cs="Arial" w:eastAsia="Arial" w:hAnsi="Arial"/>
          <w:sz w:val="21"/>
          <w:szCs w:val="21"/>
        </w:rPr>
        <w:t xml:space="preserve">Custom CSS with </w:t>
      </w:r>
      <w:r>
        <w:rPr>
          <w:rFonts w:ascii="Consolas" w:cs="Consolas" w:eastAsia="Consolas" w:hAnsi="Consolas"/>
          <w:sz w:val="19"/>
          <w:szCs w:val="19"/>
        </w:rPr>
        <w:t xml:space="preserve">--lf-*</w:t>
      </w:r>
      <w:r>
        <w:rPr>
          <w:rFonts w:ascii="Arial" w:cs="Arial" w:eastAsia="Arial" w:hAnsi="Arial"/>
          <w:sz w:val="21"/>
          <w:szCs w:val="21"/>
        </w:rPr>
        <w:t xml:space="preserve"> / </w:t>
      </w:r>
      <w:r>
        <w:rPr>
          <w:rFonts w:ascii="Consolas" w:cs="Consolas" w:eastAsia="Consolas" w:hAnsi="Consolas"/>
          <w:sz w:val="19"/>
          <w:szCs w:val="19"/>
        </w:rPr>
        <w:t xml:space="preserve">--font-*</w:t>
      </w:r>
      <w:r>
        <w:rPr>
          <w:rFonts w:ascii="Arial" w:cs="Arial" w:eastAsia="Arial" w:hAnsi="Arial"/>
          <w:sz w:val="21"/>
          <w:szCs w:val="21"/>
        </w:rPr>
        <w:t xml:space="preserve"> variables (defaults in </w:t>
      </w:r>
      <w:r>
        <w:rPr>
          <w:rFonts w:ascii="Consolas" w:cs="Consolas" w:eastAsia="Consolas" w:hAnsi="Consolas"/>
          <w:sz w:val="19"/>
          <w:szCs w:val="19"/>
        </w:rPr>
        <w:t xml:space="preserve">src/styles/index.css</w:t>
      </w:r>
      <w:r>
        <w:rPr>
          <w:rFonts w:ascii="Arial" w:cs="Arial" w:eastAsia="Arial" w:hAnsi="Arial"/>
          <w:sz w:val="21"/>
          <w:szCs w:val="21"/>
        </w:rPr>
        <w:t xml:space="preserve">)</w:t>
      </w:r>
    </w:p>
    <w:p>
      <w:pPr>
        <w:pStyle w:val="ListParagraph"/>
        <w:numPr>
          <w:ilvl w:val="0"/>
          <w:numId w:val="1"/>
        </w:numPr>
        <w:spacing w:after="60"/>
      </w:pPr>
      <w:r>
        <w:rPr>
          <w:rFonts w:ascii="Arial" w:cs="Arial" w:eastAsia="Arial" w:hAnsi="Arial"/>
          <w:sz w:val="21"/>
          <w:szCs w:val="21"/>
        </w:rPr>
        <w:t xml:space="preserve">Azure Static Web Apps (Free plan) hosting — one SWA resource per app</w:t>
      </w:r>
    </w:p>
    <w:p>
      <w:pPr>
        <w:pStyle w:val="Heading2"/>
        <w:spacing w:after="100" w:before="240"/>
      </w:pPr>
      <w:r>
        <w:rPr>
          <w:rFonts w:ascii="Arial" w:cs="Arial" w:eastAsia="Arial" w:hAnsi="Arial"/>
          <w:b/>
          <w:bCs/>
          <w:color w:val="2E74B5"/>
          <w:sz w:val="23"/>
          <w:szCs w:val="23"/>
        </w:rPr>
        <w:t xml:space="preserve">The Guided Finder is the app</w:t>
      </w:r>
    </w:p>
    <w:p>
      <w:pPr>
        <w:spacing w:after="120"/>
      </w:pPr>
      <w:r>
        <w:rPr>
          <w:rFonts w:ascii="Consolas" w:cs="Consolas" w:eastAsia="Consolas" w:hAnsi="Consolas"/>
          <w:sz w:val="19"/>
          <w:szCs w:val="19"/>
        </w:rPr>
        <w:t xml:space="preserve">App.tsx</w:t>
      </w:r>
      <w:r>
        <w:rPr>
          <w:rFonts w:ascii="Arial" w:cs="Arial" w:eastAsia="Arial" w:hAnsi="Arial"/>
          <w:sz w:val="21"/>
          <w:szCs w:val="21"/>
        </w:rPr>
        <w:t xml:space="preserve"> renders the </w:t>
      </w:r>
      <w:r>
        <w:rPr>
          <w:rFonts w:ascii="Arial" w:cs="Arial" w:eastAsia="Arial" w:hAnsi="Arial"/>
          <w:b/>
          <w:bCs/>
          <w:sz w:val="21"/>
          <w:szCs w:val="21"/>
        </w:rPr>
        <w:t xml:space="preserve">Guided Finder</w:t>
      </w:r>
      <w:r>
        <w:rPr>
          <w:rFonts w:ascii="Arial" w:cs="Arial" w:eastAsia="Arial" w:hAnsi="Arial"/>
          <w:sz w:val="21"/>
          <w:szCs w:val="21"/>
        </w:rPr>
        <w:t xml:space="preserve"> directly — the "pick your permit type" experience the Village reviewed and approved. Two alternative layouts remain reachable for internal comparison only: </w:t>
      </w:r>
      <w:r>
        <w:rPr>
          <w:rFonts w:ascii="Consolas" w:cs="Consolas" w:eastAsia="Consolas" w:hAnsi="Consolas"/>
          <w:sz w:val="19"/>
          <w:szCs w:val="19"/>
        </w:rPr>
        <w:t xml:space="preserve">#/explorer</w:t>
      </w:r>
      <w:r>
        <w:rPr>
          <w:rFonts w:ascii="Arial" w:cs="Arial" w:eastAsia="Arial" w:hAnsi="Arial"/>
          <w:sz w:val="21"/>
          <w:szCs w:val="21"/>
        </w:rPr>
        <w:t xml:space="preserve"> (the Explorer / </w:t>
      </w:r>
      <w:r>
        <w:rPr>
          <w:rFonts w:ascii="Consolas" w:cs="Consolas" w:eastAsia="Consolas" w:hAnsi="Consolas"/>
          <w:sz w:val="19"/>
          <w:szCs w:val="19"/>
        </w:rPr>
        <w:t xml:space="preserve">ParkingApp.tsx</w:t>
      </w:r>
      <w:r>
        <w:rPr>
          <w:rFonts w:ascii="Arial" w:cs="Arial" w:eastAsia="Arial" w:hAnsi="Arial"/>
          <w:sz w:val="21"/>
          <w:szCs w:val="21"/>
        </w:rPr>
        <w:t xml:space="preserve">) and </w:t>
      </w:r>
      <w:r>
        <w:rPr>
          <w:rFonts w:ascii="Consolas" w:cs="Consolas" w:eastAsia="Consolas" w:hAnsi="Consolas"/>
          <w:sz w:val="19"/>
          <w:szCs w:val="19"/>
        </w:rPr>
        <w:t xml:space="preserve">#/directory</w:t>
      </w:r>
      <w:r>
        <w:rPr>
          <w:rFonts w:ascii="Arial" w:cs="Arial" w:eastAsia="Arial" w:hAnsi="Arial"/>
          <w:sz w:val="21"/>
          <w:szCs w:val="21"/>
        </w:rPr>
        <w:t xml:space="preserve">. Nothing links to them.</w:t>
      </w:r>
    </w:p>
    <w:p>
      <w:pPr>
        <w:spacing w:after="6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543300"/>
                    </a:xfrm>
                    <a:prstGeom prst="rect">
                      <a:avLst/>
                    </a:prstGeom>
                  </pic:spPr>
                </pic:pic>
              </a:graphicData>
            </a:graphic>
          </wp:inline>
        </w:drawing>
      </w:r>
    </w:p>
    <w:p>
      <w:pPr>
        <w:spacing w:after="160"/>
        <w:jc w:val="center"/>
      </w:pPr>
      <w:r>
        <w:rPr>
          <w:rFonts w:ascii="Arial" w:cs="Arial" w:eastAsia="Arial" w:hAnsi="Arial"/>
          <w:i/>
          <w:iCs/>
          <w:color w:val="808080"/>
          <w:sz w:val="18"/>
          <w:szCs w:val="18"/>
        </w:rPr>
        <w:t xml:space="preserve">The permit app’s Guided Finder — the visitor picks a permit type, then sees only that page’s lots and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Do not add a landing page or layout chooser</w:t>
            </w:r>
          </w:p>
          <w:p>
            <w:pPr>
              <w:spacing w:after="120"/>
            </w:pPr>
            <w:r>
              <w:rPr>
                <w:rFonts w:ascii="Arial" w:cs="Arial" w:eastAsia="Arial" w:hAnsi="Arial"/>
                <w:sz w:val="21"/>
                <w:szCs w:val="21"/>
              </w:rPr>
              <w:t xml:space="preserve">The old HomePage.tsx that asked visitors to pick a layout was removed on purpose (it is in git history if ever needed). The Guided Finder is the single public experience — do not reintroduce a chooser.</w:t>
            </w:r>
          </w:p>
        </w:tc>
      </w:tr>
    </w:tbl>
    <w:p>
      <w:pPr>
        <w:spacing w:after="120"/>
      </w:pPr>
    </w:p>
    <w:p>
      <w:pPr>
        <w:pStyle w:val="Heading2"/>
        <w:spacing w:after="100" w:before="240"/>
      </w:pPr>
      <w:r>
        <w:rPr>
          <w:rFonts w:ascii="Arial" w:cs="Arial" w:eastAsia="Arial" w:hAnsi="Arial"/>
          <w:b/>
          <w:bCs/>
          <w:color w:val="2E74B5"/>
          <w:sz w:val="23"/>
          <w:szCs w:val="23"/>
        </w:rPr>
        <w:t xml:space="preserve">Profile-driven design</w:t>
      </w:r>
    </w:p>
    <w:p>
      <w:pPr>
        <w:spacing w:after="120"/>
      </w:pPr>
      <w:r>
        <w:rPr>
          <w:rFonts w:ascii="Arial" w:cs="Arial" w:eastAsia="Arial" w:hAnsi="Arial"/>
          <w:sz w:val="21"/>
          <w:szCs w:val="21"/>
        </w:rPr>
        <w:t xml:space="preserve">Nearly every piece of content a developer will ever be asked to change lives in a JSON profile, not in components: </w:t>
      </w:r>
      <w:r>
        <w:rPr>
          <w:rFonts w:ascii="Consolas" w:cs="Consolas" w:eastAsia="Consolas" w:hAnsi="Consolas"/>
          <w:sz w:val="19"/>
          <w:szCs w:val="19"/>
        </w:rPr>
        <w:t xml:space="preserve">public/profiles/lagrange-permit.json</w:t>
      </w:r>
      <w:r>
        <w:rPr>
          <w:rFonts w:ascii="Arial" w:cs="Arial" w:eastAsia="Arial" w:hAnsi="Arial"/>
          <w:sz w:val="21"/>
          <w:szCs w:val="21"/>
        </w:rPr>
        <w:t xml:space="preserve"> and </w:t>
      </w:r>
      <w:r>
        <w:rPr>
          <w:rFonts w:ascii="Consolas" w:cs="Consolas" w:eastAsia="Consolas" w:hAnsi="Consolas"/>
          <w:sz w:val="19"/>
          <w:szCs w:val="19"/>
        </w:rPr>
        <w:t xml:space="preserve">public/profiles/lagrange-public.json</w:t>
      </w:r>
      <w:r>
        <w:rPr>
          <w:rFonts w:ascii="Arial" w:cs="Arial" w:eastAsia="Arial" w:hAnsi="Arial"/>
          <w:sz w:val="21"/>
          <w:szCs w:val="21"/>
        </w:rPr>
        <w:t xml:space="preserve">. A profile controls the layer URL and field mapping, symbology and legend, the audience tabs (which lots, which rules, all sidebar text), branding, and map extent. Components are generic — </w:t>
      </w:r>
      <w:r>
        <w:rPr>
          <w:rFonts w:ascii="Arial" w:cs="Arial" w:eastAsia="Arial" w:hAnsi="Arial"/>
          <w:b/>
          <w:bCs/>
          <w:sz w:val="21"/>
          <w:szCs w:val="21"/>
        </w:rPr>
        <w:t xml:space="preserve">never hardcode field names, lot ids, or copy in components</w:t>
      </w:r>
      <w:r>
        <w:rPr>
          <w:rFonts w:ascii="Arial" w:cs="Arial" w:eastAsia="Arial" w:hAnsi="Arial"/>
          <w:sz w:val="21"/>
          <w:szCs w:val="21"/>
        </w:rPr>
        <w:t xml:space="preserve">.</w:t>
      </w:r>
    </w:p>
    <w:p>
      <w:pPr>
        <w:spacing w:after="120"/>
      </w:pPr>
      <w:r>
        <w:rPr>
          <w:rFonts w:ascii="Arial" w:cs="Arial" w:eastAsia="Arial" w:hAnsi="Arial"/>
          <w:sz w:val="21"/>
          <w:szCs w:val="21"/>
        </w:rPr>
        <w:t xml:space="preserve">Which profile loads is set per build mode by </w:t>
      </w:r>
      <w:r>
        <w:rPr>
          <w:rFonts w:ascii="Consolas" w:cs="Consolas" w:eastAsia="Consolas" w:hAnsi="Consolas"/>
          <w:sz w:val="19"/>
          <w:szCs w:val="19"/>
        </w:rPr>
        <w:t xml:space="preserve">VITE_PROFILE</w:t>
      </w:r>
      <w:r>
        <w:rPr>
          <w:rFonts w:ascii="Arial" w:cs="Arial" w:eastAsia="Arial" w:hAnsi="Arial"/>
          <w:sz w:val="21"/>
          <w:szCs w:val="21"/>
        </w:rPr>
        <w:t xml:space="preserve"> in </w:t>
      </w:r>
      <w:r>
        <w:rPr>
          <w:rFonts w:ascii="Consolas" w:cs="Consolas" w:eastAsia="Consolas" w:hAnsi="Consolas"/>
          <w:sz w:val="19"/>
          <w:szCs w:val="19"/>
        </w:rPr>
        <w:t xml:space="preserve">.env.permit</w:t>
      </w:r>
      <w:r>
        <w:rPr>
          <w:rFonts w:ascii="Arial" w:cs="Arial" w:eastAsia="Arial" w:hAnsi="Arial"/>
          <w:sz w:val="21"/>
          <w:szCs w:val="21"/>
        </w:rPr>
        <w:t xml:space="preserve"> / </w:t>
      </w:r>
      <w:r>
        <w:rPr>
          <w:rFonts w:ascii="Consolas" w:cs="Consolas" w:eastAsia="Consolas" w:hAnsi="Consolas"/>
          <w:sz w:val="19"/>
          <w:szCs w:val="19"/>
        </w:rPr>
        <w:t xml:space="preserve">.env.public</w:t>
      </w:r>
      <w:r>
        <w:rPr>
          <w:rFonts w:ascii="Arial" w:cs="Arial" w:eastAsia="Arial" w:hAnsi="Arial"/>
          <w:sz w:val="21"/>
          <w:szCs w:val="21"/>
        </w:rPr>
        <w:t xml:space="preserve">.</w:t>
      </w:r>
    </w:p>
    <w:p>
      <w:pPr>
        <w:pStyle w:val="Heading2"/>
        <w:spacing w:after="100" w:before="240"/>
      </w:pPr>
      <w:r>
        <w:rPr>
          <w:rFonts w:ascii="Arial" w:cs="Arial" w:eastAsia="Arial" w:hAnsi="Arial"/>
          <w:b/>
          <w:bCs/>
          <w:color w:val="2E74B5"/>
          <w:sz w:val="23"/>
          <w:szCs w:val="23"/>
        </w:rPr>
        <w:t xml:space="preserve">Data flow (permit app)</w:t>
      </w:r>
    </w:p>
    <w:p>
      <w:pPr>
        <w:shd w:fill="F2F2F2" w:val="clear"/>
        <w:spacing w:after="0"/>
        <w:ind w:left="360"/>
      </w:pPr>
      <w:r>
        <w:rPr>
          <w:rFonts w:ascii="Consolas" w:cs="Consolas" w:eastAsia="Consolas" w:hAnsi="Consolas"/>
          <w:sz w:val="19"/>
          <w:szCs w:val="19"/>
        </w:rPr>
        <w:t xml:space="preserve">main.tsx (esriConfig.apiKey) -&gt; App -&gt; useParkingProfile() -&gt; GuidedFinder</w:t>
      </w:r>
    </w:p>
    <w:p>
      <w:pPr>
        <w:shd w:fill="F2F2F2" w:val="clear"/>
        <w:spacing w:after="0"/>
        <w:ind w:left="360"/>
      </w:pPr>
      <w:r>
        <w:rPr>
          <w:rFonts w:ascii="Consolas" w:cs="Consolas" w:eastAsia="Consolas" w:hAnsi="Consolas"/>
          <w:sz w:val="19"/>
          <w:szCs w:val="19"/>
        </w:rPr>
        <w:t xml:space="preserve">  useParkingLayer    FeatureLayer + renderer from profile.symbology (baseWhere applied)</w:t>
      </w:r>
    </w:p>
    <w:p>
      <w:pPr>
        <w:shd w:fill="F2F2F2" w:val="clear"/>
        <w:spacing w:after="0"/>
        <w:ind w:left="360"/>
      </w:pPr>
      <w:r>
        <w:rPr>
          <w:rFonts w:ascii="Consolas" w:cs="Consolas" w:eastAsia="Consolas" w:hAnsi="Consolas"/>
          <w:sz w:val="19"/>
          <w:szCs w:val="19"/>
        </w:rPr>
        <w:t xml:space="preserve">  useSelectedLot     queries the current page's feature set</w:t>
      </w:r>
    </w:p>
    <w:p>
      <w:pPr>
        <w:shd w:fill="F2F2F2" w:val="clear"/>
        <w:spacing w:after="0"/>
        <w:ind w:left="360"/>
      </w:pPr>
      <w:r>
        <w:rPr>
          <w:rFonts w:ascii="Consolas" w:cs="Consolas" w:eastAsia="Consolas" w:hAnsi="Consolas"/>
          <w:sz w:val="19"/>
          <w:szCs w:val="19"/>
        </w:rPr>
        <w:t xml:space="preserve">  useRelatedRules    queries ParkingRule by AREAID + the page's ruleWhere</w:t>
      </w:r>
    </w:p>
    <w:p>
      <w:pPr>
        <w:shd w:fill="F2F2F2" w:val="clear"/>
        <w:spacing w:after="0"/>
        <w:ind w:left="360"/>
      </w:pPr>
      <w:r>
        <w:rPr>
          <w:rFonts w:ascii="Consolas" w:cs="Consolas" w:eastAsia="Consolas" w:hAnsi="Consolas"/>
          <w:sz w:val="19"/>
          <w:szCs w:val="19"/>
        </w:rPr>
        <w:t xml:space="preserve">  useSubzoneAreaIds  which lots have designated overnight bands drawn</w:t>
      </w:r>
    </w:p>
    <w:p>
      <w:pPr>
        <w:shd w:fill="F2F2F2" w:val="clear"/>
        <w:spacing w:after="0"/>
        <w:ind w:left="360"/>
      </w:pPr>
      <w:r>
        <w:rPr>
          <w:rFonts w:ascii="Consolas" w:cs="Consolas" w:eastAsia="Consolas" w:hAnsi="Consolas"/>
          <w:sz w:val="19"/>
          <w:szCs w:val="19"/>
        </w:rPr>
        <w:t xml:space="preserve">  GuidedFinder       definitionExpression = baseWhere AND memberFilter</w:t>
      </w:r>
    </w:p>
    <w:p>
      <w:pPr>
        <w:shd w:fill="F2F2F2" w:val="clear"/>
        <w:spacing w:after="0"/>
        <w:ind w:left="360"/>
      </w:pPr>
      <w:r>
        <w:rPr>
          <w:rFonts w:ascii="Consolas" w:cs="Consolas" w:eastAsia="Consolas" w:hAnsi="Consolas"/>
          <w:sz w:val="19"/>
          <w:szCs w:val="19"/>
        </w:rPr>
        <w:t xml:space="preserve">                     memberFilter = tab.areaIds  (Village's verbatim list — wins)</w:t>
      </w:r>
    </w:p>
    <w:p>
      <w:pPr>
        <w:shd w:fill="F2F2F2" w:val="clear"/>
        <w:spacing w:after="0"/>
        <w:ind w:left="360"/>
      </w:pPr>
      <w:r>
        <w:rPr>
          <w:rFonts w:ascii="Consolas" w:cs="Consolas" w:eastAsia="Consolas" w:hAnsi="Consolas"/>
          <w:sz w:val="19"/>
          <w:szCs w:val="19"/>
        </w:rPr>
        <w:t xml:space="preserve">                                  ?? rules-derived (useAudienceAreaIds)</w:t>
      </w:r>
    </w:p>
    <w:p>
      <w:pPr>
        <w:shd w:fill="F2F2F2" w:val="clear"/>
        <w:spacing w:after="0"/>
        <w:ind w:left="360"/>
      </w:pPr>
      <w:r>
        <w:rPr>
          <w:rFonts w:ascii="Consolas" w:cs="Consolas" w:eastAsia="Consolas" w:hAnsi="Consolas"/>
          <w:sz w:val="19"/>
          <w:szCs w:val="19"/>
        </w:rPr>
        <w:t xml:space="preserve">                                  ?? tab.where (HAS* flags — last resort)</w:t>
      </w:r>
    </w:p>
    <w:p>
      <w:pPr>
        <w:shd w:fill="F2F2F2" w:val="clear"/>
        <w:spacing w:after="120"/>
        <w:ind w:left="360"/>
      </w:pPr>
      <w:r>
        <w:rPr>
          <w:rFonts w:ascii="Consolas" w:cs="Consolas" w:eastAsia="Consolas" w:hAnsi="Consolas"/>
          <w:sz w:val="19"/>
          <w:szCs w:val="19"/>
        </w:rPr>
        <w:t xml:space="preserve">    PermitInfo ("What you need to know") | MapPanel | FeatureList | LotDetailCard</w:t>
      </w:r>
    </w:p>
    <w:p>
      <w:pPr>
        <w:pStyle w:val="Heading2"/>
        <w:spacing w:after="100" w:before="240"/>
      </w:pPr>
      <w:r>
        <w:rPr>
          <w:rFonts w:ascii="Arial" w:cs="Arial" w:eastAsia="Arial" w:hAnsi="Arial"/>
          <w:b/>
          <w:bCs/>
          <w:color w:val="2E74B5"/>
          <w:sz w:val="23"/>
          <w:szCs w:val="23"/>
        </w:rPr>
        <w:t xml:space="preserve">Repository layout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DEEAF6" w:val="clear"/>
            <w:tcMar>
              <w:top w:type="dxa" w:w="60"/>
              <w:left w:type="dxa" w:w="120"/>
              <w:bottom w:type="dxa" w:w="60"/>
              <w:right w:type="dxa" w:w="120"/>
            </w:tcMar>
          </w:tcPr>
          <w:p>
            <w:r>
              <w:rPr>
                <w:rFonts w:ascii="Arial" w:cs="Arial" w:eastAsia="Arial" w:hAnsi="Arial"/>
                <w:b/>
                <w:bCs/>
                <w:sz w:val="20"/>
                <w:szCs w:val="20"/>
              </w:rPr>
              <w:t xml:space="preserve">Path</w:t>
            </w:r>
          </w:p>
        </w:tc>
        <w:tc>
          <w:tcPr>
            <w:tcW w:type="pct" w:w="70%"/>
            <w:shd w:fill="DEEAF6" w:val="clear"/>
            <w:tcMar>
              <w:top w:type="dxa" w:w="60"/>
              <w:left w:type="dxa" w:w="120"/>
              <w:bottom w:type="dxa" w:w="60"/>
              <w:right w:type="dxa" w:w="120"/>
            </w:tcMar>
          </w:tcPr>
          <w:p>
            <w:r>
              <w:rPr>
                <w:rFonts w:ascii="Arial" w:cs="Arial" w:eastAsia="Arial" w:hAnsi="Arial"/>
                <w:b/>
                <w:bCs/>
                <w:sz w:val="20"/>
                <w:szCs w:val="20"/>
              </w:rPr>
              <w:t xml:space="preserve">What lives there</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public/profiles/</w:t>
            </w:r>
          </w:p>
        </w:tc>
        <w:tc>
          <w:tcPr>
            <w:tcW w:type="pct" w:w="70%"/>
            <w:tcMar>
              <w:top w:type="dxa" w:w="60"/>
              <w:left w:type="dxa" w:w="120"/>
              <w:bottom w:type="dxa" w:w="60"/>
              <w:right w:type="dxa" w:w="120"/>
            </w:tcMar>
          </w:tcPr>
          <w:p>
            <w:r>
              <w:rPr>
                <w:rFonts w:ascii="Arial" w:cs="Arial" w:eastAsia="Arial" w:hAnsi="Arial"/>
                <w:sz w:val="20"/>
                <w:szCs w:val="20"/>
              </w:rPr>
              <w:t xml:space="preserve">The two app profiles — most content edits happen here</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src/components/</w:t>
            </w:r>
          </w:p>
        </w:tc>
        <w:tc>
          <w:tcPr>
            <w:tcW w:type="pct" w:w="70%"/>
            <w:tcMar>
              <w:top w:type="dxa" w:w="60"/>
              <w:left w:type="dxa" w:w="120"/>
              <w:bottom w:type="dxa" w:w="60"/>
              <w:right w:type="dxa" w:w="120"/>
            </w:tcMar>
          </w:tcPr>
          <w:p>
            <w:r>
              <w:rPr>
                <w:rFonts w:ascii="Arial" w:cs="Arial" w:eastAsia="Arial" w:hAnsi="Arial"/>
                <w:sz w:val="20"/>
                <w:szCs w:val="20"/>
              </w:rPr>
              <w:t xml:space="preserve">Generic React components (GuidedFinder in templates/, MapPanel, LotDetailCard…)</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src/hooks/</w:t>
            </w:r>
          </w:p>
        </w:tc>
        <w:tc>
          <w:tcPr>
            <w:tcW w:type="pct" w:w="70%"/>
            <w:tcMar>
              <w:top w:type="dxa" w:w="60"/>
              <w:left w:type="dxa" w:w="120"/>
              <w:bottom w:type="dxa" w:w="60"/>
              <w:right w:type="dxa" w:w="120"/>
            </w:tcMar>
          </w:tcPr>
          <w:p>
            <w:r>
              <w:rPr>
                <w:rFonts w:ascii="Arial" w:cs="Arial" w:eastAsia="Arial" w:hAnsi="Arial"/>
                <w:sz w:val="20"/>
                <w:szCs w:val="20"/>
              </w:rPr>
              <w:t xml:space="preserve">Data hooks (useParkingLayer, useRelatedRules, useSubzoneAreaIds…)</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src/config/types.ts</w:t>
            </w:r>
          </w:p>
        </w:tc>
        <w:tc>
          <w:tcPr>
            <w:tcW w:type="pct" w:w="70%"/>
            <w:tcMar>
              <w:top w:type="dxa" w:w="60"/>
              <w:left w:type="dxa" w:w="120"/>
              <w:bottom w:type="dxa" w:w="60"/>
              <w:right w:type="dxa" w:w="120"/>
            </w:tcMar>
          </w:tcPr>
          <w:p>
            <w:r>
              <w:rPr>
                <w:rFonts w:ascii="Arial" w:cs="Arial" w:eastAsia="Arial" w:hAnsi="Arial"/>
                <w:sz w:val="20"/>
                <w:szCs w:val="20"/>
              </w:rPr>
              <w:t xml:space="preserve">TypeScript shape of the profile JSON — read this before editing a profile</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scripts/</w:t>
            </w:r>
          </w:p>
        </w:tc>
        <w:tc>
          <w:tcPr>
            <w:tcW w:type="pct" w:w="70%"/>
            <w:tcMar>
              <w:top w:type="dxa" w:w="60"/>
              <w:left w:type="dxa" w:w="120"/>
              <w:bottom w:type="dxa" w:w="60"/>
              <w:right w:type="dxa" w:w="120"/>
            </w:tcMar>
          </w:tcPr>
          <w:p>
            <w:r>
              <w:rPr>
                <w:rFonts w:ascii="Arial" w:cs="Arial" w:eastAsia="Arial" w:hAnsi="Arial"/>
                <w:sz w:val="20"/>
                <w:szCs w:val="20"/>
              </w:rPr>
              <w:t xml:space="preserve">Verification scripts run against the live GIS services (read-only)</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docs/</w:t>
            </w:r>
          </w:p>
        </w:tc>
        <w:tc>
          <w:tcPr>
            <w:tcW w:type="pct" w:w="70%"/>
            <w:tcMar>
              <w:top w:type="dxa" w:w="60"/>
              <w:left w:type="dxa" w:w="120"/>
              <w:bottom w:type="dxa" w:w="60"/>
              <w:right w:type="dxa" w:w="120"/>
            </w:tcMar>
          </w:tcPr>
          <w:p>
            <w:r>
              <w:rPr>
                <w:rFonts w:ascii="Arial" w:cs="Arial" w:eastAsia="Arial" w:hAnsi="Arial"/>
                <w:sz w:val="20"/>
                <w:szCs w:val="20"/>
              </w:rPr>
              <w:t xml:space="preserve">PROJECT-CONTEXT.md, DATA.md, BACKLOG.md — required reading (see below)</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CLAUDE.md</w:t>
            </w:r>
          </w:p>
        </w:tc>
        <w:tc>
          <w:tcPr>
            <w:tcW w:type="pct" w:w="70%"/>
            <w:tcMar>
              <w:top w:type="dxa" w:w="60"/>
              <w:left w:type="dxa" w:w="120"/>
              <w:bottom w:type="dxa" w:w="60"/>
              <w:right w:type="dxa" w:w="120"/>
            </w:tcMar>
          </w:tcPr>
          <w:p>
            <w:r>
              <w:rPr>
                <w:rFonts w:ascii="Arial" w:cs="Arial" w:eastAsia="Arial" w:hAnsi="Arial"/>
                <w:sz w:val="20"/>
                <w:szCs w:val="20"/>
              </w:rPr>
              <w:t xml:space="preserve">Condensed working notes for AI-assisted editing — accurate for humans too</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DEPLOY.md</w:t>
            </w:r>
          </w:p>
        </w:tc>
        <w:tc>
          <w:tcPr>
            <w:tcW w:type="pct" w:w="70%"/>
            <w:tcMar>
              <w:top w:type="dxa" w:w="60"/>
              <w:left w:type="dxa" w:w="120"/>
              <w:bottom w:type="dxa" w:w="60"/>
              <w:right w:type="dxa" w:w="120"/>
            </w:tcMar>
          </w:tcPr>
          <w:p>
            <w:r>
              <w:rPr>
                <w:rFonts w:ascii="Arial" w:cs="Arial" w:eastAsia="Arial" w:hAnsi="Arial"/>
                <w:sz w:val="20"/>
                <w:szCs w:val="20"/>
              </w:rPr>
              <w:t xml:space="preserve">Azure resources and manual deploy commands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The nested lagrange-parking/ folder is a stale copy</w:t>
            </w:r>
          </w:p>
          <w:p>
            <w:pPr>
              <w:spacing w:after="120"/>
            </w:pPr>
            <w:r>
              <w:rPr>
                <w:rFonts w:ascii="Arial" w:cs="Arial" w:eastAsia="Arial" w:hAnsi="Arial"/>
                <w:sz w:val="21"/>
                <w:szCs w:val="21"/>
              </w:rPr>
              <w:t xml:space="preserve">The repo root is the real app. The lagrange-parking/ subfolder is an old duplicate — never edit or commit anything inside it.</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2. Getting Started</w:t>
            </w:r>
          </w:p>
        </w:tc>
      </w:tr>
    </w:tbl>
    <w:p>
      <w:pPr>
        <w:spacing w:after="120"/>
      </w:pPr>
    </w:p>
    <w:p>
      <w:pPr>
        <w:pStyle w:val="Heading1"/>
        <w:spacing w:after="120" w:before="240"/>
      </w:pPr>
      <w:r>
        <w:rPr>
          <w:rFonts w:ascii="Arial" w:cs="Arial" w:eastAsia="Arial" w:hAnsi="Arial"/>
          <w:b/>
          <w:bCs/>
          <w:color w:val="2E74B5"/>
          <w:sz w:val="26"/>
          <w:szCs w:val="26"/>
        </w:rPr>
        <w:t xml:space="preserve">2. Getting Started</w:t>
      </w:r>
    </w:p>
    <w:p>
      <w:pPr>
        <w:spacing w:after="120"/>
      </w:pPr>
      <w:r>
        <w:rPr>
          <w:rFonts w:ascii="Arial" w:cs="Arial" w:eastAsia="Arial" w:hAnsi="Arial"/>
          <w:sz w:val="21"/>
          <w:szCs w:val="21"/>
        </w:rPr>
        <w:t xml:space="preserve">A fresh clone runs with no configuration. There is no database, no API server, and no secrets needed for local development — both apps read public ArcGIS Online services anonymously.</w:t>
      </w:r>
    </w:p>
    <w:p>
      <w:pPr>
        <w:pStyle w:val="Heading2"/>
        <w:spacing w:after="100" w:before="240"/>
      </w:pPr>
      <w:r>
        <w:rPr>
          <w:rFonts w:ascii="Arial" w:cs="Arial" w:eastAsia="Arial" w:hAnsi="Arial"/>
          <w:b/>
          <w:bCs/>
          <w:color w:val="2E74B5"/>
          <w:sz w:val="23"/>
          <w:szCs w:val="23"/>
        </w:rPr>
        <w:t xml:space="preserve">Step 1 — Install and run</w:t>
      </w:r>
    </w:p>
    <w:p>
      <w:pPr>
        <w:pStyle w:val="ListParagraph"/>
        <w:numPr>
          <w:ilvl w:val="0"/>
          <w:numId w:val="2"/>
        </w:numPr>
        <w:spacing w:after="60"/>
      </w:pPr>
      <w:r>
        <w:rPr>
          <w:rFonts w:ascii="Arial" w:cs="Arial" w:eastAsia="Arial" w:hAnsi="Arial"/>
          <w:sz w:val="21"/>
          <w:szCs w:val="21"/>
        </w:rPr>
        <w:t xml:space="preserve">Install Node.js 20+ (24 recommended), then run </w:t>
      </w:r>
      <w:r>
        <w:rPr>
          <w:rFonts w:ascii="Consolas" w:cs="Consolas" w:eastAsia="Consolas" w:hAnsi="Consolas"/>
          <w:sz w:val="19"/>
          <w:szCs w:val="19"/>
        </w:rPr>
        <w:t xml:space="preserve">npm install</w:t>
      </w:r>
    </w:p>
    <w:p>
      <w:pPr>
        <w:pStyle w:val="ListParagraph"/>
        <w:numPr>
          <w:ilvl w:val="0"/>
          <w:numId w:val="2"/>
        </w:numPr>
        <w:spacing w:after="60"/>
      </w:pPr>
      <w:r>
        <w:rPr>
          <w:rFonts w:ascii="Consolas" w:cs="Consolas" w:eastAsia="Consolas" w:hAnsi="Consolas"/>
          <w:sz w:val="19"/>
          <w:szCs w:val="19"/>
        </w:rPr>
        <w:t xml:space="preserve">npm run dev</w:t>
      </w:r>
      <w:r>
        <w:rPr>
          <w:rFonts w:ascii="Arial" w:cs="Arial" w:eastAsia="Arial" w:hAnsi="Arial"/>
          <w:sz w:val="21"/>
          <w:szCs w:val="21"/>
        </w:rPr>
        <w:t xml:space="preserve"> starts the permit app (Vite, usually http://localhost:5173)</w:t>
      </w:r>
    </w:p>
    <w:p>
      <w:pPr>
        <w:pStyle w:val="ListParagraph"/>
        <w:numPr>
          <w:ilvl w:val="0"/>
          <w:numId w:val="2"/>
        </w:numPr>
        <w:spacing w:after="60"/>
      </w:pPr>
      <w:r>
        <w:rPr>
          <w:rFonts w:ascii="Consolas" w:cs="Consolas" w:eastAsia="Consolas" w:hAnsi="Consolas"/>
          <w:sz w:val="19"/>
          <w:szCs w:val="19"/>
        </w:rPr>
        <w:t xml:space="preserve">npm run dev:public</w:t>
      </w:r>
      <w:r>
        <w:rPr>
          <w:rFonts w:ascii="Arial" w:cs="Arial" w:eastAsia="Arial" w:hAnsi="Arial"/>
          <w:sz w:val="21"/>
          <w:szCs w:val="21"/>
        </w:rPr>
        <w:t xml:space="preserve"> starts the public app — both can run at once; Vite picks the next free port</w:t>
      </w:r>
    </w:p>
    <w:p>
      <w:pPr>
        <w:pStyle w:val="Heading2"/>
        <w:spacing w:after="100" w:before="240"/>
      </w:pPr>
      <w:r>
        <w:rPr>
          <w:rFonts w:ascii="Arial" w:cs="Arial" w:eastAsia="Arial" w:hAnsi="Arial"/>
          <w:b/>
          <w:bCs/>
          <w:color w:val="2E74B5"/>
          <w:sz w:val="23"/>
          <w:szCs w:val="23"/>
        </w:rPr>
        <w:t xml:space="preserve">Step 2 — Know the commands</w:t>
      </w:r>
    </w:p>
    <w:p>
      <w:pPr>
        <w:shd w:fill="F2F2F2" w:val="clear"/>
        <w:spacing w:after="0"/>
        <w:ind w:left="360"/>
      </w:pPr>
      <w:r>
        <w:rPr>
          <w:rFonts w:ascii="Consolas" w:cs="Consolas" w:eastAsia="Consolas" w:hAnsi="Consolas"/>
          <w:sz w:val="19"/>
          <w:szCs w:val="19"/>
        </w:rPr>
        <w:t xml:space="preserve">npm run dev            # permit app  (--mode permit)</w:t>
      </w:r>
    </w:p>
    <w:p>
      <w:pPr>
        <w:shd w:fill="F2F2F2" w:val="clear"/>
        <w:spacing w:after="0"/>
        <w:ind w:left="360"/>
      </w:pPr>
      <w:r>
        <w:rPr>
          <w:rFonts w:ascii="Consolas" w:cs="Consolas" w:eastAsia="Consolas" w:hAnsi="Consolas"/>
          <w:sz w:val="19"/>
          <w:szCs w:val="19"/>
        </w:rPr>
        <w:t xml:space="preserve">npm run dev:public     # public app  (--mode public)</w:t>
      </w:r>
    </w:p>
    <w:p>
      <w:pPr>
        <w:shd w:fill="F2F2F2" w:val="clear"/>
        <w:spacing w:after="0"/>
        <w:ind w:left="360"/>
      </w:pPr>
      <w:r>
        <w:rPr>
          <w:rFonts w:ascii="Consolas" w:cs="Consolas" w:eastAsia="Consolas" w:hAnsi="Consolas"/>
          <w:sz w:val="19"/>
          <w:szCs w:val="19"/>
        </w:rPr>
        <w:t xml:space="preserve">npm run build          # both -&gt; dist/permit and dist/public</w:t>
      </w:r>
    </w:p>
    <w:p>
      <w:pPr>
        <w:shd w:fill="F2F2F2" w:val="clear"/>
        <w:spacing w:after="0"/>
        <w:ind w:left="360"/>
      </w:pPr>
      <w:r>
        <w:rPr>
          <w:rFonts w:ascii="Consolas" w:cs="Consolas" w:eastAsia="Consolas" w:hAnsi="Consolas"/>
          <w:sz w:val="19"/>
          <w:szCs w:val="19"/>
        </w:rPr>
        <w:t xml:space="preserve">npm run lint           # 5 errors on main are pre-existing — do not chase them</w:t>
      </w:r>
    </w:p>
    <w:p>
      <w:pPr>
        <w:shd w:fill="F2F2F2" w:val="clear"/>
        <w:spacing w:after="120"/>
        <w:ind w:left="360"/>
      </w:pPr>
      <w:r>
        <w:rPr>
          <w:rFonts w:ascii="Consolas" w:cs="Consolas" w:eastAsia="Consolas" w:hAnsi="Consolas"/>
          <w:sz w:val="19"/>
          <w:szCs w:val="19"/>
        </w:rPr>
        <w:t xml:space="preserve">node scripts/verify-permit-pages.mjs   # check profiles against live data</w:t>
      </w:r>
    </w:p>
    <w:p>
      <w:pPr>
        <w:spacing w:after="120"/>
      </w:pPr>
      <w:r>
        <w:rPr>
          <w:rFonts w:ascii="Arial" w:cs="Arial" w:eastAsia="Arial" w:hAnsi="Arial"/>
          <w:sz w:val="21"/>
          <w:szCs w:val="21"/>
        </w:rPr>
        <w:t xml:space="preserve">There is no test framework. Verification is done with the scripts in Chapter 6 plus a manual browser pass.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About VITE_ARCGIS_API_KEY — the repo contradicts itself</w:t>
            </w:r>
          </w:p>
          <w:p>
            <w:pPr>
              <w:spacing w:after="120"/>
            </w:pPr>
            <w:r>
              <w:rPr>
                <w:rFonts w:ascii="Arial" w:cs="Arial" w:eastAsia="Arial" w:hAnsi="Arial"/>
                <w:sz w:val="21"/>
                <w:szCs w:val="21"/>
              </w:rPr>
              <w:t xml:space="preserve">Comments in </w:t>
            </w:r>
            <w:r>
              <w:rPr>
                <w:rFonts w:ascii="Consolas" w:cs="Consolas" w:eastAsia="Consolas" w:hAnsi="Consolas"/>
                <w:sz w:val="19"/>
                <w:szCs w:val="19"/>
              </w:rPr>
              <w:t xml:space="preserve">src/main.tsx</w:t>
            </w:r>
            <w:r>
              <w:rPr>
                <w:rFonts w:ascii="Arial" w:cs="Arial" w:eastAsia="Arial" w:hAnsi="Arial"/>
                <w:sz w:val="21"/>
                <w:szCs w:val="21"/>
              </w:rPr>
              <w:t xml:space="preserve"> say an API key is required for the basemap. Measured truth: the GISC tile services currently serve tiles anonymously, so the app runs keyless and a fresh clone renders correctly with no .env at all.</w:t>
            </w:r>
          </w:p>
          <w:p>
            <w:pPr>
              <w:spacing w:after="120"/>
            </w:pPr>
            <w:r>
              <w:rPr>
                <w:rFonts w:ascii="Arial" w:cs="Arial" w:eastAsia="Arial" w:hAnsi="Arial"/>
                <w:sz w:val="21"/>
                <w:szCs w:val="21"/>
              </w:rPr>
              <w:t xml:space="preserve">Keep the key in production builds anyway — ArcGIS Online sharing can change underneath this repo. If the basemap ever disappears, run node scripts/verify-basemaps.mjs before assuming it is a code bug.</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3. Content Rules — Non-Negotiable</w:t>
            </w:r>
          </w:p>
        </w:tc>
      </w:tr>
    </w:tbl>
    <w:p>
      <w:pPr>
        <w:spacing w:after="120"/>
      </w:pPr>
    </w:p>
    <w:p>
      <w:pPr>
        <w:pStyle w:val="Heading1"/>
        <w:spacing w:after="120" w:before="240"/>
      </w:pPr>
      <w:r>
        <w:rPr>
          <w:rFonts w:ascii="Arial" w:cs="Arial" w:eastAsia="Arial" w:hAnsi="Arial"/>
          <w:b/>
          <w:bCs/>
          <w:color w:val="2E74B5"/>
          <w:sz w:val="26"/>
          <w:szCs w:val="26"/>
        </w:rPr>
        <w:t xml:space="preserve">3. Content Rules — Non-Negotiable</w:t>
      </w:r>
    </w:p>
    <w:p>
      <w:pPr>
        <w:spacing w:after="120"/>
      </w:pPr>
      <w:r>
        <w:rPr>
          <w:rFonts w:ascii="Arial" w:cs="Arial" w:eastAsia="Arial" w:hAnsi="Arial"/>
          <w:sz w:val="21"/>
          <w:szCs w:val="21"/>
        </w:rPr>
        <w:t xml:space="preserve">These come from the Village stakeholder (Charity) and are easy to violate by accident. Do not break them without her explicit sign-off.</w:t>
      </w:r>
    </w:p>
    <w:p>
      <w:pPr>
        <w:pStyle w:val="ListParagraph"/>
        <w:numPr>
          <w:ilvl w:val="0"/>
          <w:numId w:val="1"/>
        </w:numPr>
        <w:spacing w:after="60"/>
      </w:pPr>
      <w:r>
        <w:rPr>
          <w:rFonts w:ascii="Arial" w:cs="Arial" w:eastAsia="Arial" w:hAnsi="Arial"/>
          <w:b/>
          <w:bCs/>
          <w:sz w:val="21"/>
          <w:szCs w:val="21"/>
        </w:rPr>
        <w:t xml:space="preserve">No pricing. </w:t>
      </w:r>
      <w:r>
        <w:rPr>
          <w:rFonts w:ascii="Arial" w:cs="Arial" w:eastAsia="Arial" w:hAnsi="Arial"/>
          <w:sz w:val="21"/>
          <w:szCs w:val="21"/>
        </w:rPr>
        <w:t xml:space="preserve">RATE_TEXT / RATE_MONTHLY exist in the data and are populated (e.g. "$45/month"). They are deliberately excluded from every profile display list. Do not surface them.</w:t>
      </w:r>
    </w:p>
    <w:p>
      <w:pPr>
        <w:pStyle w:val="ListParagraph"/>
        <w:numPr>
          <w:ilvl w:val="0"/>
          <w:numId w:val="1"/>
        </w:numPr>
        <w:spacing w:after="60"/>
      </w:pPr>
      <w:r>
        <w:rPr>
          <w:rFonts w:ascii="Arial" w:cs="Arial" w:eastAsia="Arial" w:hAnsi="Arial"/>
          <w:b/>
          <w:bCs/>
          <w:sz w:val="21"/>
          <w:szCs w:val="21"/>
        </w:rPr>
        <w:t xml:space="preserve">No "decal". </w:t>
      </w:r>
      <w:r>
        <w:rPr>
          <w:rFonts w:ascii="Arial" w:cs="Arial" w:eastAsia="Arial" w:hAnsi="Arial"/>
          <w:sz w:val="21"/>
          <w:szCs w:val="21"/>
        </w:rPr>
        <w:t xml:space="preserve">The word survives only as internal RULETYPE codes (CBD_DECAL, COMMUTER_DECAL…). It must never appear in user-visible text.</w:t>
      </w:r>
    </w:p>
    <w:p>
      <w:pPr>
        <w:pStyle w:val="ListParagraph"/>
        <w:numPr>
          <w:ilvl w:val="0"/>
          <w:numId w:val="1"/>
        </w:numPr>
        <w:spacing w:after="60"/>
      </w:pPr>
      <w:r>
        <w:rPr>
          <w:rFonts w:ascii="Arial" w:cs="Arial" w:eastAsia="Arial" w:hAnsi="Arial"/>
          <w:b/>
          <w:bCs/>
          <w:sz w:val="21"/>
          <w:szCs w:val="21"/>
        </w:rPr>
        <w:t xml:space="preserve">Guidance over policy. </w:t>
      </w:r>
      <w:r>
        <w:rPr>
          <w:rFonts w:ascii="Arial" w:cs="Arial" w:eastAsia="Arial" w:hAnsi="Arial"/>
          <w:sz w:val="21"/>
          <w:szCs w:val="21"/>
        </w:rPr>
        <w:t xml:space="preserve">Plain language telling someone where they may park — not ordinance text.</w:t>
      </w:r>
    </w:p>
    <w:p>
      <w:pPr>
        <w:pStyle w:val="ListParagraph"/>
        <w:numPr>
          <w:ilvl w:val="0"/>
          <w:numId w:val="1"/>
        </w:numPr>
        <w:spacing w:after="60"/>
      </w:pPr>
      <w:r>
        <w:rPr>
          <w:rFonts w:ascii="Arial" w:cs="Arial" w:eastAsia="Arial" w:hAnsi="Arial"/>
          <w:b/>
          <w:bCs/>
          <w:sz w:val="21"/>
          <w:szCs w:val="21"/>
        </w:rPr>
        <w:t xml:space="preserve">tab.areaIds is policy. </w:t>
      </w:r>
      <w:r>
        <w:rPr>
          <w:rFonts w:ascii="Arial" w:cs="Arial" w:eastAsia="Arial" w:hAnsi="Arial"/>
          <w:sz w:val="21"/>
          <w:szCs w:val="21"/>
        </w:rPr>
        <w:t xml:space="preserve">It is the Village's verbatim list of which lots appear on each permit page. Never replace it with a data-derived guess.</w:t>
      </w:r>
    </w:p>
    <w:p>
      <w:pPr>
        <w:pStyle w:val="ListParagraph"/>
        <w:numPr>
          <w:ilvl w:val="0"/>
          <w:numId w:val="1"/>
        </w:numPr>
        <w:spacing w:after="60"/>
      </w:pPr>
      <w:r>
        <w:rPr>
          <w:rFonts w:ascii="Arial" w:cs="Arial" w:eastAsia="Arial" w:hAnsi="Arial"/>
          <w:b/>
          <w:bCs/>
          <w:sz w:val="21"/>
          <w:szCs w:val="21"/>
        </w:rPr>
        <w:t xml:space="preserve">Per-lot detail is secondary. </w:t>
      </w:r>
      <w:r>
        <w:rPr>
          <w:rFonts w:ascii="Arial" w:cs="Arial" w:eastAsia="Arial" w:hAnsi="Arial"/>
          <w:sz w:val="21"/>
          <w:szCs w:val="21"/>
        </w:rPr>
        <w:t xml:space="preserve">The permit-wide "What you need to know" panel is the primary content. The permit profile's fields.display is intentionally empty — do not add attribute rows back without stakeholder approval.</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Before you change any behaviour — read docs/BACKLOG.md</w:t>
            </w:r>
          </w:p>
          <w:p>
            <w:pPr>
              <w:spacing w:after="120"/>
            </w:pPr>
            <w:r>
              <w:rPr>
                <w:rFonts w:ascii="Arial" w:cs="Arial" w:eastAsia="Arial" w:hAnsi="Arial"/>
                <w:sz w:val="21"/>
                <w:szCs w:val="21"/>
              </w:rPr>
              <w:t xml:space="preserve">Several obvious-looking "bugs" are known upstream data problems with a decision already attached (e.g. lots that return no rules on some pages). Check the backlog before "fixing" anything, and check the dated "Current state" block in docs/PROJECT-CONTEXT.md to know what is currently true.</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4. Common Edits (Profiles)</w:t>
            </w:r>
          </w:p>
        </w:tc>
      </w:tr>
    </w:tbl>
    <w:p>
      <w:pPr>
        <w:spacing w:after="120"/>
      </w:pPr>
    </w:p>
    <w:p>
      <w:pPr>
        <w:pStyle w:val="Heading1"/>
        <w:spacing w:after="120" w:before="240"/>
      </w:pPr>
      <w:r>
        <w:rPr>
          <w:rFonts w:ascii="Arial" w:cs="Arial" w:eastAsia="Arial" w:hAnsi="Arial"/>
          <w:b/>
          <w:bCs/>
          <w:color w:val="2E74B5"/>
          <w:sz w:val="26"/>
          <w:szCs w:val="26"/>
        </w:rPr>
        <w:t xml:space="preserve">4. Common Edits (Profiles)</w:t>
      </w:r>
    </w:p>
    <w:p>
      <w:pPr>
        <w:spacing w:after="120"/>
      </w:pPr>
      <w:r>
        <w:rPr>
          <w:rFonts w:ascii="Arial" w:cs="Arial" w:eastAsia="Arial" w:hAnsi="Arial"/>
          <w:sz w:val="21"/>
          <w:szCs w:val="21"/>
        </w:rPr>
        <w:t xml:space="preserve">Every task in this chapter is a JSON edit in </w:t>
      </w:r>
      <w:r>
        <w:rPr>
          <w:rFonts w:ascii="Consolas" w:cs="Consolas" w:eastAsia="Consolas" w:hAnsi="Consolas"/>
          <w:sz w:val="19"/>
          <w:szCs w:val="19"/>
        </w:rPr>
        <w:t xml:space="preserve">public/profiles/</w:t>
      </w:r>
      <w:r>
        <w:rPr>
          <w:rFonts w:ascii="Arial" w:cs="Arial" w:eastAsia="Arial" w:hAnsi="Arial"/>
          <w:sz w:val="21"/>
          <w:szCs w:val="21"/>
        </w:rPr>
        <w:t xml:space="preserve"> — no component changes. In dev, profiles are fetched at runtime: save the JSON and hard-reload the browser. In production the profile ships with the build, so deploy after editing (Chapter 7).</w:t>
      </w:r>
    </w:p>
    <w:p>
      <w:pPr>
        <w:spacing w:after="120"/>
      </w:pPr>
      <w:r>
        <w:rPr>
          <w:rFonts w:ascii="Arial" w:cs="Arial" w:eastAsia="Arial" w:hAnsi="Arial"/>
          <w:sz w:val="21"/>
          <w:szCs w:val="21"/>
        </w:rPr>
        <w:t xml:space="preserve">The authoritative shape of the profile is </w:t>
      </w:r>
      <w:r>
        <w:rPr>
          <w:rFonts w:ascii="Consolas" w:cs="Consolas" w:eastAsia="Consolas" w:hAnsi="Consolas"/>
          <w:sz w:val="19"/>
          <w:szCs w:val="19"/>
        </w:rPr>
        <w:t xml:space="preserve">src/config/types.ts</w:t>
      </w:r>
      <w:r>
        <w:rPr>
          <w:rFonts w:ascii="Arial" w:cs="Arial" w:eastAsia="Arial" w:hAnsi="Arial"/>
          <w:sz w:val="21"/>
          <w:szCs w:val="21"/>
        </w:rPr>
        <w:t xml:space="preserve"> — every property is documented there.</w:t>
      </w:r>
    </w:p>
    <w:p>
      <w:pPr>
        <w:pStyle w:val="Heading2"/>
        <w:spacing w:after="100" w:before="240"/>
      </w:pPr>
      <w:r>
        <w:rPr>
          <w:rFonts w:ascii="Arial" w:cs="Arial" w:eastAsia="Arial" w:hAnsi="Arial"/>
          <w:b/>
          <w:bCs/>
          <w:color w:val="2E74B5"/>
          <w:sz w:val="23"/>
          <w:szCs w:val="23"/>
        </w:rPr>
        <w:t xml:space="preserve">4.1 — Edit the "What you need to know" sidebar text</w:t>
      </w:r>
    </w:p>
    <w:p>
      <w:pPr>
        <w:pStyle w:val="ListParagraph"/>
        <w:numPr>
          <w:ilvl w:val="0"/>
          <w:numId w:val="3"/>
        </w:numPr>
        <w:spacing w:after="60"/>
      </w:pPr>
      <w:r>
        <w:rPr>
          <w:rFonts w:ascii="Arial" w:cs="Arial" w:eastAsia="Arial" w:hAnsi="Arial"/>
          <w:sz w:val="21"/>
          <w:szCs w:val="21"/>
        </w:rPr>
        <w:t xml:space="preserve">Open </w:t>
      </w:r>
      <w:r>
        <w:rPr>
          <w:rFonts w:ascii="Consolas" w:cs="Consolas" w:eastAsia="Consolas" w:hAnsi="Consolas"/>
          <w:sz w:val="19"/>
          <w:szCs w:val="19"/>
        </w:rPr>
        <w:t xml:space="preserve">lagrange-permit.json</w:t>
      </w:r>
      <w:r>
        <w:rPr>
          <w:rFonts w:ascii="Arial" w:cs="Arial" w:eastAsia="Arial" w:hAnsi="Arial"/>
          <w:sz w:val="21"/>
          <w:szCs w:val="21"/>
        </w:rPr>
        <w:t xml:space="preserve"> and find the tab by its </w:t>
      </w:r>
      <w:r>
        <w:rPr>
          <w:rFonts w:ascii="Consolas" w:cs="Consolas" w:eastAsia="Consolas" w:hAnsi="Consolas"/>
          <w:sz w:val="19"/>
          <w:szCs w:val="19"/>
        </w:rPr>
        <w:t xml:space="preserve">id</w:t>
      </w:r>
      <w:r>
        <w:rPr>
          <w:rFonts w:ascii="Arial" w:cs="Arial" w:eastAsia="Arial" w:hAnsi="Arial"/>
          <w:sz w:val="21"/>
          <w:szCs w:val="21"/>
        </w:rPr>
        <w:t xml:space="preserve"> (</w:t>
      </w:r>
      <w:r>
        <w:rPr>
          <w:rFonts w:ascii="Consolas" w:cs="Consolas" w:eastAsia="Consolas" w:hAnsi="Consolas"/>
          <w:sz w:val="19"/>
          <w:szCs w:val="19"/>
        </w:rPr>
        <w:t xml:space="preserve">resident-overnight</w:t>
      </w:r>
      <w:r>
        <w:rPr>
          <w:rFonts w:ascii="Arial" w:cs="Arial" w:eastAsia="Arial" w:hAnsi="Arial"/>
          <w:sz w:val="21"/>
          <w:szCs w:val="21"/>
        </w:rPr>
        <w:t xml:space="preserve">, </w:t>
      </w:r>
      <w:r>
        <w:rPr>
          <w:rFonts w:ascii="Consolas" w:cs="Consolas" w:eastAsia="Consolas" w:hAnsi="Consolas"/>
          <w:sz w:val="19"/>
          <w:szCs w:val="19"/>
        </w:rPr>
        <w:t xml:space="preserve">resident-24hr</w:t>
      </w:r>
      <w:r>
        <w:rPr>
          <w:rFonts w:ascii="Arial" w:cs="Arial" w:eastAsia="Arial" w:hAnsi="Arial"/>
          <w:sz w:val="21"/>
          <w:szCs w:val="21"/>
        </w:rPr>
        <w:t xml:space="preserve">, </w:t>
      </w:r>
      <w:r>
        <w:rPr>
          <w:rFonts w:ascii="Consolas" w:cs="Consolas" w:eastAsia="Consolas" w:hAnsi="Consolas"/>
          <w:sz w:val="19"/>
          <w:szCs w:val="19"/>
        </w:rPr>
        <w:t xml:space="preserve">commuter</w:t>
      </w:r>
      <w:r>
        <w:rPr>
          <w:rFonts w:ascii="Arial" w:cs="Arial" w:eastAsia="Arial" w:hAnsi="Arial"/>
          <w:sz w:val="21"/>
          <w:szCs w:val="21"/>
        </w:rPr>
        <w:t xml:space="preserve">, </w:t>
      </w:r>
      <w:r>
        <w:rPr>
          <w:rFonts w:ascii="Consolas" w:cs="Consolas" w:eastAsia="Consolas" w:hAnsi="Consolas"/>
          <w:sz w:val="19"/>
          <w:szCs w:val="19"/>
        </w:rPr>
        <w:t xml:space="preserve">employees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Edit </w:t>
      </w:r>
      <w:r>
        <w:rPr>
          <w:rFonts w:ascii="Consolas" w:cs="Consolas" w:eastAsia="Consolas" w:hAnsi="Consolas"/>
          <w:sz w:val="19"/>
          <w:szCs w:val="19"/>
        </w:rPr>
        <w:t xml:space="preserve">tab.guide.sections</w:t>
      </w:r>
      <w:r>
        <w:rPr>
          <w:rFonts w:ascii="Arial" w:cs="Arial" w:eastAsia="Arial" w:hAnsi="Arial"/>
          <w:sz w:val="21"/>
          <w:szCs w:val="21"/>
        </w:rPr>
        <w:t xml:space="preserve"> — each section has a </w:t>
      </w:r>
      <w:r>
        <w:rPr>
          <w:rFonts w:ascii="Consolas" w:cs="Consolas" w:eastAsia="Consolas" w:hAnsi="Consolas"/>
          <w:sz w:val="19"/>
          <w:szCs w:val="19"/>
        </w:rPr>
        <w:t xml:space="preserve">title</w:t>
      </w:r>
      <w:r>
        <w:rPr>
          <w:rFonts w:ascii="Arial" w:cs="Arial" w:eastAsia="Arial" w:hAnsi="Arial"/>
          <w:sz w:val="21"/>
          <w:szCs w:val="21"/>
        </w:rPr>
        <w:t xml:space="preserve"> and </w:t>
      </w:r>
      <w:r>
        <w:rPr>
          <w:rFonts w:ascii="Consolas" w:cs="Consolas" w:eastAsia="Consolas" w:hAnsi="Consolas"/>
          <w:sz w:val="19"/>
          <w:szCs w:val="19"/>
        </w:rPr>
        <w:t xml:space="preserve">bullets</w:t>
      </w:r>
      <w:r>
        <w:rPr>
          <w:rFonts w:ascii="Arial" w:cs="Arial" w:eastAsia="Arial" w:hAnsi="Arial"/>
          <w:sz w:val="21"/>
          <w:szCs w:val="21"/>
        </w:rPr>
        <w:t xml:space="preserve">; bullets support nested </w:t>
      </w:r>
      <w:r>
        <w:rPr>
          <w:rFonts w:ascii="Consolas" w:cs="Consolas" w:eastAsia="Consolas" w:hAnsi="Consolas"/>
          <w:sz w:val="19"/>
          <w:szCs w:val="19"/>
        </w:rPr>
        <w:t xml:space="preserve">items</w:t>
      </w:r>
      <w:r>
        <w:rPr>
          <w:rFonts w:ascii="Arial" w:cs="Arial" w:eastAsia="Arial" w:hAnsi="Arial"/>
          <w:sz w:val="21"/>
          <w:szCs w:val="21"/>
        </w:rPr>
        <w:t xml:space="preserve"> and inline </w:t>
      </w:r>
      <w:r>
        <w:rPr>
          <w:rFonts w:ascii="Consolas" w:cs="Consolas" w:eastAsia="Consolas" w:hAnsi="Consolas"/>
          <w:sz w:val="19"/>
          <w:szCs w:val="19"/>
        </w:rPr>
        <w:t xml:space="preserve">links</w:t>
      </w:r>
    </w:p>
    <w:p>
      <w:pPr>
        <w:pStyle w:val="ListParagraph"/>
        <w:numPr>
          <w:ilvl w:val="0"/>
          <w:numId w:val="3"/>
        </w:numPr>
        <w:spacing w:after="60"/>
      </w:pPr>
      <w:r>
        <w:rPr>
          <w:rFonts w:ascii="Arial" w:cs="Arial" w:eastAsia="Arial" w:hAnsi="Arial"/>
          <w:sz w:val="21"/>
          <w:szCs w:val="21"/>
        </w:rPr>
        <w:t xml:space="preserve">Save and hard-reload — verify the wording on the page</w:t>
      </w:r>
    </w:p>
    <w:p>
      <w:pPr>
        <w:spacing w:after="160"/>
        <w:jc w:val="center"/>
      </w:pPr>
      <w:r>
        <w:rPr>
          <w:rFonts w:ascii="Arial" w:cs="Arial" w:eastAsia="Arial" w:hAnsi="Arial"/>
          <w:i/>
          <w:iCs/>
          <w:color w:val="808080"/>
          <w:sz w:val="18"/>
          <w:szCs w:val="18"/>
        </w:rPr>
        <w:t xml:space="preserve">Example: the "Effective October 1st, …" prefixes added Sept 2026 were one-line edits to two guide bullets.</w:t>
      </w:r>
    </w:p>
    <w:p>
      <w:pPr>
        <w:pStyle w:val="Heading2"/>
        <w:spacing w:after="100" w:before="240"/>
      </w:pPr>
      <w:r>
        <w:rPr>
          <w:rFonts w:ascii="Arial" w:cs="Arial" w:eastAsia="Arial" w:hAnsi="Arial"/>
          <w:b/>
          <w:bCs/>
          <w:color w:val="2E74B5"/>
          <w:sz w:val="23"/>
          <w:szCs w:val="23"/>
        </w:rPr>
        <w:t xml:space="preserve">4.2 — Add or remove a lot on a permit page</w:t>
      </w:r>
    </w:p>
    <w:p>
      <w:pPr>
        <w:pStyle w:val="ListParagraph"/>
        <w:numPr>
          <w:ilvl w:val="0"/>
          <w:numId w:val="4"/>
        </w:numPr>
        <w:spacing w:after="60"/>
      </w:pPr>
      <w:r>
        <w:rPr>
          <w:rFonts w:ascii="Arial" w:cs="Arial" w:eastAsia="Arial" w:hAnsi="Arial"/>
          <w:sz w:val="21"/>
          <w:szCs w:val="21"/>
        </w:rPr>
        <w:t xml:space="preserve">Add/remove the AREAID in that tab's </w:t>
      </w:r>
      <w:r>
        <w:rPr>
          <w:rFonts w:ascii="Consolas" w:cs="Consolas" w:eastAsia="Consolas" w:hAnsi="Consolas"/>
          <w:sz w:val="19"/>
          <w:szCs w:val="19"/>
        </w:rPr>
        <w:t xml:space="preserve">areaIds</w:t>
      </w:r>
      <w:r>
        <w:rPr>
          <w:rFonts w:ascii="Arial" w:cs="Arial" w:eastAsia="Arial" w:hAnsi="Arial"/>
          <w:sz w:val="21"/>
          <w:szCs w:val="21"/>
        </w:rPr>
        <w:t xml:space="preserve"> array (this list is policy — see Chapter 3)</w:t>
      </w:r>
    </w:p>
    <w:p>
      <w:pPr>
        <w:pStyle w:val="ListParagraph"/>
        <w:numPr>
          <w:ilvl w:val="0"/>
          <w:numId w:val="4"/>
        </w:numPr>
        <w:spacing w:after="60"/>
      </w:pPr>
      <w:r>
        <w:rPr>
          <w:rFonts w:ascii="Arial" w:cs="Arial" w:eastAsia="Arial" w:hAnsi="Arial"/>
          <w:sz w:val="21"/>
          <w:szCs w:val="21"/>
        </w:rPr>
        <w:t xml:space="preserve">Update the related guide text if it names lots (e.g. "valid anywhere within Lot 2 and Lot 4")</w:t>
      </w:r>
    </w:p>
    <w:p>
      <w:pPr>
        <w:pStyle w:val="ListParagraph"/>
        <w:numPr>
          <w:ilvl w:val="0"/>
          <w:numId w:val="4"/>
        </w:numPr>
        <w:spacing w:after="60"/>
      </w:pPr>
      <w:r>
        <w:rPr>
          <w:rFonts w:ascii="Arial" w:cs="Arial" w:eastAsia="Arial" w:hAnsi="Arial"/>
          <w:sz w:val="21"/>
          <w:szCs w:val="21"/>
        </w:rPr>
        <w:t xml:space="preserve">Run </w:t>
      </w:r>
      <w:r>
        <w:rPr>
          <w:rFonts w:ascii="Consolas" w:cs="Consolas" w:eastAsia="Consolas" w:hAnsi="Consolas"/>
          <w:sz w:val="19"/>
          <w:szCs w:val="19"/>
        </w:rPr>
        <w:t xml:space="preserve">node scripts/verify-permit-pages.mjs</w:t>
      </w:r>
      <w:r>
        <w:rPr>
          <w:rFonts w:ascii="Arial" w:cs="Arial" w:eastAsia="Arial" w:hAnsi="Arial"/>
          <w:sz w:val="21"/>
          <w:szCs w:val="21"/>
        </w:rPr>
        <w:t xml:space="preserve"> — every listed id must resolve against the live service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The lot must also pass the layer baseWhere</w:t>
            </w:r>
          </w:p>
          <w:p>
            <w:pPr>
              <w:spacing w:after="120"/>
            </w:pPr>
            <w:r>
              <w:rPr>
                <w:rFonts w:ascii="Arial" w:cs="Arial" w:eastAsia="Arial" w:hAnsi="Arial"/>
                <w:sz w:val="21"/>
                <w:szCs w:val="21"/>
              </w:rPr>
              <w:t xml:space="preserve">The permit app's layer filter is </w:t>
            </w:r>
            <w:r>
              <w:rPr>
                <w:rFonts w:ascii="Consolas" w:cs="Consolas" w:eastAsia="Consolas" w:hAnsi="Consolas"/>
                <w:sz w:val="19"/>
                <w:szCs w:val="19"/>
              </w:rPr>
              <w:t xml:space="preserve">USERCLASS = 'PERMIT'</w:t>
            </w:r>
            <w:r>
              <w:rPr>
                <w:rFonts w:ascii="Arial" w:cs="Arial" w:eastAsia="Arial" w:hAnsi="Arial"/>
                <w:sz w:val="21"/>
                <w:szCs w:val="21"/>
              </w:rPr>
              <w:t xml:space="preserve"> — a lot whose USERCLASS is VISITOR will be listed but never draw. Check with a quick anonymous query before adding (see Chapter 5), as was done when LOT4 was added to the Employees page.</w:t>
            </w:r>
          </w:p>
        </w:tc>
      </w:tr>
    </w:tbl>
    <w:p>
      <w:pPr>
        <w:spacing w:after="120"/>
      </w:pPr>
    </w:p>
    <w:p>
      <w:pPr>
        <w:pStyle w:val="Heading2"/>
        <w:spacing w:after="100" w:before="240"/>
      </w:pPr>
      <w:r>
        <w:rPr>
          <w:rFonts w:ascii="Arial" w:cs="Arial" w:eastAsia="Arial" w:hAnsi="Arial"/>
          <w:b/>
          <w:bCs/>
          <w:color w:val="2E74B5"/>
          <w:sz w:val="23"/>
          <w:szCs w:val="23"/>
        </w:rPr>
        <w:t xml:space="preserve">4.3 — Rename how a lot displays</w:t>
      </w:r>
    </w:p>
    <w:p>
      <w:pPr>
        <w:spacing w:after="120"/>
      </w:pPr>
      <w:r>
        <w:rPr>
          <w:rFonts w:ascii="Arial" w:cs="Arial" w:eastAsia="Arial" w:hAnsi="Arial"/>
          <w:sz w:val="21"/>
          <w:szCs w:val="21"/>
        </w:rPr>
        <w:t xml:space="preserve">Add an entry to </w:t>
      </w:r>
      <w:r>
        <w:rPr>
          <w:rFonts w:ascii="Consolas" w:cs="Consolas" w:eastAsia="Consolas" w:hAnsi="Consolas"/>
          <w:sz w:val="19"/>
          <w:szCs w:val="19"/>
        </w:rPr>
        <w:t xml:space="preserve">profile.nameOverrides</w:t>
      </w:r>
      <w:r>
        <w:rPr>
          <w:rFonts w:ascii="Arial" w:cs="Arial" w:eastAsia="Arial" w:hAnsi="Arial"/>
          <w:sz w:val="21"/>
          <w:szCs w:val="21"/>
        </w:rPr>
        <w:t xml:space="preserve"> keyed by AREAID (e.g. </w:t>
      </w:r>
      <w:r>
        <w:rPr>
          <w:rFonts w:ascii="Consolas" w:cs="Consolas" w:eastAsia="Consolas" w:hAnsi="Consolas"/>
          <w:sz w:val="19"/>
          <w:szCs w:val="19"/>
        </w:rPr>
        <w:t xml:space="preserve">"VILLAGEHALLPARKINGSTRUCTURE": "VH Garage"</w:t>
      </w:r>
      <w:r>
        <w:rPr>
          <w:rFonts w:ascii="Arial" w:cs="Arial" w:eastAsia="Arial" w:hAnsi="Arial"/>
          <w:sz w:val="21"/>
          <w:szCs w:val="21"/>
        </w:rPr>
        <w:t xml:space="preserve">). This relabels map labels, lists, and detail cards without touching hosted data.</w:t>
      </w:r>
    </w:p>
    <w:p>
      <w:pPr>
        <w:pStyle w:val="Heading2"/>
        <w:spacing w:after="100" w:before="240"/>
      </w:pPr>
      <w:r>
        <w:rPr>
          <w:rFonts w:ascii="Arial" w:cs="Arial" w:eastAsia="Arial" w:hAnsi="Arial"/>
          <w:b/>
          <w:bCs/>
          <w:color w:val="2E74B5"/>
          <w:sz w:val="23"/>
          <w:szCs w:val="23"/>
        </w:rPr>
        <w:t xml:space="preserve">4.4 — Notes on lot detail cards</w:t>
      </w:r>
    </w:p>
    <w:p>
      <w:pPr>
        <w:pStyle w:val="ListParagraph"/>
        <w:numPr>
          <w:ilvl w:val="0"/>
          <w:numId w:val="1"/>
        </w:numPr>
        <w:spacing w:after="60"/>
      </w:pPr>
      <w:r>
        <w:rPr>
          <w:rFonts w:ascii="Consolas" w:cs="Consolas" w:eastAsia="Consolas" w:hAnsi="Consolas"/>
          <w:sz w:val="19"/>
          <w:szCs w:val="19"/>
        </w:rPr>
        <w:t xml:space="preserve">tab.note</w:t>
      </w:r>
      <w:r>
        <w:rPr>
          <w:rFonts w:ascii="Arial" w:cs="Arial" w:eastAsia="Arial" w:hAnsi="Arial"/>
          <w:sz w:val="21"/>
          <w:szCs w:val="21"/>
        </w:rPr>
        <w:t xml:space="preserve"> — shown on every lot card for that page</w:t>
      </w:r>
    </w:p>
    <w:p>
      <w:pPr>
        <w:pStyle w:val="ListParagraph"/>
        <w:numPr>
          <w:ilvl w:val="0"/>
          <w:numId w:val="1"/>
        </w:numPr>
        <w:spacing w:after="60"/>
      </w:pPr>
      <w:r>
        <w:rPr>
          <w:rFonts w:ascii="Consolas" w:cs="Consolas" w:eastAsia="Consolas" w:hAnsi="Consolas"/>
          <w:sz w:val="19"/>
          <w:szCs w:val="19"/>
        </w:rPr>
        <w:t xml:space="preserve">tab.lotNotes</w:t>
      </w:r>
      <w:r>
        <w:rPr>
          <w:rFonts w:ascii="Arial" w:cs="Arial" w:eastAsia="Arial" w:hAnsi="Arial"/>
          <w:sz w:val="21"/>
          <w:szCs w:val="21"/>
        </w:rPr>
        <w:t xml:space="preserve"> — per-AREAID override of </w:t>
      </w:r>
      <w:r>
        <w:rPr>
          <w:rFonts w:ascii="Consolas" w:cs="Consolas" w:eastAsia="Consolas" w:hAnsi="Consolas"/>
          <w:sz w:val="19"/>
          <w:szCs w:val="19"/>
        </w:rPr>
        <w:t xml:space="preserve">note</w:t>
      </w:r>
    </w:p>
    <w:p>
      <w:pPr>
        <w:pStyle w:val="ListParagraph"/>
        <w:numPr>
          <w:ilvl w:val="0"/>
          <w:numId w:val="1"/>
        </w:numPr>
        <w:spacing w:after="60"/>
      </w:pPr>
      <w:r>
        <w:rPr>
          <w:rFonts w:ascii="Consolas" w:cs="Consolas" w:eastAsia="Consolas" w:hAnsi="Consolas"/>
          <w:sz w:val="19"/>
          <w:szCs w:val="19"/>
        </w:rPr>
        <w:t xml:space="preserve">tab.lotSubzoneNotes</w:t>
      </w:r>
      <w:r>
        <w:rPr>
          <w:rFonts w:ascii="Arial" w:cs="Arial" w:eastAsia="Arial" w:hAnsi="Arial"/>
          <w:sz w:val="21"/>
          <w:szCs w:val="21"/>
        </w:rPr>
        <w:t xml:space="preserve"> — per-AREAID note in the green designated-area callout style; wins over the live GIS-derived subzone note</w:t>
      </w:r>
    </w:p>
    <w:p>
      <w:pPr>
        <w:pStyle w:val="Heading2"/>
        <w:spacing w:after="100" w:before="240"/>
      </w:pPr>
      <w:r>
        <w:rPr>
          <w:rFonts w:ascii="Arial" w:cs="Arial" w:eastAsia="Arial" w:hAnsi="Arial"/>
          <w:b/>
          <w:bCs/>
          <w:color w:val="2E74B5"/>
          <w:sz w:val="23"/>
          <w:szCs w:val="23"/>
        </w:rPr>
        <w:t xml:space="preserve">4.5 — Designated spaces inside a lot (two mechanisms)</w:t>
      </w:r>
    </w:p>
    <w:p>
      <w:pPr>
        <w:spacing w:after="120"/>
      </w:pPr>
      <w:r>
        <w:rPr>
          <w:rFonts w:ascii="Arial" w:cs="Arial" w:eastAsia="Arial" w:hAnsi="Arial"/>
          <w:b/>
          <w:bCs/>
          <w:sz w:val="21"/>
          <w:szCs w:val="21"/>
        </w:rPr>
        <w:t xml:space="preserve">Subzones (</w:t>
      </w:r>
      <w:r>
        <w:rPr>
          <w:rFonts w:ascii="Consolas" w:cs="Consolas" w:eastAsia="Consolas" w:hAnsi="Consolas"/>
          <w:sz w:val="19"/>
          <w:szCs w:val="19"/>
        </w:rPr>
        <w:t xml:space="preserve">profile.subzones</w:t>
      </w:r>
      <w:r>
        <w:rPr>
          <w:rFonts w:ascii="Arial" w:cs="Arial" w:eastAsia="Arial" w:hAnsi="Arial"/>
          <w:b/>
          <w:bCs/>
          <w:sz w:val="21"/>
          <w:szCs w:val="21"/>
        </w:rPr>
        <w:t xml:space="preserve">) — </w:t>
      </w:r>
      <w:r>
        <w:rPr>
          <w:rFonts w:ascii="Arial" w:cs="Arial" w:eastAsia="Arial" w:hAnsi="Arial"/>
          <w:sz w:val="21"/>
          <w:szCs w:val="21"/>
        </w:rPr>
        <w:t xml:space="preserve">draws the resident overnight bands from the hosted LaGrange_Overnight_Resident_Subzones layer on any tab with </w:t>
      </w:r>
      <w:r>
        <w:rPr>
          <w:rFonts w:ascii="Consolas" w:cs="Consolas" w:eastAsia="Consolas" w:hAnsi="Consolas"/>
          <w:sz w:val="19"/>
          <w:szCs w:val="19"/>
        </w:rPr>
        <w:t xml:space="preserve">showSubzones: true</w:t>
      </w:r>
      <w:r>
        <w:rPr>
          <w:rFonts w:ascii="Arial" w:cs="Arial" w:eastAsia="Arial" w:hAnsi="Arial"/>
          <w:sz w:val="21"/>
          <w:szCs w:val="21"/>
        </w:rPr>
        <w:t xml:space="preserve">. Bands appear only when a lot is selected and the view is zoomed in (</w:t>
      </w:r>
      <w:r>
        <w:rPr>
          <w:rFonts w:ascii="Consolas" w:cs="Consolas" w:eastAsia="Consolas" w:hAnsi="Consolas"/>
          <w:sz w:val="19"/>
          <w:szCs w:val="19"/>
        </w:rPr>
        <w:t xml:space="preserve">minScale</w:t>
      </w:r>
      <w:r>
        <w:rPr>
          <w:rFonts w:ascii="Arial" w:cs="Arial" w:eastAsia="Arial" w:hAnsi="Arial"/>
          <w:sz w:val="21"/>
          <w:szCs w:val="21"/>
        </w:rPr>
        <w:t xml:space="preserve">) — both stakeholder requirements.</w:t>
      </w:r>
    </w:p>
    <w:p>
      <w:pPr>
        <w:spacing w:after="6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543300"/>
                    </a:xfrm>
                    <a:prstGeom prst="rect">
                      <a:avLst/>
                    </a:prstGeom>
                  </pic:spPr>
                </pic:pic>
              </a:graphicData>
            </a:graphic>
          </wp:inline>
        </w:drawing>
      </w:r>
    </w:p>
    <w:p>
      <w:pPr>
        <w:spacing w:after="160"/>
        <w:jc w:val="center"/>
      </w:pPr>
      <w:r>
        <w:rPr>
          <w:rFonts w:ascii="Arial" w:cs="Arial" w:eastAsia="Arial" w:hAnsi="Arial"/>
          <w:i/>
          <w:iCs/>
          <w:color w:val="808080"/>
          <w:sz w:val="18"/>
          <w:szCs w:val="18"/>
        </w:rPr>
        <w:t xml:space="preserve">Subzones — Resident Overnight page, Lot 5 selected: the green bands are the only spaces valid overnight, and the lot card carries the matching note.</w:t>
      </w:r>
    </w:p>
    <w:p>
      <w:pPr>
        <w:spacing w:after="120"/>
      </w:pPr>
      <w:r>
        <w:rPr>
          <w:rFonts w:ascii="Arial" w:cs="Arial" w:eastAsia="Arial" w:hAnsi="Arial"/>
          <w:b/>
          <w:bCs/>
          <w:sz w:val="21"/>
          <w:szCs w:val="21"/>
        </w:rPr>
        <w:t xml:space="preserve">Overlay layers (</w:t>
      </w:r>
      <w:r>
        <w:rPr>
          <w:rFonts w:ascii="Consolas" w:cs="Consolas" w:eastAsia="Consolas" w:hAnsi="Consolas"/>
          <w:sz w:val="19"/>
          <w:szCs w:val="19"/>
        </w:rPr>
        <w:t xml:space="preserve">profile.overlayLayers</w:t>
      </w:r>
      <w:r>
        <w:rPr>
          <w:rFonts w:ascii="Arial" w:cs="Arial" w:eastAsia="Arial" w:hAnsi="Arial"/>
          <w:b/>
          <w:bCs/>
          <w:sz w:val="21"/>
          <w:szCs w:val="21"/>
        </w:rPr>
        <w:t xml:space="preserve">) — </w:t>
      </w:r>
      <w:r>
        <w:rPr>
          <w:rFonts w:ascii="Arial" w:cs="Arial" w:eastAsia="Arial" w:hAnsi="Arial"/>
          <w:sz w:val="21"/>
          <w:szCs w:val="21"/>
        </w:rPr>
        <w:t xml:space="preserve">draw an arbitrary filtered polygon (e.g. the Lot 5 CBD employee rows). Key properties: </w:t>
      </w:r>
      <w:r>
        <w:rPr>
          <w:rFonts w:ascii="Consolas" w:cs="Consolas" w:eastAsia="Consolas" w:hAnsi="Consolas"/>
          <w:sz w:val="19"/>
          <w:szCs w:val="19"/>
        </w:rPr>
        <w:t xml:space="preserve">where</w:t>
      </w:r>
      <w:r>
        <w:rPr>
          <w:rFonts w:ascii="Arial" w:cs="Arial" w:eastAsia="Arial" w:hAnsi="Arial"/>
          <w:sz w:val="21"/>
          <w:szCs w:val="21"/>
        </w:rPr>
        <w:t xml:space="preserve"> (server-side filter), </w:t>
      </w:r>
      <w:r>
        <w:rPr>
          <w:rFonts w:ascii="Consolas" w:cs="Consolas" w:eastAsia="Consolas" w:hAnsi="Consolas"/>
          <w:sz w:val="19"/>
          <w:szCs w:val="19"/>
        </w:rPr>
        <w:t xml:space="preserve">showForAreaId</w:t>
      </w:r>
      <w:r>
        <w:rPr>
          <w:rFonts w:ascii="Arial" w:cs="Arial" w:eastAsia="Arial" w:hAnsi="Arial"/>
          <w:sz w:val="21"/>
          <w:szCs w:val="21"/>
        </w:rPr>
        <w:t xml:space="preserve"> (only while that lot is selected), and </w:t>
      </w:r>
      <w:r>
        <w:rPr>
          <w:rFonts w:ascii="Consolas" w:cs="Consolas" w:eastAsia="Consolas" w:hAnsi="Consolas"/>
          <w:sz w:val="19"/>
          <w:szCs w:val="19"/>
        </w:rPr>
        <w:t xml:space="preserve">showForTabIds</w:t>
      </w:r>
      <w:r>
        <w:rPr>
          <w:rFonts w:ascii="Arial" w:cs="Arial" w:eastAsia="Arial" w:hAnsi="Arial"/>
          <w:sz w:val="21"/>
          <w:szCs w:val="21"/>
        </w:rPr>
        <w:t xml:space="preserve"> (only on those permit pages). The Lot 5 CBD overlay is pinned to </w:t>
      </w:r>
      <w:r>
        <w:rPr>
          <w:rFonts w:ascii="Consolas" w:cs="Consolas" w:eastAsia="Consolas" w:hAnsi="Consolas"/>
          <w:sz w:val="19"/>
          <w:szCs w:val="19"/>
        </w:rPr>
        <w:t xml:space="preserve">["employees"]</w:t>
      </w:r>
      <w:r>
        <w:rPr>
          <w:rFonts w:ascii="Arial" w:cs="Arial" w:eastAsia="Arial" w:hAnsi="Arial"/>
          <w:sz w:val="21"/>
          <w:szCs w:val="21"/>
        </w:rPr>
        <w:t xml:space="preserve">.</w:t>
      </w:r>
    </w:p>
    <w:p>
      <w:pPr>
        <w:spacing w:after="6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543300"/>
                    </a:xfrm>
                    <a:prstGeom prst="rect">
                      <a:avLst/>
                    </a:prstGeom>
                  </pic:spPr>
                </pic:pic>
              </a:graphicData>
            </a:graphic>
          </wp:inline>
        </w:drawing>
      </w:r>
    </w:p>
    <w:p>
      <w:pPr>
        <w:spacing w:after="160"/>
        <w:jc w:val="center"/>
      </w:pPr>
      <w:r>
        <w:rPr>
          <w:rFonts w:ascii="Arial" w:cs="Arial" w:eastAsia="Arial" w:hAnsi="Arial"/>
          <w:i/>
          <w:iCs/>
          <w:color w:val="808080"/>
          <w:sz w:val="18"/>
          <w:szCs w:val="18"/>
        </w:rPr>
        <w:t xml:space="preserve">Overlay — Employees page, Lot 5 selected: the same lot instead shows the CBD employee rows overlay (showForTabIds: ["employees"]).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Only permitted areas were digitized — absence of green is ambiguous</w:t>
            </w:r>
          </w:p>
          <w:p>
            <w:pPr>
              <w:spacing w:after="120"/>
            </w:pPr>
            <w:r>
              <w:rPr>
                <w:rFonts w:ascii="Arial" w:cs="Arial" w:eastAsia="Arial" w:hAnsi="Arial"/>
                <w:sz w:val="21"/>
                <w:szCs w:val="21"/>
              </w:rPr>
              <w:t xml:space="preserve">"No bands" can mean "nothing permitted here" or "not drawn yet" (VH Garage, Lot 15). useSubzoneAreaIds asks the service which lots actually have bands and the card sentence only shows for those. Never show the "park only in the highlighted areas" sentence unconditionally.</w:t>
            </w:r>
          </w:p>
          <w:p>
            <w:pPr>
              <w:spacing w:after="120"/>
            </w:pPr>
            <w:r>
              <w:rPr>
                <w:rFonts w:ascii="Arial" w:cs="Arial" w:eastAsia="Arial" w:hAnsi="Arial"/>
                <w:sz w:val="21"/>
                <w:szCs w:val="21"/>
              </w:rPr>
              <w:t xml:space="preserve">This also fails quiet: if the subzone service stops answering anonymously, all bands and notes silently disappear. See docs/DATA.md §3.6.</w:t>
            </w:r>
          </w:p>
        </w:tc>
      </w:tr>
    </w:tbl>
    <w:p>
      <w:pPr>
        <w:spacing w:after="120"/>
      </w:pPr>
    </w:p>
    <w:p>
      <w:pPr>
        <w:pStyle w:val="Heading2"/>
        <w:spacing w:after="100" w:before="240"/>
      </w:pPr>
      <w:r>
        <w:rPr>
          <w:rFonts w:ascii="Arial" w:cs="Arial" w:eastAsia="Arial" w:hAnsi="Arial"/>
          <w:b/>
          <w:bCs/>
          <w:color w:val="2E74B5"/>
          <w:sz w:val="23"/>
          <w:szCs w:val="23"/>
        </w:rPr>
        <w:t xml:space="preserve">4.6 — Public map availability / time-limit text</w:t>
      </w:r>
    </w:p>
    <w:p>
      <w:pPr>
        <w:spacing w:after="120"/>
      </w:pPr>
      <w:r>
        <w:rPr>
          <w:rFonts w:ascii="Arial" w:cs="Arial" w:eastAsia="Arial" w:hAnsi="Arial"/>
          <w:sz w:val="21"/>
          <w:szCs w:val="21"/>
        </w:rPr>
        <w:t xml:space="preserve">The "Public parking" block on the public app's lot cards (</w:t>
      </w:r>
      <w:r>
        <w:rPr>
          <w:rFonts w:ascii="Arial" w:cs="Arial" w:eastAsia="Arial" w:hAnsi="Arial"/>
          <w:b/>
          <w:bCs/>
          <w:sz w:val="21"/>
          <w:szCs w:val="21"/>
        </w:rPr>
        <w:t xml:space="preserve">Availability / Time limit</w:t>
      </w:r>
      <w:r>
        <w:rPr>
          <w:rFonts w:ascii="Arial" w:cs="Arial" w:eastAsia="Arial" w:hAnsi="Arial"/>
          <w:sz w:val="21"/>
          <w:szCs w:val="21"/>
        </w:rPr>
        <w:t xml:space="preserve">) comes from </w:t>
      </w:r>
      <w:r>
        <w:rPr>
          <w:rFonts w:ascii="Consolas" w:cs="Consolas" w:eastAsia="Consolas" w:hAnsi="Consolas"/>
          <w:sz w:val="19"/>
          <w:szCs w:val="19"/>
        </w:rPr>
        <w:t xml:space="preserve">profile.areaInfo</w:t>
      </w:r>
      <w:r>
        <w:rPr>
          <w:rFonts w:ascii="Arial" w:cs="Arial" w:eastAsia="Arial" w:hAnsi="Arial"/>
          <w:sz w:val="21"/>
          <w:szCs w:val="21"/>
        </w:rPr>
        <w:t xml:space="preserve"> in </w:t>
      </w:r>
      <w:r>
        <w:rPr>
          <w:rFonts w:ascii="Consolas" w:cs="Consolas" w:eastAsia="Consolas" w:hAnsi="Consolas"/>
          <w:sz w:val="19"/>
          <w:szCs w:val="19"/>
        </w:rPr>
        <w:t xml:space="preserve">lagrange-public.json</w:t>
      </w:r>
      <w:r>
        <w:rPr>
          <w:rFonts w:ascii="Arial" w:cs="Arial" w:eastAsia="Arial" w:hAnsi="Arial"/>
          <w:sz w:val="21"/>
          <w:szCs w:val="21"/>
        </w:rPr>
        <w:t xml:space="preserve"> — hard-coded per-lot overrides, </w:t>
      </w:r>
      <w:r>
        <w:rPr>
          <w:rFonts w:ascii="Arial" w:cs="Arial" w:eastAsia="Arial" w:hAnsi="Arial"/>
          <w:b/>
          <w:bCs/>
          <w:sz w:val="21"/>
          <w:szCs w:val="21"/>
        </w:rPr>
        <w:t xml:space="preserve">not</w:t>
      </w:r>
      <w:r>
        <w:rPr>
          <w:rFonts w:ascii="Arial" w:cs="Arial" w:eastAsia="Arial" w:hAnsi="Arial"/>
          <w:sz w:val="21"/>
          <w:szCs w:val="21"/>
        </w:rPr>
        <w:t xml:space="preserve"> the hosted ParkingRule table. If the Village changes a time limit, edit the </w:t>
      </w:r>
      <w:r>
        <w:rPr>
          <w:rFonts w:ascii="Consolas" w:cs="Consolas" w:eastAsia="Consolas" w:hAnsi="Consolas"/>
          <w:sz w:val="19"/>
          <w:szCs w:val="19"/>
        </w:rPr>
        <w:t xml:space="preserve">timeLimit</w:t>
      </w:r>
      <w:r>
        <w:rPr>
          <w:rFonts w:ascii="Arial" w:cs="Arial" w:eastAsia="Arial" w:hAnsi="Arial"/>
          <w:sz w:val="21"/>
          <w:szCs w:val="21"/>
        </w:rPr>
        <w:t xml:space="preserve"> string there (e.g. Village Hall Surface Lot 3 hr → 4 hr, Sept 2026). Check whether the hosted data needs the same change and flag it if so.</w:t>
      </w:r>
    </w:p>
    <w:p>
      <w:pPr>
        <w:spacing w:after="6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543300"/>
                    </a:xfrm>
                    <a:prstGeom prst="rect">
                      <a:avLst/>
                    </a:prstGeom>
                  </pic:spPr>
                </pic:pic>
              </a:graphicData>
            </a:graphic>
          </wp:inline>
        </w:drawing>
      </w:r>
    </w:p>
    <w:p>
      <w:pPr>
        <w:spacing w:after="160"/>
        <w:jc w:val="center"/>
      </w:pPr>
      <w:r>
        <w:rPr>
          <w:rFonts w:ascii="Arial" w:cs="Arial" w:eastAsia="Arial" w:hAnsi="Arial"/>
          <w:i/>
          <w:iCs/>
          <w:color w:val="808080"/>
          <w:sz w:val="18"/>
          <w:szCs w:val="18"/>
        </w:rPr>
        <w:t xml:space="preserve">Public app, Village Hall Surface Lot — the Availability / Time limit lines come from profile.areaInfo, not from the GIS rules.</w:t>
      </w:r>
    </w:p>
    <w:p>
      <w:pPr>
        <w:pStyle w:val="Heading2"/>
        <w:spacing w:after="100" w:before="240"/>
      </w:pPr>
      <w:r>
        <w:rPr>
          <w:rFonts w:ascii="Arial" w:cs="Arial" w:eastAsia="Arial" w:hAnsi="Arial"/>
          <w:b/>
          <w:bCs/>
          <w:color w:val="2E74B5"/>
          <w:sz w:val="23"/>
          <w:szCs w:val="23"/>
        </w:rPr>
        <w:t xml:space="preserve">4.7 — Legend and symbology</w:t>
      </w:r>
    </w:p>
    <w:p>
      <w:pPr>
        <w:spacing w:after="120"/>
      </w:pPr>
      <w:r>
        <w:rPr>
          <w:rFonts w:ascii="Consolas" w:cs="Consolas" w:eastAsia="Consolas" w:hAnsi="Consolas"/>
          <w:sz w:val="19"/>
          <w:szCs w:val="19"/>
        </w:rPr>
        <w:t xml:space="preserve">profile.symbology</w:t>
      </w:r>
      <w:r>
        <w:rPr>
          <w:rFonts w:ascii="Arial" w:cs="Arial" w:eastAsia="Arial" w:hAnsi="Arial"/>
          <w:sz w:val="21"/>
          <w:szCs w:val="21"/>
        </w:rPr>
        <w:t xml:space="preserve"> maps renderer field values to colors/labels; </w:t>
      </w:r>
      <w:r>
        <w:rPr>
          <w:rFonts w:ascii="Consolas" w:cs="Consolas" w:eastAsia="Consolas" w:hAnsi="Consolas"/>
          <w:sz w:val="19"/>
          <w:szCs w:val="19"/>
        </w:rPr>
        <w:t xml:space="preserve">ruleSymbology</w:t>
      </w:r>
      <w:r>
        <w:rPr>
          <w:rFonts w:ascii="Arial" w:cs="Arial" w:eastAsia="Arial" w:hAnsi="Arial"/>
          <w:sz w:val="21"/>
          <w:szCs w:val="21"/>
        </w:rPr>
        <w:t xml:space="preserve"> colors the rule chips. The public profile also supports </w:t>
      </w:r>
      <w:r>
        <w:rPr>
          <w:rFonts w:ascii="Consolas" w:cs="Consolas" w:eastAsia="Consolas" w:hAnsi="Consolas"/>
          <w:sz w:val="19"/>
          <w:szCs w:val="19"/>
        </w:rPr>
        <w:t xml:space="preserve">match</w:t>
      </w:r>
      <w:r>
        <w:rPr>
          <w:rFonts w:ascii="Arial" w:cs="Arial" w:eastAsia="Arial" w:hAnsi="Arial"/>
          <w:sz w:val="21"/>
          <w:szCs w:val="21"/>
        </w:rPr>
        <w:t xml:space="preserve">-based categories and a </w:t>
      </w:r>
      <w:r>
        <w:rPr>
          <w:rFonts w:ascii="Consolas" w:cs="Consolas" w:eastAsia="Consolas" w:hAnsi="Consolas"/>
          <w:sz w:val="19"/>
          <w:szCs w:val="19"/>
        </w:rPr>
        <w:t xml:space="preserve">consolidateList</w:t>
      </w:r>
      <w:r>
        <w:rPr>
          <w:rFonts w:ascii="Arial" w:cs="Arial" w:eastAsia="Arial" w:hAnsi="Arial"/>
          <w:sz w:val="21"/>
          <w:szCs w:val="21"/>
        </w:rPr>
        <w:t xml:space="preserve"> block that collapses ~100 on-street segments into one row.</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5. Data &amp; GIS Services</w:t>
            </w:r>
          </w:p>
        </w:tc>
      </w:tr>
    </w:tbl>
    <w:p>
      <w:pPr>
        <w:spacing w:after="120"/>
      </w:pPr>
    </w:p>
    <w:p>
      <w:pPr>
        <w:pStyle w:val="Heading1"/>
        <w:spacing w:after="120" w:before="240"/>
      </w:pPr>
      <w:r>
        <w:rPr>
          <w:rFonts w:ascii="Arial" w:cs="Arial" w:eastAsia="Arial" w:hAnsi="Arial"/>
          <w:b/>
          <w:bCs/>
          <w:color w:val="2E74B5"/>
          <w:sz w:val="26"/>
          <w:szCs w:val="26"/>
        </w:rPr>
        <w:t xml:space="preserve">5. Data &amp; GIS Services</w:t>
      </w:r>
    </w:p>
    <w:p>
      <w:pPr>
        <w:spacing w:after="120"/>
      </w:pPr>
      <w:r>
        <w:rPr>
          <w:rFonts w:ascii="Arial" w:cs="Arial" w:eastAsia="Arial" w:hAnsi="Arial"/>
          <w:sz w:val="21"/>
          <w:szCs w:val="21"/>
        </w:rPr>
        <w:t xml:space="preserve">Both apps read hosted ArcGIS Online feature services anonymously. Full data model, pipeline (LGDM → FGDB → AGOL) and every known data defect: docs/DATA.md. Publishing steps: docs/GIS-PUBLISH.md.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shd w:fill="DEEAF6" w:val="clear"/>
            <w:tcMar>
              <w:top w:type="dxa" w:w="60"/>
              <w:left w:type="dxa" w:w="120"/>
              <w:bottom w:type="dxa" w:w="60"/>
              <w:right w:type="dxa" w:w="120"/>
            </w:tcMar>
          </w:tcPr>
          <w:p>
            <w:r>
              <w:rPr>
                <w:rFonts w:ascii="Arial" w:cs="Arial" w:eastAsia="Arial" w:hAnsi="Arial"/>
                <w:b/>
                <w:bCs/>
                <w:sz w:val="20"/>
                <w:szCs w:val="20"/>
              </w:rPr>
              <w:t xml:space="preserve">Service / sublayer</w:t>
            </w:r>
          </w:p>
        </w:tc>
        <w:tc>
          <w:tcPr>
            <w:tcW w:type="pct" w:w="55%"/>
            <w:shd w:fill="DEEAF6" w:val="clear"/>
            <w:tcMar>
              <w:top w:type="dxa" w:w="60"/>
              <w:left w:type="dxa" w:w="120"/>
              <w:bottom w:type="dxa" w:w="60"/>
              <w:right w:type="dxa" w:w="120"/>
            </w:tcMar>
          </w:tcPr>
          <w:p>
            <w:r>
              <w:rPr>
                <w:rFonts w:ascii="Arial" w:cs="Arial" w:eastAsia="Arial" w:hAnsi="Arial"/>
                <w:b/>
                <w:bCs/>
                <w:sz w:val="20"/>
                <w:szCs w:val="20"/>
              </w:rPr>
              <w:t xml:space="preserve">Purpose</w:t>
            </w:r>
          </w:p>
        </w:tc>
      </w:tr>
      <w:tr>
        <w:tc>
          <w:tcPr>
            <w:tcW w:type="pct" w:w="45%"/>
            <w:tcMar>
              <w:top w:type="dxa" w:w="60"/>
              <w:left w:type="dxa" w:w="120"/>
              <w:bottom w:type="dxa" w:w="60"/>
              <w:right w:type="dxa" w:w="120"/>
            </w:tcMar>
          </w:tcPr>
          <w:p>
            <w:r>
              <w:rPr>
                <w:rFonts w:ascii="Consolas" w:cs="Consolas" w:eastAsia="Consolas" w:hAnsi="Consolas"/>
                <w:sz w:val="19"/>
                <w:szCs w:val="19"/>
              </w:rPr>
              <w:t xml:space="preserve">LaGrange_Parking_Permits/FeatureServer/2</w:t>
            </w:r>
          </w:p>
        </w:tc>
        <w:tc>
          <w:tcPr>
            <w:tcW w:type="pct" w:w="55%"/>
            <w:tcMar>
              <w:top w:type="dxa" w:w="60"/>
              <w:left w:type="dxa" w:w="120"/>
              <w:bottom w:type="dxa" w:w="60"/>
              <w:right w:type="dxa" w:w="120"/>
            </w:tcMar>
          </w:tcPr>
          <w:p>
            <w:r>
              <w:rPr>
                <w:rFonts w:ascii="Arial" w:cs="Arial" w:eastAsia="Arial" w:hAnsi="Arial"/>
                <w:sz w:val="20"/>
                <w:szCs w:val="20"/>
              </w:rPr>
              <w:t xml:space="preserve">ParkingArea polygons — the lots (AREAID, AREANAME, USERCLASS, FACILITYTYPE, HAS* flags, MAXSPACES)</w:t>
            </w:r>
          </w:p>
        </w:tc>
      </w:tr>
      <w:tr>
        <w:tc>
          <w:tcPr>
            <w:tcW w:type="pct" w:w="45%"/>
            <w:tcMar>
              <w:top w:type="dxa" w:w="60"/>
              <w:left w:type="dxa" w:w="120"/>
              <w:bottom w:type="dxa" w:w="60"/>
              <w:right w:type="dxa" w:w="120"/>
            </w:tcMar>
          </w:tcPr>
          <w:p>
            <w:r>
              <w:rPr>
                <w:rFonts w:ascii="Consolas" w:cs="Consolas" w:eastAsia="Consolas" w:hAnsi="Consolas"/>
                <w:sz w:val="19"/>
                <w:szCs w:val="19"/>
              </w:rPr>
              <w:t xml:space="preserve">LaGrange_Parking_Permits/FeatureServer/3</w:t>
            </w:r>
          </w:p>
        </w:tc>
        <w:tc>
          <w:tcPr>
            <w:tcW w:type="pct" w:w="55%"/>
            <w:tcMar>
              <w:top w:type="dxa" w:w="60"/>
              <w:left w:type="dxa" w:w="120"/>
              <w:bottom w:type="dxa" w:w="60"/>
              <w:right w:type="dxa" w:w="120"/>
            </w:tcMar>
          </w:tcPr>
          <w:p>
            <w:r>
              <w:rPr>
                <w:rFonts w:ascii="Arial" w:cs="Arial" w:eastAsia="Arial" w:hAnsi="Arial"/>
                <w:sz w:val="20"/>
                <w:szCs w:val="20"/>
              </w:rPr>
              <w:t xml:space="preserve">ParkingRule table — related rules by AREAID (RULETYPE, ENFORCE_TEXT, MAXDURATION, PERMITZONE)</w:t>
            </w:r>
          </w:p>
        </w:tc>
      </w:tr>
      <w:tr>
        <w:tc>
          <w:tcPr>
            <w:tcW w:type="pct" w:w="45%"/>
            <w:tcMar>
              <w:top w:type="dxa" w:w="60"/>
              <w:left w:type="dxa" w:w="120"/>
              <w:bottom w:type="dxa" w:w="60"/>
              <w:right w:type="dxa" w:w="120"/>
            </w:tcMar>
          </w:tcPr>
          <w:p>
            <w:r>
              <w:rPr>
                <w:rFonts w:ascii="Consolas" w:cs="Consolas" w:eastAsia="Consolas" w:hAnsi="Consolas"/>
                <w:sz w:val="19"/>
                <w:szCs w:val="19"/>
              </w:rPr>
              <w:t xml:space="preserve">LaGrange_Overnight_Resident_Subzones/FeatureServer/0</w:t>
            </w:r>
          </w:p>
        </w:tc>
        <w:tc>
          <w:tcPr>
            <w:tcW w:type="pct" w:w="55%"/>
            <w:tcMar>
              <w:top w:type="dxa" w:w="60"/>
              <w:left w:type="dxa" w:w="120"/>
              <w:bottom w:type="dxa" w:w="60"/>
              <w:right w:type="dxa" w:w="120"/>
            </w:tcMar>
          </w:tcPr>
          <w:p>
            <w:r>
              <w:rPr>
                <w:rFonts w:ascii="Arial" w:cs="Arial" w:eastAsia="Arial" w:hAnsi="Arial"/>
                <w:sz w:val="20"/>
                <w:szCs w:val="20"/>
              </w:rPr>
              <w:t xml:space="preserve">Designated overnight parking bands (YES-only digitization)</w:t>
            </w:r>
          </w:p>
        </w:tc>
      </w:tr>
      <w:tr>
        <w:tc>
          <w:tcPr>
            <w:tcW w:type="pct" w:w="45%"/>
            <w:tcMar>
              <w:top w:type="dxa" w:w="60"/>
              <w:left w:type="dxa" w:w="120"/>
              <w:bottom w:type="dxa" w:w="60"/>
              <w:right w:type="dxa" w:w="120"/>
            </w:tcMar>
          </w:tcPr>
          <w:p>
            <w:r>
              <w:rPr>
                <w:rFonts w:ascii="Consolas" w:cs="Consolas" w:eastAsia="Consolas" w:hAnsi="Consolas"/>
                <w:sz w:val="19"/>
                <w:szCs w:val="19"/>
              </w:rPr>
              <w:t xml:space="preserve">LaGrangeImportantPlaces_ParkingContext_/FeatureServer/0</w:t>
            </w:r>
          </w:p>
        </w:tc>
        <w:tc>
          <w:tcPr>
            <w:tcW w:type="pct" w:w="55%"/>
            <w:tcMar>
              <w:top w:type="dxa" w:w="60"/>
              <w:left w:type="dxa" w:w="120"/>
              <w:bottom w:type="dxa" w:w="60"/>
              <w:right w:type="dxa" w:w="120"/>
            </w:tcMar>
          </w:tcPr>
          <w:p>
            <w:r>
              <w:rPr>
                <w:rFonts w:ascii="Arial" w:cs="Arial" w:eastAsia="Arial" w:hAnsi="Arial"/>
                <w:sz w:val="20"/>
                <w:szCs w:val="20"/>
              </w:rPr>
              <w:t xml:space="preserve">Reference polygons — parks, civic buildings, Metra station</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Republishing the service breaks both apps — every time</w:t>
            </w:r>
          </w:p>
          <w:p>
            <w:pPr>
              <w:spacing w:after="120"/>
            </w:pPr>
            <w:r>
              <w:rPr>
                <w:rFonts w:ascii="Arial" w:cs="Arial" w:eastAsia="Arial" w:hAnsi="Arial"/>
                <w:sz w:val="21"/>
                <w:szCs w:val="21"/>
              </w:rPr>
              <w:t xml:space="preserve">Republishing resets AGOL sharing to org-only and both apps immediately fail with {"code":499,"message":"Token Required"}. After ANY republish, re-share Public and verify: an untokened fetch of</w:t>
            </w:r>
          </w:p>
          <w:p>
            <w:pPr>
              <w:shd w:fill="F2F2F2" w:val="clear"/>
              <w:spacing w:after="120"/>
              <w:ind w:left="360"/>
            </w:pPr>
            <w:r>
              <w:rPr>
                <w:rFonts w:ascii="Consolas" w:cs="Consolas" w:eastAsia="Consolas" w:hAnsi="Consolas"/>
                <w:sz w:val="19"/>
                <w:szCs w:val="19"/>
              </w:rPr>
              <w:t xml:space="preserve">…/FeatureServer/2/query?where=1=1&amp;returnCountOnly=true&amp;f=json</w:t>
            </w:r>
          </w:p>
          <w:p>
            <w:pPr>
              <w:spacing w:after="120"/>
            </w:pPr>
            <w:r>
              <w:rPr>
                <w:rFonts w:ascii="Arial" w:cs="Arial" w:eastAsia="Arial" w:hAnsi="Arial"/>
                <w:sz w:val="21"/>
                <w:szCs w:val="21"/>
              </w:rPr>
              <w:t xml:space="preserve">must return a count, not an error. Sublayer ids survive an overwrite ([2] ParkingArea, [3] ParkingRule) — the profiles hardcode those URLs.</w:t>
            </w:r>
          </w:p>
        </w:tc>
      </w:tr>
    </w:tbl>
    <w:p>
      <w:pPr>
        <w:spacing w:after="120"/>
      </w:pPr>
    </w:p>
    <w:p>
      <w:pPr>
        <w:pStyle w:val="Heading2"/>
        <w:spacing w:after="100" w:before="240"/>
      </w:pPr>
      <w:r>
        <w:rPr>
          <w:rFonts w:ascii="Arial" w:cs="Arial" w:eastAsia="Arial" w:hAnsi="Arial"/>
          <w:b/>
          <w:bCs/>
          <w:color w:val="2E74B5"/>
          <w:sz w:val="23"/>
          <w:szCs w:val="23"/>
        </w:rPr>
        <w:t xml:space="preserve">Querying the live data (read-only, no credentials)</w:t>
      </w:r>
    </w:p>
    <w:p>
      <w:pPr>
        <w:spacing w:after="120"/>
      </w:pPr>
      <w:r>
        <w:rPr>
          <w:rFonts w:ascii="Arial" w:cs="Arial" w:eastAsia="Arial" w:hAnsi="Arial"/>
          <w:sz w:val="21"/>
          <w:szCs w:val="21"/>
        </w:rPr>
        <w:t xml:space="preserve">Any REST query works anonymously — handy for checking an AREAID or rule before a profile edit:</w:t>
      </w:r>
    </w:p>
    <w:p>
      <w:pPr>
        <w:shd w:fill="F2F2F2" w:val="clear"/>
        <w:spacing w:after="0"/>
        <w:ind w:left="360"/>
      </w:pPr>
      <w:r>
        <w:rPr>
          <w:rFonts w:ascii="Consolas" w:cs="Consolas" w:eastAsia="Consolas" w:hAnsi="Consolas"/>
          <w:sz w:val="19"/>
          <w:szCs w:val="19"/>
        </w:rPr>
        <w:t xml:space="preserve">node -e 'fetch("https://services2.arcgis.com/FwavjPsU0K1YB1vX/arcgis/rest/services/" +</w:t>
      </w:r>
    </w:p>
    <w:p>
      <w:pPr>
        <w:shd w:fill="F2F2F2" w:val="clear"/>
        <w:spacing w:after="0"/>
        <w:ind w:left="360"/>
      </w:pPr>
      <w:r>
        <w:rPr>
          <w:rFonts w:ascii="Consolas" w:cs="Consolas" w:eastAsia="Consolas" w:hAnsi="Consolas"/>
          <w:sz w:val="19"/>
          <w:szCs w:val="19"/>
        </w:rPr>
        <w:t xml:space="preserve">  "LaGrange_Parking_Permits/FeatureServer/2/query?where=AREAID=%27LOT4%27" +</w:t>
      </w:r>
    </w:p>
    <w:p>
      <w:pPr>
        <w:shd w:fill="F2F2F2" w:val="clear"/>
        <w:spacing w:after="0"/>
        <w:ind w:left="360"/>
      </w:pPr>
      <w:r>
        <w:rPr>
          <w:rFonts w:ascii="Consolas" w:cs="Consolas" w:eastAsia="Consolas" w:hAnsi="Consolas"/>
          <w:sz w:val="19"/>
          <w:szCs w:val="19"/>
        </w:rPr>
        <w:t xml:space="preserve">  "&amp;outFields=AREAID,USERCLASS,HASCBD&amp;returnGeometry=false&amp;f=json")</w:t>
      </w:r>
    </w:p>
    <w:p>
      <w:pPr>
        <w:shd w:fill="F2F2F2" w:val="clear"/>
        <w:spacing w:after="120"/>
        <w:ind w:left="360"/>
      </w:pPr>
      <w:r>
        <w:rPr>
          <w:rFonts w:ascii="Consolas" w:cs="Consolas" w:eastAsia="Consolas" w:hAnsi="Consolas"/>
          <w:sz w:val="19"/>
          <w:szCs w:val="19"/>
        </w:rPr>
        <w:t xml:space="preserve">  .then(r=&gt;r.json()).then(j=&gt;console.log(JSON.stringify(j.features)))'</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6. Verify &amp; Test</w:t>
            </w:r>
          </w:p>
        </w:tc>
      </w:tr>
    </w:tbl>
    <w:p>
      <w:pPr>
        <w:spacing w:after="120"/>
      </w:pPr>
    </w:p>
    <w:p>
      <w:pPr>
        <w:pStyle w:val="Heading1"/>
        <w:spacing w:after="120" w:before="240"/>
      </w:pPr>
      <w:r>
        <w:rPr>
          <w:rFonts w:ascii="Arial" w:cs="Arial" w:eastAsia="Arial" w:hAnsi="Arial"/>
          <w:b/>
          <w:bCs/>
          <w:color w:val="2E74B5"/>
          <w:sz w:val="26"/>
          <w:szCs w:val="26"/>
        </w:rPr>
        <w:t xml:space="preserve">6. Verify &amp; Test</w:t>
      </w:r>
    </w:p>
    <w:p>
      <w:pPr>
        <w:spacing w:after="120"/>
      </w:pPr>
      <w:r>
        <w:rPr>
          <w:rFonts w:ascii="Arial" w:cs="Arial" w:eastAsia="Arial" w:hAnsi="Arial"/>
          <w:sz w:val="21"/>
          <w:szCs w:val="21"/>
        </w:rPr>
        <w:t xml:space="preserve">Run these before showing changes to the Village or deploying. All are read-only against the live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DEEAF6" w:val="clear"/>
            <w:tcMar>
              <w:top w:type="dxa" w:w="60"/>
              <w:left w:type="dxa" w:w="120"/>
              <w:bottom w:type="dxa" w:w="60"/>
              <w:right w:type="dxa" w:w="120"/>
            </w:tcMar>
          </w:tcPr>
          <w:p>
            <w:r>
              <w:rPr>
                <w:rFonts w:ascii="Arial" w:cs="Arial" w:eastAsia="Arial" w:hAnsi="Arial"/>
                <w:b/>
                <w:bCs/>
                <w:sz w:val="20"/>
                <w:szCs w:val="20"/>
              </w:rPr>
              <w:t xml:space="preserve">Script</w:t>
            </w:r>
          </w:p>
        </w:tc>
        <w:tc>
          <w:tcPr>
            <w:tcW w:type="pct" w:w="70%"/>
            <w:shd w:fill="DEEAF6" w:val="clear"/>
            <w:tcMar>
              <w:top w:type="dxa" w:w="60"/>
              <w:left w:type="dxa" w:w="120"/>
              <w:bottom w:type="dxa" w:w="60"/>
              <w:right w:type="dxa" w:w="120"/>
            </w:tcMar>
          </w:tcPr>
          <w:p>
            <w:r>
              <w:rPr>
                <w:rFonts w:ascii="Arial" w:cs="Arial" w:eastAsia="Arial" w:hAnsi="Arial"/>
                <w:b/>
                <w:bCs/>
                <w:sz w:val="20"/>
                <w:szCs w:val="20"/>
              </w:rPr>
              <w:t xml:space="preserve">What it proves</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verify-permit-pages.mjs</w:t>
            </w:r>
          </w:p>
        </w:tc>
        <w:tc>
          <w:tcPr>
            <w:tcW w:type="pct" w:w="70%"/>
            <w:tcMar>
              <w:top w:type="dxa" w:w="60"/>
              <w:left w:type="dxa" w:w="120"/>
              <w:bottom w:type="dxa" w:w="60"/>
              <w:right w:type="dxa" w:w="120"/>
            </w:tcMar>
          </w:tcPr>
          <w:p>
            <w:r>
              <w:rPr>
                <w:rFonts w:ascii="Arial" w:cs="Arial" w:eastAsia="Arial" w:hAnsi="Arial"/>
                <w:sz w:val="20"/>
                <w:szCs w:val="20"/>
              </w:rPr>
              <w:t xml:space="preserve">Every lot listed in every permit tab resolves against the live service and returns rules for its page. Warns on lots with NO RULES (known upstream RULETYPE mislabels — not profile bugs).</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verify-basemaps.mjs</w:t>
            </w:r>
          </w:p>
        </w:tc>
        <w:tc>
          <w:tcPr>
            <w:tcW w:type="pct" w:w="70%"/>
            <w:tcMar>
              <w:top w:type="dxa" w:w="60"/>
              <w:left w:type="dxa" w:w="120"/>
              <w:bottom w:type="dxa" w:w="60"/>
              <w:right w:type="dxa" w:w="120"/>
            </w:tcMar>
          </w:tcPr>
          <w:p>
            <w:r>
              <w:rPr>
                <w:rFonts w:ascii="Arial" w:cs="Arial" w:eastAsia="Arial" w:hAnsi="Arial"/>
                <w:sz w:val="20"/>
                <w:szCs w:val="20"/>
              </w:rPr>
              <w:t xml:space="preserve">Each basemap actually serves a real deepest-zoom tile over La Grange (service metadata alone is not proof of coverage).</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inspect-service.mjs</w:t>
            </w:r>
          </w:p>
        </w:tc>
        <w:tc>
          <w:tcPr>
            <w:tcW w:type="pct" w:w="70%"/>
            <w:tcMar>
              <w:top w:type="dxa" w:w="60"/>
              <w:left w:type="dxa" w:w="120"/>
              <w:bottom w:type="dxa" w:w="60"/>
              <w:right w:type="dxa" w:w="120"/>
            </w:tcMar>
          </w:tcPr>
          <w:p>
            <w:r>
              <w:rPr>
                <w:rFonts w:ascii="Arial" w:cs="Arial" w:eastAsia="Arial" w:hAnsi="Arial"/>
                <w:sz w:val="20"/>
                <w:szCs w:val="20"/>
              </w:rPr>
              <w:t xml:space="preserve">Schema + value distributions of the hosted service.</w:t>
            </w:r>
          </w:p>
        </w:tc>
      </w:tr>
      <w:tr>
        <w:tc>
          <w:tcPr>
            <w:tcW w:type="pct" w:w="30%"/>
            <w:tcMar>
              <w:top w:type="dxa" w:w="60"/>
              <w:left w:type="dxa" w:w="120"/>
              <w:bottom w:type="dxa" w:w="60"/>
              <w:right w:type="dxa" w:w="120"/>
            </w:tcMar>
          </w:tcPr>
          <w:p>
            <w:r>
              <w:rPr>
                <w:rFonts w:ascii="Consolas" w:cs="Consolas" w:eastAsia="Consolas" w:hAnsi="Consolas"/>
                <w:sz w:val="19"/>
                <w:szCs w:val="19"/>
              </w:rPr>
              <w:t xml:space="preserve">verify-filters.mjs</w:t>
            </w:r>
          </w:p>
        </w:tc>
        <w:tc>
          <w:tcPr>
            <w:tcW w:type="pct" w:w="70%"/>
            <w:tcMar>
              <w:top w:type="dxa" w:w="60"/>
              <w:left w:type="dxa" w:w="120"/>
              <w:bottom w:type="dxa" w:w="60"/>
              <w:right w:type="dxa" w:w="120"/>
            </w:tcMar>
          </w:tcPr>
          <w:p>
            <w:r>
              <w:rPr>
                <w:rFonts w:ascii="Arial" w:cs="Arial" w:eastAsia="Arial" w:hAnsi="Arial"/>
                <w:sz w:val="20"/>
                <w:szCs w:val="20"/>
              </w:rPr>
              <w:t xml:space="preserve">Historical — predates the four-page model. Do not trust its three-audience buckets.</w:t>
            </w:r>
          </w:p>
        </w:tc>
      </w:tr>
    </w:tbl>
    <w:p>
      <w:pPr>
        <w:spacing w:after="120"/>
      </w:pPr>
    </w:p>
    <w:p>
      <w:pPr>
        <w:pStyle w:val="Heading2"/>
        <w:spacing w:after="100" w:before="240"/>
      </w:pPr>
      <w:r>
        <w:rPr>
          <w:rFonts w:ascii="Arial" w:cs="Arial" w:eastAsia="Arial" w:hAnsi="Arial"/>
          <w:b/>
          <w:bCs/>
          <w:color w:val="2E74B5"/>
          <w:sz w:val="23"/>
          <w:szCs w:val="23"/>
        </w:rPr>
        <w:t xml:space="preserve">Manual browser pass</w:t>
      </w:r>
    </w:p>
    <w:p>
      <w:pPr>
        <w:pStyle w:val="ListParagraph"/>
        <w:numPr>
          <w:ilvl w:val="0"/>
          <w:numId w:val="5"/>
        </w:numPr>
        <w:spacing w:after="60"/>
      </w:pPr>
      <w:r>
        <w:rPr>
          <w:rFonts w:ascii="Arial" w:cs="Arial" w:eastAsia="Arial" w:hAnsi="Arial"/>
          <w:sz w:val="21"/>
          <w:szCs w:val="21"/>
        </w:rPr>
        <w:t xml:space="preserve">Permit app: open each of the four permit pages; click a lot on each; confirm the sidebar text, notes, and any designated-space bands look right</w:t>
      </w:r>
    </w:p>
    <w:p>
      <w:pPr>
        <w:pStyle w:val="ListParagraph"/>
        <w:numPr>
          <w:ilvl w:val="0"/>
          <w:numId w:val="5"/>
        </w:numPr>
        <w:spacing w:after="60"/>
      </w:pPr>
      <w:r>
        <w:rPr>
          <w:rFonts w:ascii="Arial" w:cs="Arial" w:eastAsia="Arial" w:hAnsi="Arial"/>
          <w:sz w:val="21"/>
          <w:szCs w:val="21"/>
        </w:rPr>
        <w:t xml:space="preserve">Resident pages: select Lot 5 and confirm the overnight bands draw when zoomed in; Employees: select Lot 5 and confirm the CBD rows overlay draws instead</w:t>
      </w:r>
    </w:p>
    <w:p>
      <w:pPr>
        <w:pStyle w:val="ListParagraph"/>
        <w:numPr>
          <w:ilvl w:val="0"/>
          <w:numId w:val="5"/>
        </w:numPr>
        <w:spacing w:after="60"/>
      </w:pPr>
      <w:r>
        <w:rPr>
          <w:rFonts w:ascii="Arial" w:cs="Arial" w:eastAsia="Arial" w:hAnsi="Arial"/>
          <w:sz w:val="21"/>
          <w:szCs w:val="21"/>
        </w:rPr>
        <w:t xml:space="preserve">Public app: select a few lots and confirm Availability / Time limit text</w:t>
      </w:r>
    </w:p>
    <w:p>
      <w:pPr>
        <w:spacing w:after="60" w:before="120"/>
        <w:jc w:val="center"/>
      </w:pPr>
      <w:r>
        <w:drawing>
          <wp:inline distT="0" distB="0" distL="0" distR="0">
            <wp:extent cx="566737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543300"/>
                    </a:xfrm>
                    <a:prstGeom prst="rect">
                      <a:avLst/>
                    </a:prstGeom>
                  </pic:spPr>
                </pic:pic>
              </a:graphicData>
            </a:graphic>
          </wp:inline>
        </w:drawing>
      </w:r>
    </w:p>
    <w:p>
      <w:pPr>
        <w:spacing w:after="160"/>
        <w:jc w:val="center"/>
      </w:pPr>
      <w:r>
        <w:rPr>
          <w:rFonts w:ascii="Arial" w:cs="Arial" w:eastAsia="Arial" w:hAnsi="Arial"/>
          <w:i/>
          <w:iCs/>
          <w:color w:val="808080"/>
          <w:sz w:val="18"/>
          <w:szCs w:val="18"/>
        </w:rPr>
        <w:t xml:space="preserve">Public app overview — legend categories, consolidated on-street row, and the lot list. Compare your local build against the live 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Known noise — do not chase these</w:t>
            </w:r>
          </w:p>
          <w:p>
            <w:pPr>
              <w:pStyle w:val="ListParagraph"/>
              <w:numPr>
                <w:ilvl w:val="0"/>
                <w:numId w:val="1"/>
              </w:numPr>
              <w:spacing w:after="60"/>
            </w:pPr>
            <w:r>
              <w:rPr>
                <w:rFonts w:ascii="Arial" w:cs="Arial" w:eastAsia="Arial" w:hAnsi="Arial"/>
                <w:sz w:val="21"/>
                <w:szCs w:val="21"/>
              </w:rPr>
              <w:t xml:space="preserve">5 ESLint errors on main are pre-existing</w:t>
            </w:r>
          </w:p>
          <w:p>
            <w:pPr>
              <w:pStyle w:val="ListParagraph"/>
              <w:numPr>
                <w:ilvl w:val="0"/>
                <w:numId w:val="1"/>
              </w:numPr>
              <w:spacing w:after="60"/>
            </w:pPr>
            <w:r>
              <w:rPr>
                <w:rFonts w:ascii="Arial" w:cs="Arial" w:eastAsia="Arial" w:hAnsi="Arial"/>
                <w:sz w:val="21"/>
                <w:szCs w:val="21"/>
              </w:rPr>
              <w:t xml:space="preserve">Esri deprecation warnings in the console (Home/Locate widgets, Polygon.centroid) are expected</w:t>
            </w:r>
          </w:p>
          <w:p>
            <w:pPr>
              <w:pStyle w:val="ListParagraph"/>
              <w:numPr>
                <w:ilvl w:val="0"/>
                <w:numId w:val="1"/>
              </w:numPr>
              <w:spacing w:after="60"/>
            </w:pPr>
            <w:r>
              <w:rPr>
                <w:rFonts w:ascii="Arial" w:cs="Arial" w:eastAsia="Arial" w:hAnsi="Arial"/>
                <w:sz w:val="21"/>
                <w:szCs w:val="21"/>
              </w:rPr>
              <w:t xml:space="preserve">NO RULES warnings for Lot 13 (commuter), Lot 2 / VH Garage (employees) are upstream data issues; those pages set showRules: false anyway</w:t>
            </w:r>
          </w:p>
        </w:tc>
      </w:tr>
    </w:tbl>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7. Build, Publish &amp; Deploy</w:t>
            </w:r>
          </w:p>
        </w:tc>
      </w:tr>
    </w:tbl>
    <w:p>
      <w:pPr>
        <w:spacing w:after="120"/>
      </w:pPr>
    </w:p>
    <w:p>
      <w:pPr>
        <w:pStyle w:val="Heading1"/>
        <w:spacing w:after="120" w:before="240"/>
      </w:pPr>
      <w:r>
        <w:rPr>
          <w:rFonts w:ascii="Arial" w:cs="Arial" w:eastAsia="Arial" w:hAnsi="Arial"/>
          <w:b/>
          <w:bCs/>
          <w:color w:val="2E74B5"/>
          <w:sz w:val="26"/>
          <w:szCs w:val="26"/>
        </w:rPr>
        <w:t xml:space="preserve">7. Build, Publish &amp; Deploy</w:t>
      </w:r>
    </w:p>
    <w:p>
      <w:pPr>
        <w:pStyle w:val="Heading2"/>
        <w:spacing w:after="100" w:before="240"/>
      </w:pPr>
      <w:r>
        <w:rPr>
          <w:rFonts w:ascii="Arial" w:cs="Arial" w:eastAsia="Arial" w:hAnsi="Arial"/>
          <w:b/>
          <w:bCs/>
          <w:color w:val="2E74B5"/>
          <w:sz w:val="23"/>
          <w:szCs w:val="23"/>
        </w:rPr>
        <w:t xml:space="preserve">Step 1 — Build</w:t>
      </w:r>
    </w:p>
    <w:p>
      <w:pPr>
        <w:shd w:fill="F2F2F2" w:val="clear"/>
        <w:spacing w:after="120"/>
        <w:ind w:left="360"/>
      </w:pPr>
      <w:r>
        <w:rPr>
          <w:rFonts w:ascii="Consolas" w:cs="Consolas" w:eastAsia="Consolas" w:hAnsi="Consolas"/>
          <w:sz w:val="19"/>
          <w:szCs w:val="19"/>
        </w:rPr>
        <w:t xml:space="preserve">npm run build   # -&gt; dist/permit and dist/public</w:t>
      </w:r>
    </w:p>
    <w:p>
      <w:pPr>
        <w:pStyle w:val="Heading2"/>
        <w:spacing w:after="100" w:before="240"/>
      </w:pPr>
      <w:r>
        <w:rPr>
          <w:rFonts w:ascii="Arial" w:cs="Arial" w:eastAsia="Arial" w:hAnsi="Arial"/>
          <w:b/>
          <w:bCs/>
          <w:color w:val="2E74B5"/>
          <w:sz w:val="23"/>
          <w:szCs w:val="23"/>
        </w:rPr>
        <w:t xml:space="preserve">Step 2 — Commit and push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7FB2D9" w:sz="6"/>
              <w:left w:val="single" w:color="7FB2D9" w:sz="6"/>
              <w:bottom w:val="single" w:color="7FB2D9" w:sz="6"/>
              <w:right w:val="single" w:color="7FB2D9" w:sz="6"/>
            </w:tcBorders>
            <w:shd w:fill="EAF3FA" w:val="clear"/>
            <w:tcMar>
              <w:top w:type="dxa" w:w="160"/>
              <w:left w:type="dxa" w:w="240"/>
              <w:bottom w:type="dxa" w:w="160"/>
              <w:right w:type="dxa" w:w="240"/>
            </w:tcMar>
          </w:tcPr>
          <w:p>
            <w:pPr>
              <w:spacing w:after="100"/>
            </w:pPr>
            <w:r>
              <w:rPr>
                <w:rFonts w:ascii="Arial" w:cs="Arial" w:eastAsia="Arial" w:hAnsi="Arial"/>
                <w:b/>
                <w:bCs/>
                <w:color w:val="2E74B5"/>
                <w:sz w:val="21"/>
                <w:szCs w:val="21"/>
              </w:rPr>
              <w:t xml:space="preserve">Branch gotcha — local is master, remote default is main</w:t>
            </w:r>
          </w:p>
          <w:p>
            <w:pPr>
              <w:spacing w:after="120"/>
            </w:pPr>
            <w:r>
              <w:rPr>
                <w:rFonts w:ascii="Arial" w:cs="Arial" w:eastAsia="Arial" w:hAnsi="Arial"/>
                <w:sz w:val="21"/>
                <w:szCs w:val="21"/>
              </w:rPr>
              <w:t xml:space="preserve">The local branch is named </w:t>
            </w:r>
            <w:r>
              <w:rPr>
                <w:rFonts w:ascii="Consolas" w:cs="Consolas" w:eastAsia="Consolas" w:hAnsi="Consolas"/>
                <w:sz w:val="19"/>
                <w:szCs w:val="19"/>
              </w:rPr>
              <w:t xml:space="preserve">master</w:t>
            </w:r>
            <w:r>
              <w:rPr>
                <w:rFonts w:ascii="Arial" w:cs="Arial" w:eastAsia="Arial" w:hAnsi="Arial"/>
                <w:sz w:val="21"/>
                <w:szCs w:val="21"/>
              </w:rPr>
              <w:t xml:space="preserve"> but the GitHub default branch is </w:t>
            </w:r>
            <w:r>
              <w:rPr>
                <w:rFonts w:ascii="Consolas" w:cs="Consolas" w:eastAsia="Consolas" w:hAnsi="Consolas"/>
                <w:sz w:val="19"/>
                <w:szCs w:val="19"/>
              </w:rPr>
              <w:t xml:space="preserve">main</w:t>
            </w:r>
            <w:r>
              <w:rPr>
                <w:rFonts w:ascii="Arial" w:cs="Arial" w:eastAsia="Arial" w:hAnsi="Arial"/>
                <w:sz w:val="21"/>
                <w:szCs w:val="21"/>
              </w:rPr>
              <w:t xml:space="preserve">. A plain </w:t>
            </w:r>
            <w:r>
              <w:rPr>
                <w:rFonts w:ascii="Consolas" w:cs="Consolas" w:eastAsia="Consolas" w:hAnsi="Consolas"/>
                <w:sz w:val="19"/>
                <w:szCs w:val="19"/>
              </w:rPr>
              <w:t xml:space="preserve">git push origin master</w:t>
            </w:r>
            <w:r>
              <w:rPr>
                <w:rFonts w:ascii="Arial" w:cs="Arial" w:eastAsia="Arial" w:hAnsi="Arial"/>
                <w:sz w:val="21"/>
                <w:szCs w:val="21"/>
              </w:rPr>
              <w:t xml:space="preserve"> creates a stray remote branch. Always push with:</w:t>
            </w:r>
          </w:p>
          <w:p>
            <w:pPr>
              <w:shd w:fill="F2F2F2" w:val="clear"/>
              <w:spacing w:after="120"/>
              <w:ind w:left="360"/>
            </w:pPr>
            <w:r>
              <w:rPr>
                <w:rFonts w:ascii="Consolas" w:cs="Consolas" w:eastAsia="Consolas" w:hAnsi="Consolas"/>
                <w:sz w:val="19"/>
                <w:szCs w:val="19"/>
              </w:rPr>
              <w:t xml:space="preserve">git push origin master:main</w:t>
            </w:r>
          </w:p>
        </w:tc>
      </w:tr>
    </w:tbl>
    <w:p>
      <w:pPr>
        <w:spacing w:after="120"/>
      </w:pPr>
    </w:p>
    <w:p>
      <w:pPr>
        <w:pStyle w:val="Heading2"/>
        <w:spacing w:after="100" w:before="240"/>
      </w:pPr>
      <w:r>
        <w:rPr>
          <w:rFonts w:ascii="Arial" w:cs="Arial" w:eastAsia="Arial" w:hAnsi="Arial"/>
          <w:b/>
          <w:bCs/>
          <w:color w:val="2E74B5"/>
          <w:sz w:val="23"/>
          <w:szCs w:val="23"/>
        </w:rPr>
        <w:t xml:space="preserve">Step 3 — Deploy both Static Web Apps</w:t>
      </w:r>
    </w:p>
    <w:p>
      <w:pPr>
        <w:spacing w:after="120"/>
      </w:pPr>
      <w:r>
        <w:rPr>
          <w:rFonts w:ascii="Arial" w:cs="Arial" w:eastAsia="Arial" w:hAnsi="Arial"/>
          <w:sz w:val="21"/>
          <w:szCs w:val="21"/>
        </w:rPr>
        <w:t xml:space="preserve">Azure context: tenant Spark by MGP (Community-Essentials.com), subscription "Microsoft Azure Sponsorship", resource group rg-lagrange-parking. Full details and recreate-from-scratch commands: DEPLOY.md.</w:t>
      </w:r>
    </w:p>
    <w:p>
      <w:pPr>
        <w:spacing w:after="120"/>
      </w:pPr>
      <w:r>
        <w:rPr>
          <w:rFonts w:ascii="Arial" w:cs="Arial" w:eastAsia="Arial" w:hAnsi="Arial"/>
          <w:sz w:val="21"/>
          <w:szCs w:val="21"/>
        </w:rPr>
        <w:t xml:space="preserve">PowerShell (verified 2026-09-01):</w:t>
      </w:r>
    </w:p>
    <w:p>
      <w:pPr>
        <w:shd w:fill="F2F2F2" w:val="clear"/>
        <w:spacing w:after="0"/>
        <w:ind w:left="360"/>
      </w:pPr>
      <w:r>
        <w:rPr>
          <w:rFonts w:ascii="Consolas" w:cs="Consolas" w:eastAsia="Consolas" w:hAnsi="Consolas"/>
          <w:sz w:val="19"/>
          <w:szCs w:val="19"/>
        </w:rPr>
        <w:t xml:space="preserve"># Permit</w:t>
      </w:r>
    </w:p>
    <w:p>
      <w:pPr>
        <w:shd w:fill="F2F2F2" w:val="clear"/>
        <w:spacing w:after="0"/>
        <w:ind w:left="360"/>
      </w:pPr>
      <w:r>
        <w:rPr>
          <w:rFonts w:ascii="Consolas" w:cs="Consolas" w:eastAsia="Consolas" w:hAnsi="Consolas"/>
          <w:sz w:val="19"/>
          <w:szCs w:val="19"/>
        </w:rPr>
        <w:t xml:space="preserve">$TOKEN = az staticwebapp secrets list -n lagrange-parking-permit -g rg-lagrange-parking `</w:t>
      </w:r>
    </w:p>
    <w:p>
      <w:pPr>
        <w:shd w:fill="F2F2F2" w:val="clear"/>
        <w:spacing w:after="0"/>
        <w:ind w:left="360"/>
      </w:pPr>
      <w:r>
        <w:rPr>
          <w:rFonts w:ascii="Consolas" w:cs="Consolas" w:eastAsia="Consolas" w:hAnsi="Consolas"/>
          <w:sz w:val="19"/>
          <w:szCs w:val="19"/>
        </w:rPr>
        <w:t xml:space="preserve">           --query "properties.apiKey" -o tsv</w:t>
      </w:r>
    </w:p>
    <w:p>
      <w:pPr>
        <w:shd w:fill="F2F2F2" w:val="clear"/>
        <w:spacing w:after="0"/>
        <w:ind w:left="360"/>
      </w:pPr>
      <w:r>
        <w:rPr>
          <w:rFonts w:ascii="Consolas" w:cs="Consolas" w:eastAsia="Consolas" w:hAnsi="Consolas"/>
          <w:sz w:val="19"/>
          <w:szCs w:val="19"/>
        </w:rPr>
        <w:t xml:space="preserve">npx -y "@azure/static-web-apps-cli" deploy ./dist/permit --deployment-token $TOKEN --env production</w:t>
      </w:r>
    </w:p>
    <w:p>
      <w:pPr>
        <w:shd w:fill="F2F2F2" w:val="clear"/>
        <w:spacing w:after="0"/>
        <w:ind w:left="360"/>
      </w:pPr>
      <w:r>
        <w:rPr>
          <w:rFonts w:ascii="Consolas" w:cs="Consolas" w:eastAsia="Consolas" w:hAnsi="Consolas"/>
          <w:sz w:val="19"/>
          <w:szCs w:val="19"/>
        </w:rPr>
        <w:t xml:space="preserve"> </w:t>
      </w:r>
    </w:p>
    <w:p>
      <w:pPr>
        <w:shd w:fill="F2F2F2" w:val="clear"/>
        <w:spacing w:after="0"/>
        <w:ind w:left="360"/>
      </w:pPr>
      <w:r>
        <w:rPr>
          <w:rFonts w:ascii="Consolas" w:cs="Consolas" w:eastAsia="Consolas" w:hAnsi="Consolas"/>
          <w:sz w:val="19"/>
          <w:szCs w:val="19"/>
        </w:rPr>
        <w:t xml:space="preserve"># Public</w:t>
      </w:r>
    </w:p>
    <w:p>
      <w:pPr>
        <w:shd w:fill="F2F2F2" w:val="clear"/>
        <w:spacing w:after="0"/>
        <w:ind w:left="360"/>
      </w:pPr>
      <w:r>
        <w:rPr>
          <w:rFonts w:ascii="Consolas" w:cs="Consolas" w:eastAsia="Consolas" w:hAnsi="Consolas"/>
          <w:sz w:val="19"/>
          <w:szCs w:val="19"/>
        </w:rPr>
        <w:t xml:space="preserve">$TOKEN = az staticwebapp secrets list -n lagrange-parking-public -g rg-lagrange-parking `</w:t>
      </w:r>
    </w:p>
    <w:p>
      <w:pPr>
        <w:shd w:fill="F2F2F2" w:val="clear"/>
        <w:spacing w:after="0"/>
        <w:ind w:left="360"/>
      </w:pPr>
      <w:r>
        <w:rPr>
          <w:rFonts w:ascii="Consolas" w:cs="Consolas" w:eastAsia="Consolas" w:hAnsi="Consolas"/>
          <w:sz w:val="19"/>
          <w:szCs w:val="19"/>
        </w:rPr>
        <w:t xml:space="preserve">           --query "properties.apiKey" -o tsv</w:t>
      </w:r>
    </w:p>
    <w:p>
      <w:pPr>
        <w:shd w:fill="F2F2F2" w:val="clear"/>
        <w:spacing w:after="120"/>
        <w:ind w:left="360"/>
      </w:pPr>
      <w:r>
        <w:rPr>
          <w:rFonts w:ascii="Consolas" w:cs="Consolas" w:eastAsia="Consolas" w:hAnsi="Consolas"/>
          <w:sz w:val="19"/>
          <w:szCs w:val="19"/>
        </w:rPr>
        <w:t xml:space="preserve">npx -y "@azure/static-web-apps-cli" deploy ./dist/public --deployment-token $TOKEN --env production</w:t>
      </w:r>
    </w:p>
    <w:p>
      <w:pPr>
        <w:pStyle w:val="Heading2"/>
        <w:spacing w:after="100" w:before="240"/>
      </w:pPr>
      <w:r>
        <w:rPr>
          <w:rFonts w:ascii="Arial" w:cs="Arial" w:eastAsia="Arial" w:hAnsi="Arial"/>
          <w:b/>
          <w:bCs/>
          <w:color w:val="2E74B5"/>
          <w:sz w:val="23"/>
          <w:szCs w:val="23"/>
        </w:rPr>
        <w:t xml:space="preserve">Step 4 — Smoke-test the live sites</w:t>
      </w:r>
    </w:p>
    <w:p>
      <w:pPr>
        <w:pStyle w:val="ListParagraph"/>
        <w:numPr>
          <w:ilvl w:val="0"/>
          <w:numId w:val="6"/>
        </w:numPr>
        <w:spacing w:after="60"/>
      </w:pPr>
      <w:r>
        <w:rPr>
          <w:rFonts w:ascii="Arial" w:cs="Arial" w:eastAsia="Arial" w:hAnsi="Arial"/>
          <w:sz w:val="21"/>
          <w:szCs w:val="21"/>
        </w:rPr>
        <w:t xml:space="preserve">Fetch each site's /profiles/*.json and confirm your edits are present</w:t>
      </w:r>
    </w:p>
    <w:p>
      <w:pPr>
        <w:pStyle w:val="ListParagraph"/>
        <w:numPr>
          <w:ilvl w:val="0"/>
          <w:numId w:val="6"/>
        </w:numPr>
        <w:spacing w:after="60"/>
      </w:pPr>
      <w:r>
        <w:rPr>
          <w:rFonts w:ascii="Arial" w:cs="Arial" w:eastAsia="Arial" w:hAnsi="Arial"/>
          <w:sz w:val="21"/>
          <w:szCs w:val="21"/>
        </w:rPr>
        <w:t xml:space="preserve">Open both URLs, click through a permit page and a public lot card</w:t>
      </w:r>
    </w:p>
    <w:p>
      <w:pPr>
        <w:spacing w:after="120"/>
      </w:pPr>
      <w:r>
        <w:rPr>
          <w:rFonts w:ascii="Arial" w:cs="Arial" w:eastAsia="Arial" w:hAnsi="Arial"/>
          <w:sz w:val="21"/>
          <w:szCs w:val="21"/>
        </w:rPr>
        <w:t xml:space="preserve">CI note: .github/workflows/deploy.yml builds both apps and uploads an artifact but does not deploy. Deploys are manual until SWA tokens are added as GitHub secrets (see DEPLOY.md).</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none" w:color="FFFFFF" w:sz="0"/>
              <w:bottom w:val="none" w:color="FFFFFF" w:sz="0"/>
              <w:right w:val="none" w:color="FFFFFF" w:sz="0"/>
            </w:tcBorders>
            <w:shd w:fill="1F5C8B" w:val="clear"/>
            <w:tcMar>
              <w:top w:type="dxa" w:w="160"/>
              <w:left w:type="dxa" w:w="240"/>
              <w:bottom w:type="dxa" w:w="160"/>
              <w:right w:type="dxa" w:w="240"/>
            </w:tcMar>
          </w:tcPr>
          <w:p>
            <w:r>
              <w:rPr>
                <w:rFonts w:ascii="Arial" w:cs="Arial" w:eastAsia="Arial" w:hAnsi="Arial"/>
                <w:b/>
                <w:bCs/>
                <w:color w:val="FFFFFF"/>
                <w:sz w:val="28"/>
                <w:szCs w:val="28"/>
              </w:rPr>
              <w:t xml:space="preserve">8. Troubleshooting</w:t>
            </w:r>
          </w:p>
        </w:tc>
      </w:tr>
    </w:tbl>
    <w:p>
      <w:pPr>
        <w:spacing w:after="120"/>
      </w:pPr>
    </w:p>
    <w:p>
      <w:pPr>
        <w:pStyle w:val="Heading1"/>
        <w:spacing w:after="120" w:before="240"/>
      </w:pPr>
      <w:r>
        <w:rPr>
          <w:rFonts w:ascii="Arial" w:cs="Arial" w:eastAsia="Arial" w:hAnsi="Arial"/>
          <w:b/>
          <w:bCs/>
          <w:color w:val="2E74B5"/>
          <w:sz w:val="26"/>
          <w:szCs w:val="26"/>
        </w:rPr>
        <w:t xml:space="preserve">8.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shd w:fill="DEEAF6" w:val="clear"/>
            <w:tcMar>
              <w:top w:type="dxa" w:w="60"/>
              <w:left w:type="dxa" w:w="120"/>
              <w:bottom w:type="dxa" w:w="60"/>
              <w:right w:type="dxa" w:w="120"/>
            </w:tcMar>
          </w:tcPr>
          <w:p>
            <w:r>
              <w:rPr>
                <w:rFonts w:ascii="Arial" w:cs="Arial" w:eastAsia="Arial" w:hAnsi="Arial"/>
                <w:b/>
                <w:bCs/>
                <w:sz w:val="20"/>
                <w:szCs w:val="20"/>
              </w:rPr>
              <w:t xml:space="preserve">Symptom</w:t>
            </w:r>
          </w:p>
        </w:tc>
        <w:tc>
          <w:tcPr>
            <w:tcW w:type="pct" w:w="60%"/>
            <w:shd w:fill="DEEAF6" w:val="clear"/>
            <w:tcMar>
              <w:top w:type="dxa" w:w="60"/>
              <w:left w:type="dxa" w:w="120"/>
              <w:bottom w:type="dxa" w:w="60"/>
              <w:right w:type="dxa" w:w="120"/>
            </w:tcMar>
          </w:tcPr>
          <w:p>
            <w:r>
              <w:rPr>
                <w:rFonts w:ascii="Arial" w:cs="Arial" w:eastAsia="Arial" w:hAnsi="Arial"/>
                <w:b/>
                <w:bCs/>
                <w:sz w:val="20"/>
                <w:szCs w:val="20"/>
              </w:rPr>
              <w:t xml:space="preserve">Cause / fix</w:t>
            </w:r>
          </w:p>
        </w:tc>
      </w:tr>
      <w:tr>
        <w:tc>
          <w:tcPr>
            <w:tcW w:type="pct" w:w="40%"/>
            <w:tcMar>
              <w:top w:type="dxa" w:w="60"/>
              <w:left w:type="dxa" w:w="120"/>
              <w:bottom w:type="dxa" w:w="60"/>
              <w:right w:type="dxa" w:w="120"/>
            </w:tcMar>
          </w:tcPr>
          <w:p>
            <w:r>
              <w:rPr>
                <w:rFonts w:ascii="Arial" w:cs="Arial" w:eastAsia="Arial" w:hAnsi="Arial"/>
                <w:sz w:val="20"/>
                <w:szCs w:val="20"/>
              </w:rPr>
              <w:t xml:space="preserve">Both apps show no parking data; console shows {"code":499,"Token Required"}</w:t>
            </w:r>
          </w:p>
        </w:tc>
        <w:tc>
          <w:tcPr>
            <w:tcW w:type="pct" w:w="60%"/>
            <w:tcMar>
              <w:top w:type="dxa" w:w="60"/>
              <w:left w:type="dxa" w:w="120"/>
              <w:bottom w:type="dxa" w:w="60"/>
              <w:right w:type="dxa" w:w="120"/>
            </w:tcMar>
          </w:tcPr>
          <w:p>
            <w:r>
              <w:rPr>
                <w:rFonts w:ascii="Arial" w:cs="Arial" w:eastAsia="Arial" w:hAnsi="Arial"/>
                <w:sz w:val="20"/>
                <w:szCs w:val="20"/>
              </w:rPr>
              <w:t xml:space="preserve">The feature service was republished and sharing reset to org-only. Re-share Public in AGOL (Chapter 5 callout).</w:t>
            </w:r>
          </w:p>
        </w:tc>
      </w:tr>
      <w:tr>
        <w:tc>
          <w:tcPr>
            <w:tcW w:type="pct" w:w="40%"/>
            <w:tcMar>
              <w:top w:type="dxa" w:w="60"/>
              <w:left w:type="dxa" w:w="120"/>
              <w:bottom w:type="dxa" w:w="60"/>
              <w:right w:type="dxa" w:w="120"/>
            </w:tcMar>
          </w:tcPr>
          <w:p>
            <w:r>
              <w:rPr>
                <w:rFonts w:ascii="Arial" w:cs="Arial" w:eastAsia="Arial" w:hAnsi="Arial"/>
                <w:sz w:val="20"/>
                <w:szCs w:val="20"/>
              </w:rPr>
              <w:t xml:space="preserve">Basemap or aerial is blank</w:t>
            </w:r>
          </w:p>
        </w:tc>
        <w:tc>
          <w:tcPr>
            <w:tcW w:type="pct" w:w="60%"/>
            <w:tcMar>
              <w:top w:type="dxa" w:w="60"/>
              <w:left w:type="dxa" w:w="120"/>
              <w:bottom w:type="dxa" w:w="60"/>
              <w:right w:type="dxa" w:w="120"/>
            </w:tcMar>
          </w:tcPr>
          <w:p>
            <w:r>
              <w:rPr>
                <w:rFonts w:ascii="Arial" w:cs="Arial" w:eastAsia="Arial" w:hAnsi="Arial"/>
                <w:sz w:val="20"/>
                <w:szCs w:val="20"/>
              </w:rPr>
              <w:t xml:space="preserve">Run node scripts/verify-basemaps.mjs. The GISC_IMAGERY_* mosaics 404 over La Grange even though metadata looks fine — use COUNTY_IMAGERY_COOK_2025_Project.</w:t>
            </w:r>
          </w:p>
        </w:tc>
      </w:tr>
      <w:tr>
        <w:tc>
          <w:tcPr>
            <w:tcW w:type="pct" w:w="40%"/>
            <w:tcMar>
              <w:top w:type="dxa" w:w="60"/>
              <w:left w:type="dxa" w:w="120"/>
              <w:bottom w:type="dxa" w:w="60"/>
              <w:right w:type="dxa" w:w="120"/>
            </w:tcMar>
          </w:tcPr>
          <w:p>
            <w:r>
              <w:rPr>
                <w:rFonts w:ascii="Arial" w:cs="Arial" w:eastAsia="Arial" w:hAnsi="Arial"/>
                <w:sz w:val="20"/>
                <w:szCs w:val="20"/>
              </w:rPr>
              <w:t xml:space="preserve">All designated-space bands and notes vanished</w:t>
            </w:r>
          </w:p>
        </w:tc>
        <w:tc>
          <w:tcPr>
            <w:tcW w:type="pct" w:w="60%"/>
            <w:tcMar>
              <w:top w:type="dxa" w:w="60"/>
              <w:left w:type="dxa" w:w="120"/>
              <w:bottom w:type="dxa" w:w="60"/>
              <w:right w:type="dxa" w:w="120"/>
            </w:tcMar>
          </w:tcPr>
          <w:p>
            <w:r>
              <w:rPr>
                <w:rFonts w:ascii="Arial" w:cs="Arial" w:eastAsia="Arial" w:hAnsi="Arial"/>
                <w:sz w:val="20"/>
                <w:szCs w:val="20"/>
              </w:rPr>
              <w:t xml:space="preserve">The subzone service stopped answering anonymously — it fails quiet. Check the service, not the code (docs/DATA.md §3.6).</w:t>
            </w:r>
          </w:p>
        </w:tc>
      </w:tr>
      <w:tr>
        <w:tc>
          <w:tcPr>
            <w:tcW w:type="pct" w:w="40%"/>
            <w:tcMar>
              <w:top w:type="dxa" w:w="60"/>
              <w:left w:type="dxa" w:w="120"/>
              <w:bottom w:type="dxa" w:w="60"/>
              <w:right w:type="dxa" w:w="120"/>
            </w:tcMar>
          </w:tcPr>
          <w:p>
            <w:r>
              <w:rPr>
                <w:rFonts w:ascii="Arial" w:cs="Arial" w:eastAsia="Arial" w:hAnsi="Arial"/>
                <w:sz w:val="20"/>
                <w:szCs w:val="20"/>
              </w:rPr>
              <w:t xml:space="preserve">A lot draws but its detail card is empty</w:t>
            </w:r>
          </w:p>
        </w:tc>
        <w:tc>
          <w:tcPr>
            <w:tcW w:type="pct" w:w="60%"/>
            <w:tcMar>
              <w:top w:type="dxa" w:w="60"/>
              <w:left w:type="dxa" w:w="120"/>
              <w:bottom w:type="dxa" w:w="60"/>
              <w:right w:type="dxa" w:w="120"/>
            </w:tcMar>
          </w:tcPr>
          <w:p>
            <w:r>
              <w:rPr>
                <w:rFonts w:ascii="Arial" w:cs="Arial" w:eastAsia="Arial" w:hAnsi="Arial"/>
                <w:sz w:val="20"/>
                <w:szCs w:val="20"/>
              </w:rPr>
              <w:t xml:space="preserve">Upstream RULETYPE mislabel — known issue, decision recorded in docs/BACKLOG.md. Not a profile bug.</w:t>
            </w:r>
          </w:p>
        </w:tc>
      </w:tr>
      <w:tr>
        <w:tc>
          <w:tcPr>
            <w:tcW w:type="pct" w:w="40%"/>
            <w:tcMar>
              <w:top w:type="dxa" w:w="60"/>
              <w:left w:type="dxa" w:w="120"/>
              <w:bottom w:type="dxa" w:w="60"/>
              <w:right w:type="dxa" w:w="120"/>
            </w:tcMar>
          </w:tcPr>
          <w:p>
            <w:r>
              <w:rPr>
                <w:rFonts w:ascii="Arial" w:cs="Arial" w:eastAsia="Arial" w:hAnsi="Arial"/>
                <w:sz w:val="20"/>
                <w:szCs w:val="20"/>
              </w:rPr>
              <w:t xml:space="preserve">A lot is listed in areaIds but never draws</w:t>
            </w:r>
          </w:p>
        </w:tc>
        <w:tc>
          <w:tcPr>
            <w:tcW w:type="pct" w:w="60%"/>
            <w:tcMar>
              <w:top w:type="dxa" w:w="60"/>
              <w:left w:type="dxa" w:w="120"/>
              <w:bottom w:type="dxa" w:w="60"/>
              <w:right w:type="dxa" w:w="120"/>
            </w:tcMar>
          </w:tcPr>
          <w:p>
            <w:r>
              <w:rPr>
                <w:rFonts w:ascii="Arial" w:cs="Arial" w:eastAsia="Arial" w:hAnsi="Arial"/>
                <w:sz w:val="20"/>
                <w:szCs w:val="20"/>
              </w:rPr>
              <w:t xml:space="preserve">It fails the layer baseWhere (e.g. USERCLASS is VISITOR on the permit app). Verify with an anonymous query.</w:t>
            </w:r>
          </w:p>
        </w:tc>
      </w:tr>
      <w:tr>
        <w:tc>
          <w:tcPr>
            <w:tcW w:type="pct" w:w="40%"/>
            <w:tcMar>
              <w:top w:type="dxa" w:w="60"/>
              <w:left w:type="dxa" w:w="120"/>
              <w:bottom w:type="dxa" w:w="60"/>
              <w:right w:type="dxa" w:w="120"/>
            </w:tcMar>
          </w:tcPr>
          <w:p>
            <w:r>
              <w:rPr>
                <w:rFonts w:ascii="Arial" w:cs="Arial" w:eastAsia="Arial" w:hAnsi="Arial"/>
                <w:sz w:val="20"/>
                <w:szCs w:val="20"/>
              </w:rPr>
              <w:t xml:space="preserve">Changed profile.branding but the app looks the same</w:t>
            </w:r>
          </w:p>
        </w:tc>
        <w:tc>
          <w:tcPr>
            <w:tcW w:type="pct" w:w="60%"/>
            <w:tcMar>
              <w:top w:type="dxa" w:w="60"/>
              <w:left w:type="dxa" w:w="120"/>
              <w:bottom w:type="dxa" w:w="60"/>
              <w:right w:type="dxa" w:w="120"/>
            </w:tcMar>
          </w:tcPr>
          <w:p>
            <w:r>
              <w:rPr>
                <w:rFonts w:ascii="Arial" w:cs="Arial" w:eastAsia="Arial" w:hAnsi="Arial"/>
                <w:sz w:val="20"/>
                <w:szCs w:val="20"/>
              </w:rPr>
              <w:t xml:space="preserve">Branding colors are applied only inside ParkingApp (the internal Explorer), which the live app never renders. The live look comes from hardcoded defaults in src/styles/index.css. Retargeting needs that useEffect lifted into a shared hook.</w:t>
            </w:r>
          </w:p>
        </w:tc>
      </w:tr>
      <w:tr>
        <w:tc>
          <w:tcPr>
            <w:tcW w:type="pct" w:w="40%"/>
            <w:tcMar>
              <w:top w:type="dxa" w:w="60"/>
              <w:left w:type="dxa" w:w="120"/>
              <w:bottom w:type="dxa" w:w="60"/>
              <w:right w:type="dxa" w:w="120"/>
            </w:tcMar>
          </w:tcPr>
          <w:p>
            <w:r>
              <w:rPr>
                <w:rFonts w:ascii="Arial" w:cs="Arial" w:eastAsia="Arial" w:hAnsi="Arial"/>
                <w:sz w:val="20"/>
                <w:szCs w:val="20"/>
              </w:rPr>
              <w:t xml:space="preserve">npm run lint fails with 5 errors</w:t>
            </w:r>
          </w:p>
        </w:tc>
        <w:tc>
          <w:tcPr>
            <w:tcW w:type="pct" w:w="60%"/>
            <w:tcMar>
              <w:top w:type="dxa" w:w="60"/>
              <w:left w:type="dxa" w:w="120"/>
              <w:bottom w:type="dxa" w:w="60"/>
              <w:right w:type="dxa" w:w="120"/>
            </w:tcMar>
          </w:tcPr>
          <w:p>
            <w:r>
              <w:rPr>
                <w:rFonts w:ascii="Arial" w:cs="Arial" w:eastAsia="Arial" w:hAnsi="Arial"/>
                <w:sz w:val="20"/>
                <w:szCs w:val="20"/>
              </w:rPr>
              <w:t xml:space="preserve">Pre-existing on main. Only worry about NEW errors your change introduces.</w:t>
            </w:r>
          </w:p>
        </w:tc>
      </w:tr>
      <w:tr>
        <w:tc>
          <w:tcPr>
            <w:tcW w:type="pct" w:w="40%"/>
            <w:tcMar>
              <w:top w:type="dxa" w:w="60"/>
              <w:left w:type="dxa" w:w="120"/>
              <w:bottom w:type="dxa" w:w="60"/>
              <w:right w:type="dxa" w:w="120"/>
            </w:tcMar>
          </w:tcPr>
          <w:p>
            <w:r>
              <w:rPr>
                <w:rFonts w:ascii="Arial" w:cs="Arial" w:eastAsia="Arial" w:hAnsi="Arial"/>
                <w:sz w:val="20"/>
                <w:szCs w:val="20"/>
              </w:rPr>
              <w:t xml:space="preserve">Port 5173 in use</w:t>
            </w:r>
          </w:p>
        </w:tc>
        <w:tc>
          <w:tcPr>
            <w:tcW w:type="pct" w:w="60%"/>
            <w:tcMar>
              <w:top w:type="dxa" w:w="60"/>
              <w:left w:type="dxa" w:w="120"/>
              <w:bottom w:type="dxa" w:w="60"/>
              <w:right w:type="dxa" w:w="120"/>
            </w:tcMar>
          </w:tcPr>
          <w:p>
            <w:r>
              <w:rPr>
                <w:rFonts w:ascii="Arial" w:cs="Arial" w:eastAsia="Arial" w:hAnsi="Arial"/>
                <w:sz w:val="20"/>
                <w:szCs w:val="20"/>
              </w:rPr>
              <w:t xml:space="preserve">Vite auto-increments the port — check the terminal banner for the actual URL.</w:t>
            </w:r>
          </w:p>
        </w:tc>
      </w:tr>
    </w:tbl>
    <w:p>
      <w:pPr>
        <w:spacing w:after="120"/>
      </w:pPr>
    </w:p>
    <w:p>
      <w:pPr>
        <w:pStyle w:val="Heading2"/>
        <w:spacing w:after="100" w:before="240"/>
      </w:pPr>
      <w:r>
        <w:rPr>
          <w:rFonts w:ascii="Arial" w:cs="Arial" w:eastAsia="Arial" w:hAnsi="Arial"/>
          <w:b/>
          <w:bCs/>
          <w:color w:val="2E74B5"/>
          <w:sz w:val="23"/>
          <w:szCs w:val="23"/>
        </w:rPr>
        <w:t xml:space="preserve">Required reading, in order</w:t>
      </w:r>
    </w:p>
    <w:p>
      <w:pPr>
        <w:pStyle w:val="ListParagraph"/>
        <w:numPr>
          <w:ilvl w:val="0"/>
          <w:numId w:val="7"/>
        </w:numPr>
        <w:spacing w:after="60"/>
      </w:pPr>
      <w:r>
        <w:rPr>
          <w:rFonts w:ascii="Consolas" w:cs="Consolas" w:eastAsia="Consolas" w:hAnsi="Consolas"/>
          <w:sz w:val="19"/>
          <w:szCs w:val="19"/>
        </w:rPr>
        <w:t xml:space="preserve">docs/PROJECT-CONTEXT.md</w:t>
      </w:r>
      <w:r>
        <w:rPr>
          <w:rFonts w:ascii="Arial" w:cs="Arial" w:eastAsia="Arial" w:hAnsi="Arial"/>
          <w:sz w:val="21"/>
          <w:szCs w:val="21"/>
        </w:rPr>
        <w:t xml:space="preserve"> — who the client is, content rules, and the dated "Current state" block</w:t>
      </w:r>
    </w:p>
    <w:p>
      <w:pPr>
        <w:pStyle w:val="ListParagraph"/>
        <w:numPr>
          <w:ilvl w:val="0"/>
          <w:numId w:val="7"/>
        </w:numPr>
        <w:spacing w:after="60"/>
      </w:pPr>
      <w:r>
        <w:rPr>
          <w:rFonts w:ascii="Consolas" w:cs="Consolas" w:eastAsia="Consolas" w:hAnsi="Consolas"/>
          <w:sz w:val="19"/>
          <w:szCs w:val="19"/>
        </w:rPr>
        <w:t xml:space="preserve">docs/DATA.md</w:t>
      </w:r>
      <w:r>
        <w:rPr>
          <w:rFonts w:ascii="Arial" w:cs="Arial" w:eastAsia="Arial" w:hAnsi="Arial"/>
          <w:sz w:val="21"/>
          <w:szCs w:val="21"/>
        </w:rPr>
        <w:t xml:space="preserve"> — the data pipeline and every known data defect the app works around</w:t>
      </w:r>
    </w:p>
    <w:p>
      <w:pPr>
        <w:pStyle w:val="ListParagraph"/>
        <w:numPr>
          <w:ilvl w:val="0"/>
          <w:numId w:val="7"/>
        </w:numPr>
        <w:spacing w:after="60"/>
      </w:pPr>
      <w:r>
        <w:rPr>
          <w:rFonts w:ascii="Consolas" w:cs="Consolas" w:eastAsia="Consolas" w:hAnsi="Consolas"/>
          <w:sz w:val="19"/>
          <w:szCs w:val="19"/>
        </w:rPr>
        <w:t xml:space="preserve">docs/BACKLOG.md</w:t>
      </w:r>
      <w:r>
        <w:rPr>
          <w:rFonts w:ascii="Arial" w:cs="Arial" w:eastAsia="Arial" w:hAnsi="Arial"/>
          <w:sz w:val="21"/>
          <w:szCs w:val="21"/>
        </w:rPr>
        <w:t xml:space="preserve"> — open items and who each is blocked on</w:t>
      </w:r>
    </w:p>
    <w:p>
      <w:pPr>
        <w:pStyle w:val="ListParagraph"/>
        <w:numPr>
          <w:ilvl w:val="0"/>
          <w:numId w:val="7"/>
        </w:numPr>
        <w:spacing w:after="60"/>
      </w:pPr>
      <w:r>
        <w:rPr>
          <w:rFonts w:ascii="Consolas" w:cs="Consolas" w:eastAsia="Consolas" w:hAnsi="Consolas"/>
          <w:sz w:val="19"/>
          <w:szCs w:val="19"/>
        </w:rPr>
        <w:t xml:space="preserve">CLAUDE.md</w:t>
      </w:r>
      <w:r>
        <w:rPr>
          <w:rFonts w:ascii="Arial" w:cs="Arial" w:eastAsia="Arial" w:hAnsi="Arial"/>
          <w:sz w:val="21"/>
          <w:szCs w:val="21"/>
        </w:rPr>
        <w:t xml:space="preserve"> + </w:t>
      </w:r>
      <w:r>
        <w:rPr>
          <w:rFonts w:ascii="Consolas" w:cs="Consolas" w:eastAsia="Consolas" w:hAnsi="Consolas"/>
          <w:sz w:val="19"/>
          <w:szCs w:val="19"/>
        </w:rPr>
        <w:t xml:space="preserve">DEPLOY.md</w:t>
      </w:r>
      <w:r>
        <w:rPr>
          <w:rFonts w:ascii="Arial" w:cs="Arial" w:eastAsia="Arial" w:hAnsi="Arial"/>
          <w:sz w:val="21"/>
          <w:szCs w:val="21"/>
        </w:rPr>
        <w:t xml:space="preserve"> — condensed working notes and deploy runbook</w:t>
      </w:r>
    </w:p>
    <w:sectPr>
      <w:footerReference w:type="default" r:id="rId7"/>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MGP Inc. — La Grange Parking Apps (Developer Guide) | Page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fbsnlafpshr2u3rcotb2" Type="http://schemas.openxmlformats.org/officeDocument/2006/relationships/hyperlink" Target="https://mango-cliff-087d26410.7.azurestaticapps.net" TargetMode="External"/><Relationship Id="rId-ajvdgs7ljqbc0vnntnze" Type="http://schemas.openxmlformats.org/officeDocument/2006/relationships/hyperlink" Target="https://ashy-mud-0b906db10.7.azurestaticapps.net" TargetMode="External"/><Relationship Id="rIdusirjr-wujqt-q2y2hk23" Type="http://schemas.openxmlformats.org/officeDocument/2006/relationships/hyperlink" Target="https://mango-cliff-087d26410.7.azurestaticapps.net" TargetMode="External"/><Relationship Id="rIdkci15fsyhe0ecqiqerrbv" Type="http://schemas.openxmlformats.org/officeDocument/2006/relationships/hyperlink" Target="https://ashy-mud-0b906db10.7.azurestaticapps.net" TargetMode="External"/><Relationship Id="rId8" Type="http://schemas.openxmlformats.org/officeDocument/2006/relationships/image" Target="media/594ca5fa9e220dea308cbf278a5b8e9747710222.png"/><Relationship Id="rId9" Type="http://schemas.openxmlformats.org/officeDocument/2006/relationships/image" Target="media/c42b96f81779f5054555cf3a51d4cbd6778446c1.png"/><Relationship Id="rId10" Type="http://schemas.openxmlformats.org/officeDocument/2006/relationships/image" Target="media/54ded6c5bbd12ec605cc48a4b0b8d75f876a39e9.png"/><Relationship Id="rId11" Type="http://schemas.openxmlformats.org/officeDocument/2006/relationships/image" Target="media/39ebc6f87f27bae169845e6b3199ba3f95869a68.png"/><Relationship Id="rId12" Type="http://schemas.openxmlformats.org/officeDocument/2006/relationships/image" Target="media/e889c8bcebf1152af7eb1cfd99d8166fd7e1ca2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2026-09-02T14:29:41.353Z</dcterms:created>
  <dcterms:modified xsi:type="dcterms:W3CDTF">2026-09-02T14:29:41.353Z</dcterms:modified>
</cp:coreProperties>
</file>

<file path=docProps/custom.xml><?xml version="1.0" encoding="utf-8"?>
<Properties xmlns="http://schemas.openxmlformats.org/officeDocument/2006/custom-properties" xmlns:vt="http://schemas.openxmlformats.org/officeDocument/2006/docPropsVTypes"/>
</file>