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1F5C8B" w:val="clear"/>
            <w:tcMar>
              <w:top w:type="dxa" w:w="40"/>
              <w:left w:type="dxa" w:w="0"/>
              <w:bottom w:type="dxa" w:w="40"/>
              <w:right w:type="dxa" w:w="0"/>
            </w:tcMar>
          </w:tcPr>
          <w:p/>
        </w:tc>
      </w:tr>
    </w:tbl>
    <w:p>
      <w:pPr>
        <w:spacing w:after="2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0B7285" w:val="clear"/>
            <w:tcMar>
              <w:top w:type="dxa" w:w="14"/>
              <w:left w:type="dxa" w:w="0"/>
              <w:bottom w:type="dxa" w:w="14"/>
              <w:right w:type="dxa" w:w="0"/>
            </w:tcMar>
          </w:tcPr>
          <w:p/>
        </w:tc>
      </w:tr>
    </w:tbl>
    <w:p>
      <w:pPr>
        <w:spacing w:after="160" w:before="1400"/>
        <w:jc w:val="center"/>
      </w:pPr>
      <w:r>
        <w:rPr>
          <w:rFonts w:ascii="Arial" w:cs="Arial" w:eastAsia="Arial" w:hAnsi="Arial"/>
          <w:b/>
          <w:bCs/>
          <w:color w:val="404040"/>
          <w:sz w:val="24"/>
          <w:szCs w:val="24"/>
        </w:rPr>
        <w:t xml:space="preserve">MGP Inc. — GIS &amp; Web Applications</w:t>
      </w:r>
    </w:p>
    <w:p>
      <w:pPr>
        <w:spacing w:after="140"/>
        <w:jc w:val="center"/>
      </w:pPr>
      <w:r>
        <w:rPr>
          <w:rFonts w:ascii="Arial" w:cs="Arial" w:eastAsia="Arial" w:hAnsi="Arial"/>
          <w:b/>
          <w:bCs/>
          <w:color w:val="1F4E79"/>
          <w:sz w:val="56"/>
          <w:szCs w:val="56"/>
        </w:rPr>
        <w:t xml:space="preserve">La Grange Parking Apps</w:t>
      </w:r>
    </w:p>
    <w:p>
      <w:pPr>
        <w:spacing w:after="320"/>
        <w:jc w:val="center"/>
      </w:pPr>
      <w:r>
        <w:rPr>
          <w:rFonts w:ascii="Arial" w:cs="Arial" w:eastAsia="Arial" w:hAnsi="Arial"/>
          <w:b/>
          <w:bCs/>
          <w:color w:val="0B7285"/>
          <w:spacing w:val="60"/>
          <w:sz w:val="26"/>
          <w:szCs w:val="26"/>
        </w:rPr>
        <w:t xml:space="preserve">DEVELOPER GUIDE</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single" w:color="C9C9C9" w:sz="4"/>
              <w:left w:val="single" w:color="C9C9C9" w:sz="4"/>
              <w:bottom w:val="single" w:color="C9C9C9" w:sz="4"/>
              <w:right w:val="single" w:color="C9C9C9" w:sz="4"/>
            </w:tcBorders>
            <w:tcMar>
              <w:top w:type="dxa" w:w="60"/>
              <w:left w:type="dxa" w:w="60"/>
              <w:bottom w:type="dxa" w:w="60"/>
              <w:right w:type="dxa" w:w="60"/>
            </w:tcMar>
          </w:tcPr>
          <w:p>
            <w:pPr>
              <w:jc w:val="center"/>
            </w:pPr>
            <w:r>
              <w:drawing>
                <wp:inline distT="0" distB="0" distL="0" distR="0">
                  <wp:extent cx="493395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33950" cy="3086100"/>
                          </a:xfrm>
                          <a:prstGeom prst="rect">
                            <a:avLst/>
                          </a:prstGeom>
                        </pic:spPr>
                      </pic:pic>
                    </a:graphicData>
                  </a:graphic>
                </wp:inline>
              </w:drawing>
            </w:r>
          </w:p>
        </w:tc>
      </w:tr>
    </w:tbl>
    <w:p>
      <w:pPr>
        <w:spacing w:after="160"/>
      </w:pPr>
    </w:p>
    <w:p>
      <w:pPr>
        <w:spacing w:after="220"/>
        <w:jc w:val="center"/>
      </w:pPr>
      <w:r>
        <w:rPr>
          <w:rFonts w:ascii="Arial" w:cs="Arial" w:eastAsia="Arial" w:hAnsi="Arial"/>
          <w:color w:val="404040"/>
          <w:sz w:val="21"/>
          <w:szCs w:val="21"/>
        </w:rPr>
        <w:t xml:space="preserve">What the two parking maps are, where every piece of content lives, and how to edit, verify, and deploy safely.</w:t>
      </w:r>
    </w:p>
    <w:p>
      <w:pPr>
        <w:spacing w:after="70"/>
        <w:jc w:val="center"/>
      </w:pPr>
      <w:hyperlink w:history="1" r:id="rId8hlw_oj9icpved9-4xerd">
        <w:r>
          <w:rPr>
            <w:rFonts w:ascii="Arial" w:cs="Arial" w:eastAsia="Arial" w:hAnsi="Arial"/>
            <w:color w:val="2E74B5"/>
            <w:sz w:val="20"/>
            <w:szCs w:val="20"/>
            <w:u w:val="single"/>
          </w:rPr>
          <w:t xml:space="preserve">Permit app — mango-cliff-087d26410.7.azurestaticapps.net</w:t>
        </w:r>
      </w:hyperlink>
    </w:p>
    <w:p>
      <w:pPr>
        <w:spacing w:after="220"/>
        <w:jc w:val="center"/>
      </w:pPr>
      <w:hyperlink w:history="1" r:id="rIdouoiiflkj0iqnnq3foad9">
        <w:r>
          <w:rPr>
            <w:rFonts w:ascii="Arial" w:cs="Arial" w:eastAsia="Arial" w:hAnsi="Arial"/>
            <w:color w:val="2E74B5"/>
            <w:sz w:val="20"/>
            <w:szCs w:val="20"/>
            <w:u w:val="single"/>
          </w:rPr>
          <w:t xml:space="preserve">Public app — ashy-mud-0b906db10.7.azurestaticapps.net</w:t>
        </w:r>
      </w:hyperlink>
    </w:p>
    <w:p>
      <w:pPr>
        <w:jc w:val="center"/>
      </w:pPr>
      <w:r>
        <w:rPr>
          <w:rFonts w:ascii="Arial" w:cs="Arial" w:eastAsia="Arial" w:hAnsi="Arial"/>
          <w:i/>
          <w:iCs/>
          <w:color w:val="808080"/>
          <w:sz w:val="17"/>
          <w:szCs w:val="17"/>
        </w:rPr>
        <w:t xml:space="preserve">September 2026 · regenerated by scripts/generate-dev-guide.mjs</w:t>
      </w:r>
    </w:p>
    <w:p>
      <w:r>
        <w:br w:type="page"/>
      </w:r>
    </w:p>
    <w:p>
      <w:pPr>
        <w:spacing w:after="120"/>
      </w:pPr>
      <w:r>
        <w:rPr>
          <w:rFonts w:ascii="Arial" w:cs="Arial" w:eastAsia="Arial" w:hAnsi="Arial"/>
          <w:b/>
          <w:bCs/>
          <w:color w:val="2E74B5"/>
          <w:sz w:val="26"/>
          <w:szCs w:val="26"/>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200"/>
      </w:pPr>
      <w:r>
        <w:rPr>
          <w:rFonts w:ascii="Arial" w:cs="Arial" w:eastAsia="Arial" w:hAnsi="Arial"/>
          <w:i/>
          <w:iCs/>
          <w:color w:val="808080"/>
          <w:sz w:val="18"/>
          <w:szCs w:val="18"/>
        </w:rPr>
        <w:t xml:space="preserve">If page numbers are missing, right-click the table and choose "Update Field".</w:t>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9%"/>
            <w:tcBorders>
              <w:top w:val="none" w:color="FFFFFF" w:sz="0"/>
              <w:left w:val="none" w:color="FFFFFF" w:sz="0"/>
              <w:bottom w:val="none" w:color="FFFFFF" w:sz="0"/>
              <w:right w:val="none" w:color="FFFFFF" w:sz="0"/>
            </w:tcBorders>
            <w:shd w:fill="143E5E" w:val="clear"/>
            <w:tcMar>
              <w:top w:type="dxa" w:w="120"/>
              <w:left w:type="dxa" w:w="60"/>
              <w:bottom w:type="dxa" w:w="120"/>
              <w:right w:type="dxa" w:w="60"/>
            </w:tcMar>
            <w:vAlign w:val="center"/>
          </w:tcPr>
          <w:p>
            <w:pPr>
              <w:jc w:val="center"/>
            </w:pPr>
            <w:r>
              <w:rPr>
                <w:rFonts w:ascii="Arial" w:cs="Arial" w:eastAsia="Arial" w:hAnsi="Arial"/>
                <w:b/>
                <w:bCs/>
                <w:color w:val="FFFFFF"/>
                <w:sz w:val="40"/>
                <w:szCs w:val="40"/>
              </w:rPr>
              <w:t xml:space="preserve">★</w:t>
            </w:r>
          </w:p>
        </w:tc>
        <w:tc>
          <w:tcPr>
            <w:tcW w:type="pct" w:w="91%"/>
            <w:tcBorders>
              <w:top w:val="none" w:color="FFFFFF" w:sz="0"/>
              <w:left w:val="none" w:color="FFFFFF" w:sz="0"/>
              <w:bottom w:val="none" w:color="FFFFFF" w:sz="0"/>
              <w:right w:val="none" w:color="FFFFFF" w:sz="0"/>
            </w:tcBorders>
            <w:shd w:fill="1F5C8B" w:val="clear"/>
            <w:tcMar>
              <w:top w:type="dxa" w:w="160"/>
              <w:left w:type="dxa" w:w="240"/>
              <w:bottom w:type="dxa" w:w="160"/>
              <w:right w:type="dxa" w:w="240"/>
            </w:tcMar>
            <w:vAlign w:val="center"/>
          </w:tcPr>
          <w:p>
            <w:r>
              <w:rPr>
                <w:rFonts w:ascii="Arial" w:cs="Arial" w:eastAsia="Arial" w:hAnsi="Arial"/>
                <w:b/>
                <w:bCs/>
                <w:color w:val="FFFFFF"/>
                <w:sz w:val="28"/>
                <w:szCs w:val="28"/>
              </w:rPr>
              <w:t xml:space="preserve">Quick Reference — 90% of the job on one page</w:t>
            </w:r>
          </w:p>
        </w:tc>
      </w:tr>
    </w:tbl>
    <w:p>
      <w:pPr>
        <w:spacing w:after="120"/>
      </w:pPr>
    </w:p>
    <w:p>
      <w:pPr>
        <w:pStyle w:val="Heading1"/>
        <w:spacing w:after="120" w:before="200"/>
      </w:pPr>
      <w:r>
        <w:rPr>
          <w:rFonts w:ascii="Arial" w:cs="Arial" w:eastAsia="Arial" w:hAnsi="Arial"/>
          <w:b/>
          <w:bCs/>
          <w:color w:val="1F5C8B"/>
          <w:sz w:val="26"/>
          <w:szCs w:val="26"/>
        </w:rPr>
        <w:t xml:space="preserve">Quick Reference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single" w:color="0B7285" w:sz="6"/>
              <w:left w:val="single" w:color="0B7285" w:sz="6"/>
              <w:bottom w:val="single" w:color="0B7285" w:sz="6"/>
              <w:right w:val="single" w:color="0B7285" w:sz="6"/>
            </w:tcBorders>
            <w:tcMar>
              <w:top w:type="dxa" w:w="0"/>
              <w:left w:type="dxa" w:w="0"/>
              <w:bottom w:type="dxa" w:w="120"/>
              <w:right w:type="dxa" w:w="0"/>
            </w:tcMar>
            <w:vAlign w:val="top"/>
          </w:tcPr>
          <w:p>
            <w:pPr>
              <w:shd w:fill="0B7285" w:val="clear"/>
              <w:spacing w:after="90"/>
              <w:ind w:left="120"/>
            </w:pPr>
            <w:r>
              <w:rPr>
                <w:rFonts w:ascii="Arial" w:cs="Arial" w:eastAsia="Arial" w:hAnsi="Arial"/>
                <w:b/>
                <w:bCs/>
                <w:color w:val="FFFFFF"/>
                <w:sz w:val="22"/>
                <w:szCs w:val="22"/>
              </w:rPr>
              <w:t xml:space="preserve">▶  Run it locally</w:t>
            </w:r>
          </w:p>
          <w:p>
            <w:pPr>
              <w:spacing w:after="45"/>
              <w:ind w:left="140" w:right="100"/>
            </w:pPr>
            <w:r>
              <w:rPr>
                <w:rFonts w:ascii="Consolas" w:cs="Consolas" w:eastAsia="Consolas" w:hAnsi="Consolas"/>
                <w:color w:val="2B2B2B"/>
                <w:sz w:val="19"/>
                <w:szCs w:val="19"/>
              </w:rPr>
              <w:t xml:space="preserve">npm install</w:t>
            </w:r>
          </w:p>
          <w:p>
            <w:pPr>
              <w:spacing w:after="45"/>
              <w:ind w:left="140" w:right="100"/>
            </w:pPr>
            <w:r>
              <w:rPr>
                <w:rFonts w:ascii="Consolas" w:cs="Consolas" w:eastAsia="Consolas" w:hAnsi="Consolas"/>
                <w:color w:val="2B2B2B"/>
                <w:sz w:val="19"/>
                <w:szCs w:val="19"/>
              </w:rPr>
              <w:t xml:space="preserve">npm run dev</w:t>
            </w:r>
            <w:r>
              <w:rPr>
                <w:rFonts w:ascii="Arial" w:cs="Arial" w:eastAsia="Arial" w:hAnsi="Arial"/>
                <w:color w:val="2B2B2B"/>
                <w:sz w:val="21"/>
                <w:szCs w:val="21"/>
              </w:rPr>
              <w:t xml:space="preserve">   → permit app</w:t>
            </w:r>
          </w:p>
          <w:p>
            <w:pPr>
              <w:spacing w:after="45"/>
              <w:ind w:left="140" w:right="100"/>
            </w:pPr>
            <w:r>
              <w:rPr>
                <w:rFonts w:ascii="Consolas" w:cs="Consolas" w:eastAsia="Consolas" w:hAnsi="Consolas"/>
                <w:color w:val="2B2B2B"/>
                <w:sz w:val="19"/>
                <w:szCs w:val="19"/>
              </w:rPr>
              <w:t xml:space="preserve">npm run dev:public</w:t>
            </w:r>
            <w:r>
              <w:rPr>
                <w:rFonts w:ascii="Arial" w:cs="Arial" w:eastAsia="Arial" w:hAnsi="Arial"/>
                <w:color w:val="2B2B2B"/>
                <w:sz w:val="21"/>
                <w:szCs w:val="21"/>
              </w:rPr>
              <w:t xml:space="preserve">   → public app</w:t>
            </w:r>
          </w:p>
          <w:p>
            <w:pPr>
              <w:spacing w:after="70"/>
              <w:ind w:left="140" w:right="100"/>
            </w:pPr>
            <w:r>
              <w:rPr>
                <w:rFonts w:ascii="Arial" w:cs="Arial" w:eastAsia="Arial" w:hAnsi="Arial"/>
                <w:color w:val="2B2B2B"/>
                <w:sz w:val="21"/>
                <w:szCs w:val="21"/>
              </w:rPr>
              <w:t xml:space="preserve">No .env needed — a fresh clone just runs.</w:t>
            </w:r>
          </w:p>
        </w:tc>
        <w:tc>
          <w:tcPr>
            <w:tcW w:type="pct" w:w="50%"/>
            <w:tcBorders>
              <w:top w:val="single" w:color="5B4B9E" w:sz="6"/>
              <w:left w:val="single" w:color="5B4B9E" w:sz="6"/>
              <w:bottom w:val="single" w:color="5B4B9E" w:sz="6"/>
              <w:right w:val="single" w:color="5B4B9E" w:sz="6"/>
            </w:tcBorders>
            <w:tcMar>
              <w:top w:type="dxa" w:w="0"/>
              <w:left w:type="dxa" w:w="0"/>
              <w:bottom w:type="dxa" w:w="120"/>
              <w:right w:type="dxa" w:w="0"/>
            </w:tcMar>
            <w:vAlign w:val="top"/>
          </w:tcPr>
          <w:p>
            <w:pPr>
              <w:shd w:fill="5B4B9E" w:val="clear"/>
              <w:spacing w:after="90"/>
              <w:ind w:left="120"/>
            </w:pPr>
            <w:r>
              <w:rPr>
                <w:rFonts w:ascii="Arial" w:cs="Arial" w:eastAsia="Arial" w:hAnsi="Arial"/>
                <w:b/>
                <w:bCs/>
                <w:color w:val="FFFFFF"/>
                <w:sz w:val="22"/>
                <w:szCs w:val="22"/>
              </w:rPr>
              <w:t xml:space="preserve">✎  Edit content</w:t>
            </w:r>
          </w:p>
          <w:p>
            <w:pPr>
              <w:spacing w:after="45"/>
              <w:ind w:left="140" w:right="100"/>
            </w:pPr>
            <w:r>
              <w:rPr>
                <w:rFonts w:ascii="Arial" w:cs="Arial" w:eastAsia="Arial" w:hAnsi="Arial"/>
                <w:color w:val="2B2B2B"/>
                <w:sz w:val="21"/>
                <w:szCs w:val="21"/>
              </w:rPr>
              <w:t xml:space="preserve">Nearly everything is JSON, not code:</w:t>
            </w:r>
          </w:p>
          <w:p>
            <w:pPr>
              <w:spacing w:after="45"/>
              <w:ind w:left="140" w:right="100"/>
            </w:pPr>
            <w:r>
              <w:rPr>
                <w:rFonts w:ascii="Consolas" w:cs="Consolas" w:eastAsia="Consolas" w:hAnsi="Consolas"/>
                <w:color w:val="2B2B2B"/>
                <w:sz w:val="19"/>
                <w:szCs w:val="19"/>
              </w:rPr>
              <w:t xml:space="preserve">public/profiles/lagrange-permit.json</w:t>
            </w:r>
          </w:p>
          <w:p>
            <w:pPr>
              <w:spacing w:after="45"/>
              <w:ind w:left="140" w:right="100"/>
            </w:pPr>
            <w:r>
              <w:rPr>
                <w:rFonts w:ascii="Consolas" w:cs="Consolas" w:eastAsia="Consolas" w:hAnsi="Consolas"/>
                <w:color w:val="2B2B2B"/>
                <w:sz w:val="19"/>
                <w:szCs w:val="19"/>
              </w:rPr>
              <w:t xml:space="preserve">public/profiles/lagrange-public.json</w:t>
            </w:r>
          </w:p>
          <w:p>
            <w:pPr>
              <w:spacing w:after="70"/>
              <w:ind w:left="140" w:right="100"/>
            </w:pPr>
            <w:r>
              <w:rPr>
                <w:rFonts w:ascii="Arial" w:cs="Arial" w:eastAsia="Arial" w:hAnsi="Arial"/>
                <w:color w:val="2B2B2B"/>
                <w:sz w:val="21"/>
                <w:szCs w:val="21"/>
              </w:rPr>
              <w:t xml:space="preserve">Property reference: </w:t>
            </w:r>
            <w:r>
              <w:rPr>
                <w:rFonts w:ascii="Consolas" w:cs="Consolas" w:eastAsia="Consolas" w:hAnsi="Consolas"/>
                <w:color w:val="2B2B2B"/>
                <w:sz w:val="19"/>
                <w:szCs w:val="19"/>
              </w:rPr>
              <w:t xml:space="preserve">src/config/types.ts</w:t>
            </w:r>
          </w:p>
        </w:tc>
      </w:tr>
      <w:tr>
        <w:tc>
          <w:tcPr>
            <w:tcW w:type="pct" w:w="50%"/>
            <w:tcBorders>
              <w:top w:val="single" w:color="2F7D32" w:sz="6"/>
              <w:left w:val="single" w:color="2F7D32" w:sz="6"/>
              <w:bottom w:val="single" w:color="2F7D32" w:sz="6"/>
              <w:right w:val="single" w:color="2F7D32" w:sz="6"/>
            </w:tcBorders>
            <w:tcMar>
              <w:top w:type="dxa" w:w="0"/>
              <w:left w:type="dxa" w:w="0"/>
              <w:bottom w:type="dxa" w:w="120"/>
              <w:right w:type="dxa" w:w="0"/>
            </w:tcMar>
            <w:vAlign w:val="top"/>
          </w:tcPr>
          <w:p>
            <w:pPr>
              <w:shd w:fill="2F7D32" w:val="clear"/>
              <w:spacing w:after="90"/>
              <w:ind w:left="120"/>
            </w:pPr>
            <w:r>
              <w:rPr>
                <w:rFonts w:ascii="Arial" w:cs="Arial" w:eastAsia="Arial" w:hAnsi="Arial"/>
                <w:b/>
                <w:bCs/>
                <w:color w:val="FFFFFF"/>
                <w:sz w:val="22"/>
                <w:szCs w:val="22"/>
              </w:rPr>
              <w:t xml:space="preserve">✓  Verify</w:t>
            </w:r>
          </w:p>
          <w:p>
            <w:pPr>
              <w:spacing w:after="45"/>
              <w:ind w:left="140" w:right="100"/>
            </w:pPr>
            <w:r>
              <w:rPr>
                <w:rFonts w:ascii="Consolas" w:cs="Consolas" w:eastAsia="Consolas" w:hAnsi="Consolas"/>
                <w:color w:val="2B2B2B"/>
                <w:sz w:val="19"/>
                <w:szCs w:val="19"/>
              </w:rPr>
              <w:t xml:space="preserve">node scripts/verify-permit-pages.mjs</w:t>
            </w:r>
          </w:p>
          <w:p>
            <w:pPr>
              <w:spacing w:after="45"/>
              <w:ind w:left="140" w:right="100"/>
            </w:pPr>
            <w:r>
              <w:rPr>
                <w:rFonts w:ascii="Consolas" w:cs="Consolas" w:eastAsia="Consolas" w:hAnsi="Consolas"/>
                <w:color w:val="2B2B2B"/>
                <w:sz w:val="19"/>
                <w:szCs w:val="19"/>
              </w:rPr>
              <w:t xml:space="preserve">node scripts/verify-basemaps.mjs</w:t>
            </w:r>
          </w:p>
          <w:p>
            <w:pPr>
              <w:spacing w:after="70"/>
              <w:ind w:left="140" w:right="100"/>
            </w:pPr>
            <w:r>
              <w:rPr>
                <w:rFonts w:ascii="Arial" w:cs="Arial" w:eastAsia="Arial" w:hAnsi="Arial"/>
                <w:color w:val="2B2B2B"/>
                <w:sz w:val="21"/>
                <w:szCs w:val="21"/>
              </w:rPr>
              <w:t xml:space="preserve">Then click through the pages you touched.</w:t>
            </w:r>
          </w:p>
        </w:tc>
        <w:tc>
          <w:tcPr>
            <w:tcW w:type="pct" w:w="50%"/>
            <w:tcBorders>
              <w:top w:val="single" w:color="B45309" w:sz="6"/>
              <w:left w:val="single" w:color="B45309" w:sz="6"/>
              <w:bottom w:val="single" w:color="B45309" w:sz="6"/>
              <w:right w:val="single" w:color="B45309" w:sz="6"/>
            </w:tcBorders>
            <w:tcMar>
              <w:top w:type="dxa" w:w="0"/>
              <w:left w:type="dxa" w:w="0"/>
              <w:bottom w:type="dxa" w:w="120"/>
              <w:right w:type="dxa" w:w="0"/>
            </w:tcMar>
            <w:vAlign w:val="top"/>
          </w:tcPr>
          <w:p>
            <w:pPr>
              <w:shd w:fill="B45309" w:val="clear"/>
              <w:spacing w:after="90"/>
              <w:ind w:left="120"/>
            </w:pPr>
            <w:r>
              <w:rPr>
                <w:rFonts w:ascii="Arial" w:cs="Arial" w:eastAsia="Arial" w:hAnsi="Arial"/>
                <w:b/>
                <w:bCs/>
                <w:color w:val="FFFFFF"/>
                <w:sz w:val="22"/>
                <w:szCs w:val="22"/>
              </w:rPr>
              <w:t xml:space="preserve">⇪  Deploy</w:t>
            </w:r>
          </w:p>
          <w:p>
            <w:pPr>
              <w:spacing w:after="45"/>
              <w:ind w:left="140" w:right="100"/>
            </w:pPr>
            <w:r>
              <w:rPr>
                <w:rFonts w:ascii="Consolas" w:cs="Consolas" w:eastAsia="Consolas" w:hAnsi="Consolas"/>
                <w:color w:val="2B2B2B"/>
                <w:sz w:val="19"/>
                <w:szCs w:val="19"/>
              </w:rPr>
              <w:t xml:space="preserve">npm run build</w:t>
            </w:r>
          </w:p>
          <w:p>
            <w:pPr>
              <w:spacing w:after="45"/>
              <w:ind w:left="140" w:right="100"/>
            </w:pPr>
            <w:r>
              <w:rPr>
                <w:rFonts w:ascii="Consolas" w:cs="Consolas" w:eastAsia="Consolas" w:hAnsi="Consolas"/>
                <w:color w:val="2B2B2B"/>
                <w:sz w:val="19"/>
                <w:szCs w:val="19"/>
              </w:rPr>
              <w:t xml:space="preserve">git push origin master:main</w:t>
            </w:r>
            <w:r>
              <w:rPr>
                <w:rFonts w:ascii="Arial" w:cs="Arial" w:eastAsia="Arial" w:hAnsi="Arial"/>
                <w:color w:val="2B2B2B"/>
                <w:sz w:val="21"/>
                <w:szCs w:val="21"/>
              </w:rPr>
              <w:t xml:space="preserve">  ← not plain push!</w:t>
            </w:r>
          </w:p>
          <w:p>
            <w:pPr>
              <w:spacing w:after="70"/>
              <w:ind w:left="140" w:right="100"/>
            </w:pPr>
            <w:r>
              <w:rPr>
                <w:rFonts w:ascii="Arial" w:cs="Arial" w:eastAsia="Arial" w:hAnsi="Arial"/>
                <w:color w:val="2B2B2B"/>
                <w:sz w:val="21"/>
                <w:szCs w:val="21"/>
              </w:rPr>
              <w:t xml:space="preserve">SWA deploy — see Chapter 6.</w:t>
            </w:r>
          </w:p>
        </w:tc>
      </w:tr>
    </w:tbl>
    <w:p>
      <w:pPr>
        <w:spacing w:after="12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single" w:color="538135" w:sz="24"/>
              <w:left w:val="single" w:color="538135" w:sz="6"/>
              <w:bottom w:val="single" w:color="538135" w:sz="6"/>
              <w:right w:val="single" w:color="538135" w:sz="6"/>
            </w:tcBorders>
            <w:shd w:fill="E2EFDA" w:val="clear"/>
            <w:tcMar>
              <w:top w:type="dxa" w:w="100"/>
              <w:left w:type="dxa" w:w="160"/>
              <w:bottom w:type="dxa" w:w="100"/>
              <w:right w:type="dxa" w:w="160"/>
            </w:tcMar>
          </w:tcPr>
          <w:p>
            <w:pPr>
              <w:spacing w:after="100"/>
            </w:pPr>
            <w:r>
              <w:rPr>
                <w:rFonts w:ascii="Arial" w:cs="Arial" w:eastAsia="Arial" w:hAnsi="Arial"/>
                <w:b/>
                <w:bCs/>
                <w:color w:val="538135"/>
                <w:sz w:val="23"/>
                <w:szCs w:val="23"/>
              </w:rPr>
              <w:t xml:space="preserve">✓  DO</w:t>
            </w:r>
          </w:p>
          <w:p>
            <w:pPr>
              <w:spacing w:after="70"/>
            </w:pPr>
            <w:r>
              <w:rPr>
                <w:rFonts w:ascii="Arial" w:cs="Arial" w:eastAsia="Arial" w:hAnsi="Arial"/>
                <w:b/>
                <w:bCs/>
                <w:color w:val="538135"/>
                <w:sz w:val="20"/>
                <w:szCs w:val="20"/>
              </w:rPr>
              <w:t xml:space="preserve">✓ </w:t>
            </w:r>
            <w:r>
              <w:rPr>
                <w:rFonts w:ascii="Arial" w:cs="Arial" w:eastAsia="Arial" w:hAnsi="Arial"/>
                <w:color w:val="2B2B2B"/>
                <w:sz w:val="21"/>
                <w:szCs w:val="21"/>
              </w:rPr>
              <w:t xml:space="preserve">Edit profiles (</w:t>
            </w:r>
            <w:r>
              <w:rPr>
                <w:rFonts w:ascii="Consolas" w:cs="Consolas" w:eastAsia="Consolas" w:hAnsi="Consolas"/>
                <w:color w:val="2B2B2B"/>
                <w:sz w:val="19"/>
                <w:szCs w:val="19"/>
              </w:rPr>
              <w:t xml:space="preserve">*.json</w:t>
            </w:r>
            <w:r>
              <w:rPr>
                <w:rFonts w:ascii="Arial" w:cs="Arial" w:eastAsia="Arial" w:hAnsi="Arial"/>
                <w:color w:val="2B2B2B"/>
                <w:sz w:val="21"/>
                <w:szCs w:val="21"/>
              </w:rPr>
              <w:t xml:space="preserve">) for content changes</w:t>
            </w:r>
          </w:p>
          <w:p>
            <w:pPr>
              <w:spacing w:after="70"/>
            </w:pPr>
            <w:r>
              <w:rPr>
                <w:rFonts w:ascii="Arial" w:cs="Arial" w:eastAsia="Arial" w:hAnsi="Arial"/>
                <w:b/>
                <w:bCs/>
                <w:color w:val="538135"/>
                <w:sz w:val="20"/>
                <w:szCs w:val="20"/>
              </w:rPr>
              <w:t xml:space="preserve">✓ </w:t>
            </w:r>
            <w:r>
              <w:rPr>
                <w:rFonts w:ascii="Arial" w:cs="Arial" w:eastAsia="Arial" w:hAnsi="Arial"/>
                <w:color w:val="2B2B2B"/>
                <w:sz w:val="21"/>
                <w:szCs w:val="21"/>
              </w:rPr>
              <w:t xml:space="preserve">Keep </w:t>
            </w:r>
            <w:r>
              <w:rPr>
                <w:rFonts w:ascii="Arial" w:cs="Arial" w:eastAsia="Arial" w:hAnsi="Arial"/>
                <w:b/>
                <w:bCs/>
                <w:color w:val="2B2B2B"/>
                <w:sz w:val="21"/>
                <w:szCs w:val="21"/>
              </w:rPr>
              <w:t xml:space="preserve">tab.areaIds</w:t>
            </w:r>
            <w:r>
              <w:rPr>
                <w:rFonts w:ascii="Arial" w:cs="Arial" w:eastAsia="Arial" w:hAnsi="Arial"/>
                <w:color w:val="2B2B2B"/>
                <w:sz w:val="21"/>
                <w:szCs w:val="21"/>
              </w:rPr>
              <w:t xml:space="preserve"> exactly as the Village lists lots</w:t>
            </w:r>
          </w:p>
          <w:p>
            <w:pPr>
              <w:spacing w:after="70"/>
            </w:pPr>
            <w:r>
              <w:rPr>
                <w:rFonts w:ascii="Arial" w:cs="Arial" w:eastAsia="Arial" w:hAnsi="Arial"/>
                <w:b/>
                <w:bCs/>
                <w:color w:val="538135"/>
                <w:sz w:val="20"/>
                <w:szCs w:val="20"/>
              </w:rPr>
              <w:t xml:space="preserve">✓ </w:t>
            </w:r>
            <w:r>
              <w:rPr>
                <w:rFonts w:ascii="Arial" w:cs="Arial" w:eastAsia="Arial" w:hAnsi="Arial"/>
                <w:color w:val="2B2B2B"/>
                <w:sz w:val="21"/>
                <w:szCs w:val="21"/>
              </w:rPr>
              <w:t xml:space="preserve">Read </w:t>
            </w:r>
            <w:r>
              <w:rPr>
                <w:rFonts w:ascii="Consolas" w:cs="Consolas" w:eastAsia="Consolas" w:hAnsi="Consolas"/>
                <w:color w:val="2B2B2B"/>
                <w:sz w:val="19"/>
                <w:szCs w:val="19"/>
              </w:rPr>
              <w:t xml:space="preserve">docs/BACKLOG.md</w:t>
            </w:r>
            <w:r>
              <w:rPr>
                <w:rFonts w:ascii="Arial" w:cs="Arial" w:eastAsia="Arial" w:hAnsi="Arial"/>
                <w:color w:val="2B2B2B"/>
                <w:sz w:val="21"/>
                <w:szCs w:val="21"/>
              </w:rPr>
              <w:t xml:space="preserve"> before "fixing" a bug</w:t>
            </w:r>
          </w:p>
          <w:p>
            <w:pPr>
              <w:spacing w:after="70"/>
            </w:pPr>
            <w:r>
              <w:rPr>
                <w:rFonts w:ascii="Arial" w:cs="Arial" w:eastAsia="Arial" w:hAnsi="Arial"/>
                <w:b/>
                <w:bCs/>
                <w:color w:val="538135"/>
                <w:sz w:val="20"/>
                <w:szCs w:val="20"/>
              </w:rPr>
              <w:t xml:space="preserve">✓ </w:t>
            </w:r>
            <w:r>
              <w:rPr>
                <w:rFonts w:ascii="Arial" w:cs="Arial" w:eastAsia="Arial" w:hAnsi="Arial"/>
                <w:color w:val="2B2B2B"/>
                <w:sz w:val="21"/>
                <w:szCs w:val="21"/>
              </w:rPr>
              <w:t xml:space="preserve">Run the verify scripts before showing the Village</w:t>
            </w:r>
          </w:p>
        </w:tc>
        <w:tc>
          <w:tcPr>
            <w:tcW w:type="pct" w:w="50%"/>
            <w:tcBorders>
              <w:top w:val="single" w:color="C00000" w:sz="24"/>
              <w:left w:val="single" w:color="C00000" w:sz="6"/>
              <w:bottom w:val="single" w:color="C00000" w:sz="6"/>
              <w:right w:val="single" w:color="C00000" w:sz="6"/>
            </w:tcBorders>
            <w:shd w:fill="FBE4E4" w:val="clear"/>
            <w:tcMar>
              <w:top w:type="dxa" w:w="100"/>
              <w:left w:type="dxa" w:w="160"/>
              <w:bottom w:type="dxa" w:w="100"/>
              <w:right w:type="dxa" w:w="160"/>
            </w:tcMar>
          </w:tcPr>
          <w:p>
            <w:pPr>
              <w:spacing w:after="100"/>
            </w:pPr>
            <w:r>
              <w:rPr>
                <w:rFonts w:ascii="Arial" w:cs="Arial" w:eastAsia="Arial" w:hAnsi="Arial"/>
                <w:b/>
                <w:bCs/>
                <w:color w:val="C00000"/>
                <w:sz w:val="23"/>
                <w:szCs w:val="23"/>
              </w:rPr>
              <w:t xml:space="preserve">✗  DON'T</w:t>
            </w:r>
          </w:p>
          <w:p>
            <w:pPr>
              <w:spacing w:after="70"/>
            </w:pPr>
            <w:r>
              <w:rPr>
                <w:rFonts w:ascii="Arial" w:cs="Arial" w:eastAsia="Arial" w:hAnsi="Arial"/>
                <w:b/>
                <w:bCs/>
                <w:color w:val="C00000"/>
                <w:sz w:val="20"/>
                <w:szCs w:val="20"/>
              </w:rPr>
              <w:t xml:space="preserve">✗ </w:t>
            </w:r>
            <w:r>
              <w:rPr>
                <w:rFonts w:ascii="Arial" w:cs="Arial" w:eastAsia="Arial" w:hAnsi="Arial"/>
                <w:color w:val="2B2B2B"/>
                <w:sz w:val="20"/>
                <w:szCs w:val="20"/>
              </w:rPr>
              <w:t xml:space="preserve">Show pricing anywhere (RATE_TEXT exists — never surface it)</w:t>
            </w:r>
          </w:p>
          <w:p>
            <w:pPr>
              <w:spacing w:after="70"/>
            </w:pPr>
            <w:r>
              <w:rPr>
                <w:rFonts w:ascii="Arial" w:cs="Arial" w:eastAsia="Arial" w:hAnsi="Arial"/>
                <w:b/>
                <w:bCs/>
                <w:color w:val="C00000"/>
                <w:sz w:val="20"/>
                <w:szCs w:val="20"/>
              </w:rPr>
              <w:t xml:space="preserve">✗ </w:t>
            </w:r>
            <w:r>
              <w:rPr>
                <w:rFonts w:ascii="Arial" w:cs="Arial" w:eastAsia="Arial" w:hAnsi="Arial"/>
                <w:color w:val="2B2B2B"/>
                <w:sz w:val="20"/>
                <w:szCs w:val="20"/>
              </w:rPr>
              <w:t xml:space="preserve">Use the word "decal" in user-visible text</w:t>
            </w:r>
          </w:p>
          <w:p>
            <w:pPr>
              <w:spacing w:after="70"/>
            </w:pPr>
            <w:r>
              <w:rPr>
                <w:rFonts w:ascii="Arial" w:cs="Arial" w:eastAsia="Arial" w:hAnsi="Arial"/>
                <w:b/>
                <w:bCs/>
                <w:color w:val="C00000"/>
                <w:sz w:val="20"/>
                <w:szCs w:val="20"/>
              </w:rPr>
              <w:t xml:space="preserve">✗ </w:t>
            </w:r>
            <w:r>
              <w:rPr>
                <w:rFonts w:ascii="Arial" w:cs="Arial" w:eastAsia="Arial" w:hAnsi="Arial"/>
                <w:color w:val="2B2B2B"/>
                <w:sz w:val="20"/>
                <w:szCs w:val="20"/>
              </w:rPr>
              <w:t xml:space="preserve">Hardcode field names, lot ids, or copy in components</w:t>
            </w:r>
          </w:p>
          <w:p>
            <w:pPr>
              <w:spacing w:after="70"/>
            </w:pPr>
            <w:r>
              <w:rPr>
                <w:rFonts w:ascii="Arial" w:cs="Arial" w:eastAsia="Arial" w:hAnsi="Arial"/>
                <w:b/>
                <w:bCs/>
                <w:color w:val="C00000"/>
                <w:sz w:val="20"/>
                <w:szCs w:val="20"/>
              </w:rPr>
              <w:t xml:space="preserve">✗ </w:t>
            </w:r>
            <w:r>
              <w:rPr>
                <w:rFonts w:ascii="Arial" w:cs="Arial" w:eastAsia="Arial" w:hAnsi="Arial"/>
                <w:color w:val="2B2B2B"/>
                <w:sz w:val="20"/>
                <w:szCs w:val="20"/>
              </w:rPr>
              <w:t xml:space="preserve">Add a landing page / layout chooser (removed on purpose)</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9%"/>
            <w:tcBorders>
              <w:top w:val="none" w:color="FFFFFF" w:sz="0"/>
              <w:left w:val="none" w:color="FFFFFF" w:sz="0"/>
              <w:bottom w:val="none" w:color="FFFFFF" w:sz="0"/>
              <w:right w:val="none" w:color="FFFFFF" w:sz="0"/>
            </w:tcBorders>
            <w:shd w:fill="074E5B" w:val="clear"/>
            <w:tcMar>
              <w:top w:type="dxa" w:w="120"/>
              <w:left w:type="dxa" w:w="60"/>
              <w:bottom w:type="dxa" w:w="120"/>
              <w:right w:type="dxa" w:w="60"/>
            </w:tcMar>
            <w:vAlign w:val="center"/>
          </w:tcPr>
          <w:p>
            <w:pPr>
              <w:jc w:val="center"/>
            </w:pPr>
            <w:r>
              <w:rPr>
                <w:rFonts w:ascii="Arial" w:cs="Arial" w:eastAsia="Arial" w:hAnsi="Arial"/>
                <w:b/>
                <w:bCs/>
                <w:color w:val="FFFFFF"/>
                <w:sz w:val="40"/>
                <w:szCs w:val="40"/>
              </w:rPr>
              <w:t xml:space="preserve">1</w:t>
            </w:r>
          </w:p>
        </w:tc>
        <w:tc>
          <w:tcPr>
            <w:tcW w:type="pct" w:w="91%"/>
            <w:tcBorders>
              <w:top w:val="none" w:color="FFFFFF" w:sz="0"/>
              <w:left w:val="none" w:color="FFFFFF" w:sz="0"/>
              <w:bottom w:val="none" w:color="FFFFFF" w:sz="0"/>
              <w:right w:val="none" w:color="FFFFFF" w:sz="0"/>
            </w:tcBorders>
            <w:shd w:fill="0B7285" w:val="clear"/>
            <w:tcMar>
              <w:top w:type="dxa" w:w="160"/>
              <w:left w:type="dxa" w:w="240"/>
              <w:bottom w:type="dxa" w:w="160"/>
              <w:right w:type="dxa" w:w="240"/>
            </w:tcMar>
            <w:vAlign w:val="center"/>
          </w:tcPr>
          <w:p>
            <w:r>
              <w:rPr>
                <w:rFonts w:ascii="Arial" w:cs="Arial" w:eastAsia="Arial" w:hAnsi="Arial"/>
                <w:b/>
                <w:bCs/>
                <w:color w:val="FFFFFF"/>
                <w:sz w:val="28"/>
                <w:szCs w:val="28"/>
              </w:rPr>
              <w:t xml:space="preserve">The Two Apps</w:t>
            </w:r>
          </w:p>
        </w:tc>
      </w:tr>
    </w:tbl>
    <w:p>
      <w:pPr>
        <w:spacing w:after="120"/>
      </w:pPr>
    </w:p>
    <w:p>
      <w:pPr>
        <w:pStyle w:val="Heading1"/>
        <w:spacing w:after="120" w:before="200"/>
      </w:pPr>
      <w:r>
        <w:rPr>
          <w:rFonts w:ascii="Arial" w:cs="Arial" w:eastAsia="Arial" w:hAnsi="Arial"/>
          <w:b/>
          <w:bCs/>
          <w:color w:val="0B7285"/>
          <w:sz w:val="26"/>
          <w:szCs w:val="26"/>
        </w:rPr>
        <w:t xml:space="preserve">1. The Two Apps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tblGrid>
      <w:tr>
        <w:tc>
          <w:tcPr>
            <w:tcW w:type="pct" w:w="25%"/>
            <w:tcBorders>
              <w:top w:val="none" w:color="FFFFFF" w:sz="0"/>
              <w:left w:val="none" w:color="FFFFFF" w:sz="0"/>
              <w:bottom w:val="none" w:color="FFFFFF" w:sz="0"/>
              <w:right w:val="single" w:color="E0E0E0" w:sz="4"/>
            </w:tcBorders>
            <w:tcMar>
              <w:top w:type="dxa" w:w="100"/>
              <w:left w:type="dxa" w:w="60"/>
              <w:bottom w:type="dxa" w:w="100"/>
              <w:right w:type="dxa" w:w="60"/>
            </w:tcMar>
          </w:tcPr>
          <w:p>
            <w:pPr>
              <w:spacing w:after="20"/>
              <w:jc w:val="center"/>
            </w:pPr>
            <w:r>
              <w:rPr>
                <w:rFonts w:ascii="Arial" w:cs="Arial" w:eastAsia="Arial" w:hAnsi="Arial"/>
                <w:b/>
                <w:bCs/>
                <w:color w:val="0B7285"/>
                <w:sz w:val="44"/>
                <w:szCs w:val="44"/>
              </w:rPr>
              <w:t xml:space="preserve">1</w:t>
            </w:r>
          </w:p>
          <w:p>
            <w:pPr>
              <w:jc w:val="center"/>
            </w:pPr>
            <w:r>
              <w:rPr>
                <w:rFonts w:ascii="Arial" w:cs="Arial" w:eastAsia="Arial" w:hAnsi="Arial"/>
                <w:color w:val="808080"/>
                <w:sz w:val="18"/>
                <w:szCs w:val="18"/>
              </w:rPr>
              <w:t xml:space="preserve">codebase</w:t>
            </w:r>
          </w:p>
        </w:tc>
        <w:tc>
          <w:tcPr>
            <w:tcW w:type="pct" w:w="25%"/>
            <w:tcBorders>
              <w:top w:val="none" w:color="FFFFFF" w:sz="0"/>
              <w:left w:val="none" w:color="FFFFFF" w:sz="0"/>
              <w:bottom w:val="none" w:color="FFFFFF" w:sz="0"/>
              <w:right w:val="single" w:color="E0E0E0" w:sz="4"/>
            </w:tcBorders>
            <w:tcMar>
              <w:top w:type="dxa" w:w="100"/>
              <w:left w:type="dxa" w:w="60"/>
              <w:bottom w:type="dxa" w:w="100"/>
              <w:right w:type="dxa" w:w="60"/>
            </w:tcMar>
          </w:tcPr>
          <w:p>
            <w:pPr>
              <w:spacing w:after="20"/>
              <w:jc w:val="center"/>
            </w:pPr>
            <w:r>
              <w:rPr>
                <w:rFonts w:ascii="Arial" w:cs="Arial" w:eastAsia="Arial" w:hAnsi="Arial"/>
                <w:b/>
                <w:bCs/>
                <w:color w:val="0B7285"/>
                <w:sz w:val="44"/>
                <w:szCs w:val="44"/>
              </w:rPr>
              <w:t xml:space="preserve">2</w:t>
            </w:r>
          </w:p>
          <w:p>
            <w:pPr>
              <w:jc w:val="center"/>
            </w:pPr>
            <w:r>
              <w:rPr>
                <w:rFonts w:ascii="Arial" w:cs="Arial" w:eastAsia="Arial" w:hAnsi="Arial"/>
                <w:color w:val="808080"/>
                <w:sz w:val="18"/>
                <w:szCs w:val="18"/>
              </w:rPr>
              <w:t xml:space="preserve">static apps</w:t>
            </w:r>
          </w:p>
        </w:tc>
        <w:tc>
          <w:tcPr>
            <w:tcW w:type="pct" w:w="25%"/>
            <w:tcBorders>
              <w:top w:val="none" w:color="FFFFFF" w:sz="0"/>
              <w:left w:val="none" w:color="FFFFFF" w:sz="0"/>
              <w:bottom w:val="none" w:color="FFFFFF" w:sz="0"/>
              <w:right w:val="single" w:color="E0E0E0" w:sz="4"/>
            </w:tcBorders>
            <w:tcMar>
              <w:top w:type="dxa" w:w="100"/>
              <w:left w:type="dxa" w:w="60"/>
              <w:bottom w:type="dxa" w:w="100"/>
              <w:right w:type="dxa" w:w="60"/>
            </w:tcMar>
          </w:tcPr>
          <w:p>
            <w:pPr>
              <w:spacing w:after="20"/>
              <w:jc w:val="center"/>
            </w:pPr>
            <w:r>
              <w:rPr>
                <w:rFonts w:ascii="Arial" w:cs="Arial" w:eastAsia="Arial" w:hAnsi="Arial"/>
                <w:b/>
                <w:bCs/>
                <w:color w:val="0B7285"/>
                <w:sz w:val="44"/>
                <w:szCs w:val="44"/>
              </w:rPr>
              <w:t xml:space="preserve">4</w:t>
            </w:r>
          </w:p>
          <w:p>
            <w:pPr>
              <w:jc w:val="center"/>
            </w:pPr>
            <w:r>
              <w:rPr>
                <w:rFonts w:ascii="Arial" w:cs="Arial" w:eastAsia="Arial" w:hAnsi="Arial"/>
                <w:color w:val="808080"/>
                <w:sz w:val="18"/>
                <w:szCs w:val="18"/>
              </w:rPr>
              <w:t xml:space="preserve">permit pages</w:t>
            </w:r>
          </w:p>
        </w:tc>
        <w:tc>
          <w:tcPr>
            <w:tcW w:type="pct" w:w="25%"/>
            <w:tcBorders>
              <w:top w:val="none" w:color="FFFFFF" w:sz="0"/>
              <w:left w:val="none" w:color="FFFFFF" w:sz="0"/>
              <w:bottom w:val="none" w:color="FFFFFF" w:sz="0"/>
              <w:right w:val="none" w:color="FFFFFF" w:sz="0"/>
            </w:tcBorders>
            <w:tcMar>
              <w:top w:type="dxa" w:w="100"/>
              <w:left w:type="dxa" w:w="60"/>
              <w:bottom w:type="dxa" w:w="100"/>
              <w:right w:type="dxa" w:w="60"/>
            </w:tcMar>
          </w:tcPr>
          <w:p>
            <w:pPr>
              <w:spacing w:after="20"/>
              <w:jc w:val="center"/>
            </w:pPr>
            <w:r>
              <w:rPr>
                <w:rFonts w:ascii="Arial" w:cs="Arial" w:eastAsia="Arial" w:hAnsi="Arial"/>
                <w:b/>
                <w:bCs/>
                <w:color w:val="0B7285"/>
                <w:sz w:val="44"/>
                <w:szCs w:val="44"/>
              </w:rPr>
              <w:t xml:space="preserve">0</w:t>
            </w:r>
          </w:p>
          <w:p>
            <w:pPr>
              <w:jc w:val="center"/>
            </w:pPr>
            <w:r>
              <w:rPr>
                <w:rFonts w:ascii="Arial" w:cs="Arial" w:eastAsia="Arial" w:hAnsi="Arial"/>
                <w:color w:val="808080"/>
                <w:sz w:val="18"/>
                <w:szCs w:val="18"/>
              </w:rPr>
              <w:t xml:space="preserve">servers · logins · databases</w:t>
            </w:r>
          </w:p>
        </w:tc>
      </w:tr>
    </w:tbl>
    <w:p>
      <w:pPr>
        <w:spacing w:after="6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gridCol w:w="100"/>
      </w:tblGrid>
      <w:tr>
        <w:tc>
          <w:tcPr>
            <w:tcW w:type="pct" w:w="30%"/>
            <w:tcBorders>
              <w:top w:val="none" w:color="FFFFFF" w:sz="0"/>
              <w:left w:val="none" w:color="FFFFFF" w:sz="0"/>
              <w:bottom w:val="none" w:color="FFFFFF" w:sz="0"/>
              <w:right w:val="none" w:color="FFFFFF" w:sz="0"/>
            </w:tcBorders>
            <w:shd w:fill="5B4B9E" w:val="clear"/>
            <w:tcMar>
              <w:top w:type="dxa" w:w="120"/>
              <w:left w:type="dxa" w:w="100"/>
              <w:bottom w:type="dxa" w:w="120"/>
              <w:right w:type="dxa" w:w="100"/>
            </w:tcMar>
            <w:vAlign w:val="center"/>
          </w:tcPr>
          <w:p>
            <w:pPr>
              <w:spacing w:after="30"/>
              <w:jc w:val="center"/>
            </w:pPr>
            <w:r>
              <w:rPr>
                <w:rFonts w:ascii="Arial" w:cs="Arial" w:eastAsia="Arial" w:hAnsi="Arial"/>
                <w:b/>
                <w:bCs/>
                <w:color w:val="FFFFFF"/>
                <w:sz w:val="22"/>
                <w:szCs w:val="22"/>
              </w:rPr>
              <w:t xml:space="preserve">Profiles (JSON)</w:t>
            </w:r>
          </w:p>
          <w:p>
            <w:pPr>
              <w:jc w:val="center"/>
            </w:pPr>
            <w:r>
              <w:rPr>
                <w:rFonts w:ascii="Arial" w:cs="Arial" w:eastAsia="Arial" w:hAnsi="Arial"/>
                <w:color w:val="FFFFFF"/>
                <w:sz w:val="16"/>
                <w:szCs w:val="16"/>
              </w:rPr>
              <w:t xml:space="preserve">public/profiles/* — ALL content: tabs, lots, text, colors</w:t>
            </w:r>
          </w:p>
        </w:tc>
        <w:tc>
          <w:tcPr>
            <w:tcW w:type="pct" w:w="5%"/>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808080"/>
                <w:sz w:val="30"/>
                <w:szCs w:val="30"/>
              </w:rPr>
              <w:t xml:space="preserve">→</w:t>
            </w:r>
          </w:p>
        </w:tc>
        <w:tc>
          <w:tcPr>
            <w:tcW w:type="pct" w:w="30%"/>
            <w:tcBorders>
              <w:top w:val="none" w:color="FFFFFF" w:sz="0"/>
              <w:left w:val="none" w:color="FFFFFF" w:sz="0"/>
              <w:bottom w:val="none" w:color="FFFFFF" w:sz="0"/>
              <w:right w:val="none" w:color="FFFFFF" w:sz="0"/>
            </w:tcBorders>
            <w:shd w:fill="0B7285" w:val="clear"/>
            <w:tcMar>
              <w:top w:type="dxa" w:w="120"/>
              <w:left w:type="dxa" w:w="100"/>
              <w:bottom w:type="dxa" w:w="120"/>
              <w:right w:type="dxa" w:w="100"/>
            </w:tcMar>
            <w:vAlign w:val="center"/>
          </w:tcPr>
          <w:p>
            <w:pPr>
              <w:spacing w:after="30"/>
              <w:jc w:val="center"/>
            </w:pPr>
            <w:r>
              <w:rPr>
                <w:rFonts w:ascii="Arial" w:cs="Arial" w:eastAsia="Arial" w:hAnsi="Arial"/>
                <w:b/>
                <w:bCs/>
                <w:color w:val="FFFFFF"/>
                <w:sz w:val="22"/>
                <w:szCs w:val="22"/>
              </w:rPr>
              <w:t xml:space="preserve">Two React apps</w:t>
            </w:r>
          </w:p>
          <w:p>
            <w:pPr>
              <w:jc w:val="center"/>
            </w:pPr>
            <w:r>
              <w:rPr>
                <w:rFonts w:ascii="Arial" w:cs="Arial" w:eastAsia="Arial" w:hAnsi="Arial"/>
                <w:color w:val="FFFFFF"/>
                <w:sz w:val="16"/>
                <w:szCs w:val="16"/>
              </w:rPr>
              <w:t xml:space="preserve">Guided Finder (permit) · Explorer (public) — static SPAs</w:t>
            </w:r>
          </w:p>
        </w:tc>
        <w:tc>
          <w:tcPr>
            <w:tcW w:type="pct" w:w="5%"/>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808080"/>
                <w:sz w:val="30"/>
                <w:szCs w:val="30"/>
              </w:rPr>
              <w:t xml:space="preserve">→</w:t>
            </w:r>
          </w:p>
        </w:tc>
        <w:tc>
          <w:tcPr>
            <w:tcW w:type="pct" w:w="30%"/>
            <w:tcBorders>
              <w:top w:val="none" w:color="FFFFFF" w:sz="0"/>
              <w:left w:val="none" w:color="FFFFFF" w:sz="0"/>
              <w:bottom w:val="none" w:color="FFFFFF" w:sz="0"/>
              <w:right w:val="none" w:color="FFFFFF" w:sz="0"/>
            </w:tcBorders>
            <w:shd w:fill="1F5C8B" w:val="clear"/>
            <w:tcMar>
              <w:top w:type="dxa" w:w="120"/>
              <w:left w:type="dxa" w:w="100"/>
              <w:bottom w:type="dxa" w:w="120"/>
              <w:right w:type="dxa" w:w="100"/>
            </w:tcMar>
            <w:vAlign w:val="center"/>
          </w:tcPr>
          <w:p>
            <w:pPr>
              <w:spacing w:after="30"/>
              <w:jc w:val="center"/>
            </w:pPr>
            <w:r>
              <w:rPr>
                <w:rFonts w:ascii="Arial" w:cs="Arial" w:eastAsia="Arial" w:hAnsi="Arial"/>
                <w:b/>
                <w:bCs/>
                <w:color w:val="FFFFFF"/>
                <w:sz w:val="22"/>
                <w:szCs w:val="22"/>
              </w:rPr>
              <w:t xml:space="preserve">ArcGIS Online</w:t>
            </w:r>
          </w:p>
          <w:p>
            <w:pPr>
              <w:jc w:val="center"/>
            </w:pPr>
            <w:r>
              <w:rPr>
                <w:rFonts w:ascii="Arial" w:cs="Arial" w:eastAsia="Arial" w:hAnsi="Arial"/>
                <w:color w:val="FFFFFF"/>
                <w:sz w:val="16"/>
                <w:szCs w:val="16"/>
              </w:rPr>
              <w:t xml:space="preserve">hosted feature services — anonymous, read-only</w:t>
            </w:r>
          </w:p>
        </w:tc>
      </w:tr>
      <w:tr>
        <w:tc>
          <w:tcPr>
            <w:tcW w:type="pct" w:w="30%"/>
            <w:tcBorders>
              <w:top w:val="none" w:color="FFFFFF" w:sz="0"/>
              <w:left w:val="none" w:color="FFFFFF" w:sz="0"/>
              <w:bottom w:val="none" w:color="FFFFFF" w:sz="0"/>
              <w:right w:val="none" w:color="FFFFFF" w:sz="0"/>
            </w:tcBorders>
          </w:tcPr>
          <w:p/>
        </w:tc>
        <w:tc>
          <w:tcPr>
            <w:tcW w:type="pct" w:w="5%"/>
            <w:tcBorders>
              <w:top w:val="none" w:color="FFFFFF" w:sz="0"/>
              <w:left w:val="none" w:color="FFFFFF" w:sz="0"/>
              <w:bottom w:val="none" w:color="FFFFFF" w:sz="0"/>
              <w:right w:val="none" w:color="FFFFFF" w:sz="0"/>
            </w:tcBorders>
          </w:tcPr>
          <w:p/>
        </w:tc>
        <w:tc>
          <w:tcPr>
            <w:tcW w:type="pct" w:w="3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808080"/>
                <w:sz w:val="30"/>
                <w:szCs w:val="30"/>
              </w:rPr>
              <w:t xml:space="preserve">↓</w:t>
            </w:r>
          </w:p>
        </w:tc>
        <w:tc>
          <w:tcPr>
            <w:tcW w:type="pct" w:w="5%"/>
            <w:tcBorders>
              <w:top w:val="none" w:color="FFFFFF" w:sz="0"/>
              <w:left w:val="none" w:color="FFFFFF" w:sz="0"/>
              <w:bottom w:val="none" w:color="FFFFFF" w:sz="0"/>
              <w:right w:val="none" w:color="FFFFFF" w:sz="0"/>
            </w:tcBorders>
          </w:tcPr>
          <w:p/>
        </w:tc>
        <w:tc>
          <w:tcPr>
            <w:tcW w:type="pct" w:w="30%"/>
            <w:tcBorders>
              <w:top w:val="none" w:color="FFFFFF" w:sz="0"/>
              <w:left w:val="none" w:color="FFFFFF" w:sz="0"/>
              <w:bottom w:val="none" w:color="FFFFFF" w:sz="0"/>
              <w:right w:val="none" w:color="FFFFFF" w:sz="0"/>
            </w:tcBorders>
          </w:tcPr>
          <w:p/>
        </w:tc>
      </w:tr>
      <w:tr>
        <w:tc>
          <w:tcPr>
            <w:tcW w:type="pct" w:w="30%"/>
            <w:tcBorders>
              <w:top w:val="none" w:color="FFFFFF" w:sz="0"/>
              <w:left w:val="none" w:color="FFFFFF" w:sz="0"/>
              <w:bottom w:val="none" w:color="FFFFFF" w:sz="0"/>
              <w:right w:val="none" w:color="FFFFFF" w:sz="0"/>
            </w:tcBorders>
          </w:tcPr>
          <w:p/>
        </w:tc>
        <w:tc>
          <w:tcPr>
            <w:tcW w:type="pct" w:w="5%"/>
            <w:tcBorders>
              <w:top w:val="none" w:color="FFFFFF" w:sz="0"/>
              <w:left w:val="none" w:color="FFFFFF" w:sz="0"/>
              <w:bottom w:val="none" w:color="FFFFFF" w:sz="0"/>
              <w:right w:val="none" w:color="FFFFFF" w:sz="0"/>
            </w:tcBorders>
          </w:tcPr>
          <w:p/>
        </w:tc>
        <w:tc>
          <w:tcPr>
            <w:tcW w:type="pct" w:w="30%"/>
            <w:tcBorders>
              <w:top w:val="none" w:color="FFFFFF" w:sz="0"/>
              <w:left w:val="none" w:color="FFFFFF" w:sz="0"/>
              <w:bottom w:val="none" w:color="FFFFFF" w:sz="0"/>
              <w:right w:val="none" w:color="FFFFFF" w:sz="0"/>
            </w:tcBorders>
            <w:shd w:fill="475569" w:val="clear"/>
            <w:tcMar>
              <w:top w:type="dxa" w:w="120"/>
              <w:left w:type="dxa" w:w="100"/>
              <w:bottom w:type="dxa" w:w="120"/>
              <w:right w:type="dxa" w:w="100"/>
            </w:tcMar>
            <w:vAlign w:val="center"/>
          </w:tcPr>
          <w:p>
            <w:pPr>
              <w:spacing w:after="30"/>
              <w:jc w:val="center"/>
            </w:pPr>
            <w:r>
              <w:rPr>
                <w:rFonts w:ascii="Arial" w:cs="Arial" w:eastAsia="Arial" w:hAnsi="Arial"/>
                <w:b/>
                <w:bCs/>
                <w:color w:val="FFFFFF"/>
                <w:sz w:val="22"/>
                <w:szCs w:val="22"/>
              </w:rPr>
              <w:t xml:space="preserve">Azure Static Web Apps</w:t>
            </w:r>
          </w:p>
          <w:p>
            <w:pPr>
              <w:jc w:val="center"/>
            </w:pPr>
            <w:r>
              <w:rPr>
                <w:rFonts w:ascii="Arial" w:cs="Arial" w:eastAsia="Arial" w:hAnsi="Arial"/>
                <w:color w:val="FFFFFF"/>
                <w:sz w:val="16"/>
                <w:szCs w:val="16"/>
              </w:rPr>
              <w:t xml:space="preserve">Free plan · one resource per app · manual deploy</w:t>
            </w:r>
          </w:p>
        </w:tc>
        <w:tc>
          <w:tcPr>
            <w:tcW w:type="pct" w:w="5%"/>
            <w:tcBorders>
              <w:top w:val="none" w:color="FFFFFF" w:sz="0"/>
              <w:left w:val="none" w:color="FFFFFF" w:sz="0"/>
              <w:bottom w:val="none" w:color="FFFFFF" w:sz="0"/>
              <w:right w:val="none" w:color="FFFFFF" w:sz="0"/>
            </w:tcBorders>
          </w:tcPr>
          <w:p/>
        </w:tc>
        <w:tc>
          <w:tcPr>
            <w:tcW w:type="pct" w:w="30%"/>
            <w:tcBorders>
              <w:top w:val="none" w:color="FFFFFF" w:sz="0"/>
              <w:left w:val="none" w:color="FFFFFF" w:sz="0"/>
              <w:bottom w:val="none" w:color="FFFFFF" w:sz="0"/>
              <w:right w:val="none" w:color="FFFFFF" w:sz="0"/>
            </w:tcBorders>
          </w:tcPr>
          <w:p/>
        </w:tc>
      </w:tr>
    </w:tbl>
    <w:p>
      <w:pPr>
        <w:spacing w:after="120"/>
      </w:pPr>
    </w:p>
    <w:p>
      <w:pPr>
        <w:spacing w:after="120"/>
      </w:pPr>
      <w:r>
        <w:rPr>
          <w:rFonts w:ascii="Arial" w:cs="Arial" w:eastAsia="Arial" w:hAnsi="Arial"/>
          <w:color w:val="2B2B2B"/>
          <w:sz w:val="21"/>
          <w:szCs w:val="21"/>
        </w:rPr>
        <w:t xml:space="preserve">What is deployed is the reference for "how it should look" — keep a live site open next to your dev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D9D9D9" w:sz="4"/>
              <w:left w:val="single" w:color="D9D9D9" w:sz="4"/>
              <w:bottom w:val="single" w:color="D9D9D9" w:sz="4"/>
              <w:right w:val="single" w:color="D9D9D9" w:sz="4"/>
            </w:tcBorders>
            <w:shd w:fill="0B7285" w:val="clear"/>
            <w:tcMar>
              <w:top w:type="dxa" w:w="80"/>
              <w:left w:type="dxa" w:w="120"/>
              <w:bottom w:type="dxa" w:w="80"/>
              <w:right w:type="dxa" w:w="120"/>
            </w:tcMar>
          </w:tcPr>
          <w:p>
            <w:r>
              <w:rPr>
                <w:rFonts w:ascii="Arial" w:cs="Arial" w:eastAsia="Arial" w:hAnsi="Arial"/>
                <w:b/>
                <w:bCs/>
                <w:color w:val="FFFFFF"/>
                <w:sz w:val="20"/>
                <w:szCs w:val="20"/>
              </w:rPr>
              <w:t xml:space="preserve">App</w:t>
            </w:r>
          </w:p>
        </w:tc>
        <w:tc>
          <w:tcPr>
            <w:tcW w:type="pct" w:w="32%"/>
            <w:tcBorders>
              <w:top w:val="single" w:color="D9D9D9" w:sz="4"/>
              <w:left w:val="single" w:color="D9D9D9" w:sz="4"/>
              <w:bottom w:val="single" w:color="D9D9D9" w:sz="4"/>
              <w:right w:val="single" w:color="D9D9D9" w:sz="4"/>
            </w:tcBorders>
            <w:shd w:fill="0B7285" w:val="clear"/>
            <w:tcMar>
              <w:top w:type="dxa" w:w="80"/>
              <w:left w:type="dxa" w:w="120"/>
              <w:bottom w:type="dxa" w:w="80"/>
              <w:right w:type="dxa" w:w="120"/>
            </w:tcMar>
          </w:tcPr>
          <w:p>
            <w:r>
              <w:rPr>
                <w:rFonts w:ascii="Arial" w:cs="Arial" w:eastAsia="Arial" w:hAnsi="Arial"/>
                <w:b/>
                <w:bCs/>
                <w:color w:val="FFFFFF"/>
                <w:sz w:val="20"/>
                <w:szCs w:val="20"/>
              </w:rPr>
              <w:t xml:space="preserve">Who it serves</w:t>
            </w:r>
          </w:p>
        </w:tc>
        <w:tc>
          <w:tcPr>
            <w:tcW w:type="pct" w:w="26%"/>
            <w:tcBorders>
              <w:top w:val="single" w:color="D9D9D9" w:sz="4"/>
              <w:left w:val="single" w:color="D9D9D9" w:sz="4"/>
              <w:bottom w:val="single" w:color="D9D9D9" w:sz="4"/>
              <w:right w:val="single" w:color="D9D9D9" w:sz="4"/>
            </w:tcBorders>
            <w:shd w:fill="0B7285" w:val="clear"/>
            <w:tcMar>
              <w:top w:type="dxa" w:w="80"/>
              <w:left w:type="dxa" w:w="120"/>
              <w:bottom w:type="dxa" w:w="80"/>
              <w:right w:type="dxa" w:w="120"/>
            </w:tcMar>
          </w:tcPr>
          <w:p>
            <w:r>
              <w:rPr>
                <w:rFonts w:ascii="Arial" w:cs="Arial" w:eastAsia="Arial" w:hAnsi="Arial"/>
                <w:b/>
                <w:bCs/>
                <w:color w:val="FFFFFF"/>
                <w:sz w:val="20"/>
                <w:szCs w:val="20"/>
              </w:rPr>
              <w:t xml:space="preserve">Runs with</w:t>
            </w:r>
          </w:p>
        </w:tc>
        <w:tc>
          <w:tcPr>
            <w:tcW w:type="pct" w:w="30%"/>
            <w:tcBorders>
              <w:top w:val="single" w:color="D9D9D9" w:sz="4"/>
              <w:left w:val="single" w:color="D9D9D9" w:sz="4"/>
              <w:bottom w:val="single" w:color="D9D9D9" w:sz="4"/>
              <w:right w:val="single" w:color="D9D9D9" w:sz="4"/>
            </w:tcBorders>
            <w:shd w:fill="0B7285" w:val="clear"/>
            <w:tcMar>
              <w:top w:type="dxa" w:w="80"/>
              <w:left w:type="dxa" w:w="120"/>
              <w:bottom w:type="dxa" w:w="80"/>
              <w:right w:type="dxa" w:w="120"/>
            </w:tcMar>
          </w:tcPr>
          <w:p>
            <w:r>
              <w:rPr>
                <w:rFonts w:ascii="Arial" w:cs="Arial" w:eastAsia="Arial" w:hAnsi="Arial"/>
                <w:b/>
                <w:bCs/>
                <w:color w:val="FFFFFF"/>
                <w:sz w:val="20"/>
                <w:szCs w:val="20"/>
              </w:rPr>
              <w:t xml:space="preserve">Live site</w:t>
            </w:r>
          </w:p>
        </w:tc>
      </w:tr>
      <w:tr>
        <w:tc>
          <w:tcPr>
            <w:tcW w:type="pct" w:w="1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Permit</w:t>
            </w:r>
          </w:p>
        </w:tc>
        <w:tc>
          <w:tcPr>
            <w:tcW w:type="pct" w:w="3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4 permit-type pages</w:t>
            </w:r>
          </w:p>
        </w:tc>
        <w:tc>
          <w:tcPr>
            <w:tcW w:type="pct" w:w="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19"/>
                <w:szCs w:val="19"/>
              </w:rPr>
              <w:t xml:space="preserve">npm run dev</w:t>
            </w:r>
          </w:p>
        </w:tc>
        <w:tc>
          <w:tcPr>
            <w:tcW w:type="pct" w:w="30%"/>
            <w:tcBorders>
              <w:top w:val="single" w:color="D9D9D9" w:sz="4"/>
              <w:left w:val="single" w:color="D9D9D9" w:sz="4"/>
              <w:bottom w:val="single" w:color="D9D9D9" w:sz="4"/>
              <w:right w:val="single" w:color="D9D9D9" w:sz="4"/>
            </w:tcBorders>
            <w:tcMar>
              <w:top w:type="dxa" w:w="80"/>
              <w:left w:type="dxa" w:w="120"/>
              <w:bottom w:type="dxa" w:w="80"/>
              <w:right w:type="dxa" w:w="120"/>
            </w:tcMar>
          </w:tcPr>
          <w:p>
            <w:hyperlink w:history="1" r:id="rId1tjas0cnfsv_vd484_ss9">
              <w:r>
                <w:rPr>
                  <w:rFonts w:ascii="Arial" w:cs="Arial" w:eastAsia="Arial" w:hAnsi="Arial"/>
                  <w:color w:val="2E74B5"/>
                  <w:sz w:val="20"/>
                  <w:szCs w:val="20"/>
                  <w:u w:val="single"/>
                </w:rPr>
                <w:t xml:space="preserve">mango-cliff-087d26410…</w:t>
              </w:r>
            </w:hyperlink>
          </w:p>
        </w:tc>
      </w:tr>
      <w:tr>
        <w:tc>
          <w:tcPr>
            <w:tcW w:type="pct" w:w="1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Public</w:t>
            </w:r>
          </w:p>
        </w:tc>
        <w:tc>
          <w:tcPr>
            <w:tcW w:type="pct" w:w="3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Visitors — time-based parking</w:t>
            </w:r>
          </w:p>
        </w:tc>
        <w:tc>
          <w:tcPr>
            <w:tcW w:type="pct" w:w="26%"/>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npm run dev:public</w:t>
            </w:r>
          </w:p>
        </w:tc>
        <w:tc>
          <w:tcPr>
            <w:tcW w:type="pct" w:w="3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hyperlink w:history="1" r:id="rId1dvs0y1cr6qk-6ddpl4tp">
              <w:r>
                <w:rPr>
                  <w:rFonts w:ascii="Arial" w:cs="Arial" w:eastAsia="Arial" w:hAnsi="Arial"/>
                  <w:color w:val="2E74B5"/>
                  <w:sz w:val="20"/>
                  <w:szCs w:val="20"/>
                  <w:u w:val="single"/>
                </w:rPr>
                <w:t xml:space="preserve">ashy-mud-0b906db10…</w:t>
              </w:r>
            </w:hyperlink>
          </w:p>
        </w:tc>
      </w:tr>
    </w:tbl>
    <w:p>
      <w:pPr>
        <w:spacing w:after="120"/>
      </w:pP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single" w:color="C9C9C9" w:sz="4"/>
              <w:left w:val="single" w:color="C9C9C9" w:sz="4"/>
              <w:bottom w:val="single" w:color="C9C9C9" w:sz="4"/>
              <w:right w:val="single" w:color="C9C9C9" w:sz="4"/>
            </w:tcBorders>
            <w:tcMar>
              <w:top w:type="dxa" w:w="60"/>
              <w:left w:type="dxa" w:w="60"/>
              <w:bottom w:type="dxa" w:w="60"/>
              <w:right w:type="dxa" w:w="60"/>
            </w:tcMar>
          </w:tcPr>
          <w:p>
            <w:pPr>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3486150"/>
                          </a:xfrm>
                          <a:prstGeom prst="rect">
                            <a:avLst/>
                          </a:prstGeom>
                        </pic:spPr>
                      </pic:pic>
                    </a:graphicData>
                  </a:graphic>
                </wp:inline>
              </w:drawing>
            </w:r>
          </w:p>
        </w:tc>
      </w:tr>
    </w:tbl>
    <w:p>
      <w:pPr>
        <w:spacing w:after="40"/>
      </w:pPr>
    </w:p>
    <w:p>
      <w:pPr>
        <w:spacing w:after="180"/>
        <w:jc w:val="center"/>
      </w:pPr>
      <w:r>
        <w:rPr>
          <w:rFonts w:ascii="Arial" w:cs="Arial" w:eastAsia="Arial" w:hAnsi="Arial"/>
          <w:i/>
          <w:iCs/>
          <w:color w:val="808080"/>
          <w:sz w:val="18"/>
          <w:szCs w:val="18"/>
        </w:rPr>
        <w:t xml:space="preserve">The permit app — the visitor picks a permit type, then sees only that page’s lots and rules (the "Guided Finder").</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single" w:color="C9C9C9" w:sz="4"/>
              <w:left w:val="single" w:color="C9C9C9" w:sz="4"/>
              <w:bottom w:val="single" w:color="C9C9C9" w:sz="4"/>
              <w:right w:val="single" w:color="C9C9C9" w:sz="4"/>
            </w:tcBorders>
            <w:tcMar>
              <w:top w:type="dxa" w:w="60"/>
              <w:left w:type="dxa" w:w="60"/>
              <w:bottom w:type="dxa" w:w="60"/>
              <w:right w:type="dxa" w:w="60"/>
            </w:tcMar>
          </w:tcPr>
          <w:p>
            <w:pPr>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486150"/>
                          </a:xfrm>
                          <a:prstGeom prst="rect">
                            <a:avLst/>
                          </a:prstGeom>
                        </pic:spPr>
                      </pic:pic>
                    </a:graphicData>
                  </a:graphic>
                </wp:inline>
              </w:drawing>
            </w:r>
          </w:p>
        </w:tc>
      </w:tr>
    </w:tbl>
    <w:p>
      <w:pPr>
        <w:spacing w:after="40"/>
      </w:pPr>
    </w:p>
    <w:p>
      <w:pPr>
        <w:spacing w:after="180"/>
        <w:jc w:val="center"/>
      </w:pPr>
      <w:r>
        <w:rPr>
          <w:rFonts w:ascii="Arial" w:cs="Arial" w:eastAsia="Arial" w:hAnsi="Arial"/>
          <w:i/>
          <w:iCs/>
          <w:color w:val="808080"/>
          <w:sz w:val="18"/>
          <w:szCs w:val="18"/>
        </w:rPr>
        <w:t xml:space="preserve">The public app — legend categories, consolidated on-street row, and the lot list.</w:t>
      </w:r>
    </w:p>
    <w:p>
      <w:pPr>
        <w:pStyle w:val="ListParagraph"/>
        <w:numPr>
          <w:ilvl w:val="0"/>
          <w:numId w:val="1"/>
        </w:numPr>
        <w:spacing w:after="60"/>
      </w:pPr>
      <w:r>
        <w:rPr>
          <w:rFonts w:ascii="Arial" w:cs="Arial" w:eastAsia="Arial" w:hAnsi="Arial"/>
          <w:b/>
          <w:bCs/>
          <w:color w:val="2B2B2B"/>
          <w:sz w:val="21"/>
          <w:szCs w:val="21"/>
        </w:rPr>
        <w:t xml:space="preserve">Stack: </w:t>
      </w:r>
      <w:r>
        <w:rPr>
          <w:rFonts w:ascii="Arial" w:cs="Arial" w:eastAsia="Arial" w:hAnsi="Arial"/>
          <w:color w:val="2B2B2B"/>
          <w:sz w:val="21"/>
          <w:szCs w:val="21"/>
        </w:rPr>
        <w:t xml:space="preserve">React 19 · TypeScript · Vite 7 · ArcGIS JS SDK v5 — hooks only, no state library</w:t>
      </w:r>
    </w:p>
    <w:p>
      <w:pPr>
        <w:pStyle w:val="ListParagraph"/>
        <w:numPr>
          <w:ilvl w:val="0"/>
          <w:numId w:val="1"/>
        </w:numPr>
        <w:spacing w:after="60"/>
      </w:pPr>
      <w:r>
        <w:rPr>
          <w:rFonts w:ascii="Arial" w:cs="Arial" w:eastAsia="Arial" w:hAnsi="Arial"/>
          <w:b/>
          <w:bCs/>
          <w:color w:val="2B2B2B"/>
          <w:sz w:val="21"/>
          <w:szCs w:val="21"/>
        </w:rPr>
        <w:t xml:space="preserve">Hidden layouts: </w:t>
      </w:r>
      <w:r>
        <w:rPr>
          <w:rFonts w:ascii="Consolas" w:cs="Consolas" w:eastAsia="Consolas" w:hAnsi="Consolas"/>
          <w:color w:val="2B2B2B"/>
          <w:sz w:val="19"/>
          <w:szCs w:val="19"/>
        </w:rPr>
        <w:t xml:space="preserve">#/explorer</w:t>
      </w:r>
      <w:r>
        <w:rPr>
          <w:rFonts w:ascii="Arial" w:cs="Arial" w:eastAsia="Arial" w:hAnsi="Arial"/>
          <w:color w:val="2B2B2B"/>
          <w:sz w:val="21"/>
          <w:szCs w:val="21"/>
        </w:rPr>
        <w:t xml:space="preserve"> and </w:t>
      </w:r>
      <w:r>
        <w:rPr>
          <w:rFonts w:ascii="Consolas" w:cs="Consolas" w:eastAsia="Consolas" w:hAnsi="Consolas"/>
          <w:color w:val="2B2B2B"/>
          <w:sz w:val="19"/>
          <w:szCs w:val="19"/>
        </w:rPr>
        <w:t xml:space="preserve">#/directory</w:t>
      </w:r>
      <w:r>
        <w:rPr>
          <w:rFonts w:ascii="Arial" w:cs="Arial" w:eastAsia="Arial" w:hAnsi="Arial"/>
          <w:color w:val="2B2B2B"/>
          <w:sz w:val="21"/>
          <w:szCs w:val="21"/>
        </w:rPr>
        <w:t xml:space="preserve"> exist for internal comparison only — nothing links to them</w:t>
      </w:r>
    </w:p>
    <w:p>
      <w:pPr>
        <w:pStyle w:val="ListParagraph"/>
        <w:numPr>
          <w:ilvl w:val="0"/>
          <w:numId w:val="1"/>
        </w:numPr>
        <w:spacing w:after="60"/>
      </w:pPr>
      <w:r>
        <w:rPr>
          <w:rFonts w:ascii="Arial" w:cs="Arial" w:eastAsia="Arial" w:hAnsi="Arial"/>
          <w:b/>
          <w:bCs/>
          <w:color w:val="2B2B2B"/>
          <w:sz w:val="21"/>
          <w:szCs w:val="21"/>
        </w:rPr>
        <w:t xml:space="preserve">Stale copy: </w:t>
      </w:r>
      <w:r>
        <w:rPr>
          <w:rFonts w:ascii="Arial" w:cs="Arial" w:eastAsia="Arial" w:hAnsi="Arial"/>
          <w:color w:val="2B2B2B"/>
          <w:sz w:val="21"/>
          <w:szCs w:val="21"/>
        </w:rPr>
        <w:t xml:space="preserve">the nested </w:t>
      </w:r>
      <w:r>
        <w:rPr>
          <w:rFonts w:ascii="Consolas" w:cs="Consolas" w:eastAsia="Consolas" w:hAnsi="Consolas"/>
          <w:color w:val="2B2B2B"/>
          <w:sz w:val="19"/>
          <w:szCs w:val="19"/>
        </w:rPr>
        <w:t xml:space="preserve">lagrange-parking/</w:t>
      </w:r>
      <w:r>
        <w:rPr>
          <w:rFonts w:ascii="Arial" w:cs="Arial" w:eastAsia="Arial" w:hAnsi="Arial"/>
          <w:color w:val="2B2B2B"/>
          <w:sz w:val="21"/>
          <w:szCs w:val="21"/>
        </w:rPr>
        <w:t xml:space="preserve"> folder is an old duplicate — never touch it</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D9D9D9" w:sz="4"/>
              <w:left w:val="single" w:color="D9D9D9" w:sz="4"/>
              <w:bottom w:val="single" w:color="D9D9D9" w:sz="4"/>
              <w:right w:val="single" w:color="D9D9D9" w:sz="4"/>
            </w:tcBorders>
            <w:shd w:fill="0B7285" w:val="clear"/>
            <w:tcMar>
              <w:top w:type="dxa" w:w="80"/>
              <w:left w:type="dxa" w:w="120"/>
              <w:bottom w:type="dxa" w:w="80"/>
              <w:right w:type="dxa" w:w="120"/>
            </w:tcMar>
          </w:tcPr>
          <w:p>
            <w:r>
              <w:rPr>
                <w:rFonts w:ascii="Arial" w:cs="Arial" w:eastAsia="Arial" w:hAnsi="Arial"/>
                <w:b/>
                <w:bCs/>
                <w:color w:val="FFFFFF"/>
                <w:sz w:val="20"/>
                <w:szCs w:val="20"/>
              </w:rPr>
              <w:t xml:space="preserve">Read this…</w:t>
            </w:r>
          </w:p>
        </w:tc>
        <w:tc>
          <w:tcPr>
            <w:tcW w:type="pct" w:w="65%"/>
            <w:tcBorders>
              <w:top w:val="single" w:color="D9D9D9" w:sz="4"/>
              <w:left w:val="single" w:color="D9D9D9" w:sz="4"/>
              <w:bottom w:val="single" w:color="D9D9D9" w:sz="4"/>
              <w:right w:val="single" w:color="D9D9D9" w:sz="4"/>
            </w:tcBorders>
            <w:shd w:fill="0B7285" w:val="clear"/>
            <w:tcMar>
              <w:top w:type="dxa" w:w="80"/>
              <w:left w:type="dxa" w:w="120"/>
              <w:bottom w:type="dxa" w:w="80"/>
              <w:right w:type="dxa" w:w="120"/>
            </w:tcMar>
          </w:tcPr>
          <w:p>
            <w:r>
              <w:rPr>
                <w:rFonts w:ascii="Arial" w:cs="Arial" w:eastAsia="Arial" w:hAnsi="Arial"/>
                <w:b/>
                <w:bCs/>
                <w:color w:val="FFFFFF"/>
                <w:sz w:val="20"/>
                <w:szCs w:val="20"/>
              </w:rPr>
              <w:t xml:space="preserve">…when you need</w:t>
            </w:r>
          </w:p>
        </w:tc>
      </w:tr>
      <w:tr>
        <w:tc>
          <w:tcPr>
            <w:tcW w:type="pct" w:w="35%"/>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19"/>
                <w:szCs w:val="19"/>
              </w:rPr>
              <w:t xml:space="preserve">docs/PROJECT-CONTEXT.md</w:t>
            </w:r>
          </w:p>
        </w:tc>
        <w:tc>
          <w:tcPr>
            <w:tcW w:type="pct" w:w="65%"/>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Who the client is, content rules, dated "Current state" block</w:t>
            </w:r>
          </w:p>
        </w:tc>
      </w:tr>
      <w:tr>
        <w:tc>
          <w:tcPr>
            <w:tcW w:type="pct" w:w="35%"/>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docs/DATA.md</w:t>
            </w:r>
          </w:p>
        </w:tc>
        <w:tc>
          <w:tcPr>
            <w:tcW w:type="pct" w:w="65%"/>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Data pipeline + every known data defect the app works around</w:t>
            </w:r>
          </w:p>
        </w:tc>
      </w:tr>
      <w:tr>
        <w:tc>
          <w:tcPr>
            <w:tcW w:type="pct" w:w="35%"/>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19"/>
                <w:szCs w:val="19"/>
              </w:rPr>
              <w:t xml:space="preserve">docs/BACKLOG.md</w:t>
            </w:r>
          </w:p>
        </w:tc>
        <w:tc>
          <w:tcPr>
            <w:tcW w:type="pct" w:w="65%"/>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Open items — check before changing behaviour</w:t>
            </w:r>
          </w:p>
        </w:tc>
      </w:tr>
      <w:tr>
        <w:tc>
          <w:tcPr>
            <w:tcW w:type="pct" w:w="35%"/>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CLAUDE.md</w:t>
            </w:r>
            <w:r>
              <w:rPr>
                <w:rFonts w:ascii="Arial" w:cs="Arial" w:eastAsia="Arial" w:hAnsi="Arial"/>
                <w:color w:val="2B2B2B"/>
                <w:sz w:val="21"/>
                <w:szCs w:val="21"/>
              </w:rPr>
              <w:t xml:space="preserve">  ·  </w:t>
            </w:r>
            <w:r>
              <w:rPr>
                <w:rFonts w:ascii="Consolas" w:cs="Consolas" w:eastAsia="Consolas" w:hAnsi="Consolas"/>
                <w:color w:val="2B2B2B"/>
                <w:sz w:val="19"/>
                <w:szCs w:val="19"/>
              </w:rPr>
              <w:t xml:space="preserve">DEPLOY.md</w:t>
            </w:r>
          </w:p>
        </w:tc>
        <w:tc>
          <w:tcPr>
            <w:tcW w:type="pct" w:w="65%"/>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Condensed working notes · deploy runbook</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9%"/>
            <w:tcBorders>
              <w:top w:val="none" w:color="FFFFFF" w:sz="0"/>
              <w:left w:val="none" w:color="FFFFFF" w:sz="0"/>
              <w:bottom w:val="none" w:color="FFFFFF" w:sz="0"/>
              <w:right w:val="none" w:color="FFFFFF" w:sz="0"/>
            </w:tcBorders>
            <w:shd w:fill="731A27" w:val="clear"/>
            <w:tcMar>
              <w:top w:type="dxa" w:w="120"/>
              <w:left w:type="dxa" w:w="60"/>
              <w:bottom w:type="dxa" w:w="120"/>
              <w:right w:type="dxa" w:w="60"/>
            </w:tcMar>
            <w:vAlign w:val="center"/>
          </w:tcPr>
          <w:p>
            <w:pPr>
              <w:jc w:val="center"/>
            </w:pPr>
            <w:r>
              <w:rPr>
                <w:rFonts w:ascii="Arial" w:cs="Arial" w:eastAsia="Arial" w:hAnsi="Arial"/>
                <w:b/>
                <w:bCs/>
                <w:color w:val="FFFFFF"/>
                <w:sz w:val="40"/>
                <w:szCs w:val="40"/>
              </w:rPr>
              <w:t xml:space="preserve">2</w:t>
            </w:r>
          </w:p>
        </w:tc>
        <w:tc>
          <w:tcPr>
            <w:tcW w:type="pct" w:w="91%"/>
            <w:tcBorders>
              <w:top w:val="none" w:color="FFFFFF" w:sz="0"/>
              <w:left w:val="none" w:color="FFFFFF" w:sz="0"/>
              <w:bottom w:val="none" w:color="FFFFFF" w:sz="0"/>
              <w:right w:val="none" w:color="FFFFFF" w:sz="0"/>
            </w:tcBorders>
            <w:shd w:fill="A62639" w:val="clear"/>
            <w:tcMar>
              <w:top w:type="dxa" w:w="160"/>
              <w:left w:type="dxa" w:w="240"/>
              <w:bottom w:type="dxa" w:w="160"/>
              <w:right w:type="dxa" w:w="240"/>
            </w:tcMar>
            <w:vAlign w:val="center"/>
          </w:tcPr>
          <w:p>
            <w:r>
              <w:rPr>
                <w:rFonts w:ascii="Arial" w:cs="Arial" w:eastAsia="Arial" w:hAnsi="Arial"/>
                <w:b/>
                <w:bCs/>
                <w:color w:val="FFFFFF"/>
                <w:sz w:val="28"/>
                <w:szCs w:val="28"/>
              </w:rPr>
              <w:t xml:space="preserve">Content Rules — Non-Negotiable</w:t>
            </w:r>
          </w:p>
        </w:tc>
      </w:tr>
    </w:tbl>
    <w:p>
      <w:pPr>
        <w:spacing w:after="120"/>
      </w:pPr>
    </w:p>
    <w:p>
      <w:pPr>
        <w:pStyle w:val="Heading1"/>
        <w:spacing w:after="120" w:before="200"/>
      </w:pPr>
      <w:r>
        <w:rPr>
          <w:rFonts w:ascii="Arial" w:cs="Arial" w:eastAsia="Arial" w:hAnsi="Arial"/>
          <w:b/>
          <w:bCs/>
          <w:color w:val="A62639"/>
          <w:sz w:val="26"/>
          <w:szCs w:val="26"/>
        </w:rPr>
        <w:t xml:space="preserve">2. Content Rules — Non-Negotiable</w:t>
      </w:r>
    </w:p>
    <w:p>
      <w:pPr>
        <w:spacing w:after="120"/>
      </w:pPr>
      <w:r>
        <w:rPr>
          <w:rFonts w:ascii="Arial" w:cs="Arial" w:eastAsia="Arial" w:hAnsi="Arial"/>
          <w:color w:val="2B2B2B"/>
          <w:sz w:val="21"/>
          <w:szCs w:val="21"/>
        </w:rPr>
        <w:t xml:space="preserve">From the Village stakeholder (Charity). Easy to violate by accident — check every change against this table.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single" w:color="538135" w:sz="24"/>
              <w:left w:val="single" w:color="538135" w:sz="6"/>
              <w:bottom w:val="single" w:color="538135" w:sz="6"/>
              <w:right w:val="single" w:color="538135" w:sz="6"/>
            </w:tcBorders>
            <w:shd w:fill="E2EFDA" w:val="clear"/>
            <w:tcMar>
              <w:top w:type="dxa" w:w="100"/>
              <w:left w:type="dxa" w:w="160"/>
              <w:bottom w:type="dxa" w:w="100"/>
              <w:right w:type="dxa" w:w="160"/>
            </w:tcMar>
          </w:tcPr>
          <w:p>
            <w:pPr>
              <w:spacing w:after="100"/>
            </w:pPr>
            <w:r>
              <w:rPr>
                <w:rFonts w:ascii="Arial" w:cs="Arial" w:eastAsia="Arial" w:hAnsi="Arial"/>
                <w:b/>
                <w:bCs/>
                <w:color w:val="538135"/>
                <w:sz w:val="23"/>
                <w:szCs w:val="23"/>
              </w:rPr>
              <w:t xml:space="preserve">✓  DO</w:t>
            </w:r>
          </w:p>
          <w:p>
            <w:pPr>
              <w:spacing w:after="70"/>
            </w:pPr>
            <w:r>
              <w:rPr>
                <w:rFonts w:ascii="Arial" w:cs="Arial" w:eastAsia="Arial" w:hAnsi="Arial"/>
                <w:b/>
                <w:bCs/>
                <w:color w:val="538135"/>
                <w:sz w:val="20"/>
                <w:szCs w:val="20"/>
              </w:rPr>
              <w:t xml:space="preserve">✓ </w:t>
            </w:r>
            <w:r>
              <w:rPr>
                <w:rFonts w:ascii="Arial" w:cs="Arial" w:eastAsia="Arial" w:hAnsi="Arial"/>
                <w:color w:val="2B2B2B"/>
                <w:sz w:val="20"/>
                <w:szCs w:val="20"/>
              </w:rPr>
              <w:t xml:space="preserve">Plain-language guidance: "where you may park"</w:t>
            </w:r>
          </w:p>
          <w:p>
            <w:pPr>
              <w:spacing w:after="70"/>
            </w:pPr>
            <w:r>
              <w:rPr>
                <w:rFonts w:ascii="Arial" w:cs="Arial" w:eastAsia="Arial" w:hAnsi="Arial"/>
                <w:b/>
                <w:bCs/>
                <w:color w:val="538135"/>
                <w:sz w:val="20"/>
                <w:szCs w:val="20"/>
              </w:rPr>
              <w:t xml:space="preserve">✓ </w:t>
            </w:r>
            <w:r>
              <w:rPr>
                <w:rFonts w:ascii="Arial" w:cs="Arial" w:eastAsia="Arial" w:hAnsi="Arial"/>
                <w:color w:val="2B2B2B"/>
                <w:sz w:val="21"/>
                <w:szCs w:val="21"/>
              </w:rPr>
              <w:t xml:space="preserve">Treat </w:t>
            </w:r>
            <w:r>
              <w:rPr>
                <w:rFonts w:ascii="Arial" w:cs="Arial" w:eastAsia="Arial" w:hAnsi="Arial"/>
                <w:b/>
                <w:bCs/>
                <w:color w:val="2B2B2B"/>
                <w:sz w:val="21"/>
                <w:szCs w:val="21"/>
              </w:rPr>
              <w:t xml:space="preserve">tab.areaIds</w:t>
            </w:r>
            <w:r>
              <w:rPr>
                <w:rFonts w:ascii="Arial" w:cs="Arial" w:eastAsia="Arial" w:hAnsi="Arial"/>
                <w:color w:val="2B2B2B"/>
                <w:sz w:val="21"/>
                <w:szCs w:val="21"/>
              </w:rPr>
              <w:t xml:space="preserve"> as the Village’s verbatim, binding lot list</w:t>
            </w:r>
          </w:p>
          <w:p>
            <w:pPr>
              <w:spacing w:after="70"/>
            </w:pPr>
            <w:r>
              <w:rPr>
                <w:rFonts w:ascii="Arial" w:cs="Arial" w:eastAsia="Arial" w:hAnsi="Arial"/>
                <w:b/>
                <w:bCs/>
                <w:color w:val="538135"/>
                <w:sz w:val="20"/>
                <w:szCs w:val="20"/>
              </w:rPr>
              <w:t xml:space="preserve">✓ </w:t>
            </w:r>
            <w:r>
              <w:rPr>
                <w:rFonts w:ascii="Arial" w:cs="Arial" w:eastAsia="Arial" w:hAnsi="Arial"/>
                <w:color w:val="2B2B2B"/>
                <w:sz w:val="20"/>
                <w:szCs w:val="20"/>
              </w:rPr>
              <w:t xml:space="preserve">Keep per-lot cards minimal — the sidebar "What you need to know" is the star</w:t>
            </w:r>
          </w:p>
          <w:p>
            <w:pPr>
              <w:spacing w:after="70"/>
            </w:pPr>
            <w:r>
              <w:rPr>
                <w:rFonts w:ascii="Arial" w:cs="Arial" w:eastAsia="Arial" w:hAnsi="Arial"/>
                <w:b/>
                <w:bCs/>
                <w:color w:val="538135"/>
                <w:sz w:val="20"/>
                <w:szCs w:val="20"/>
              </w:rPr>
              <w:t xml:space="preserve">✓ </w:t>
            </w:r>
            <w:r>
              <w:rPr>
                <w:rFonts w:ascii="Arial" w:cs="Arial" w:eastAsia="Arial" w:hAnsi="Arial"/>
                <w:color w:val="2B2B2B"/>
                <w:sz w:val="20"/>
                <w:szCs w:val="20"/>
              </w:rPr>
              <w:t xml:space="preserve">Get stakeholder sign-off before adding attribute rows back</w:t>
            </w:r>
          </w:p>
        </w:tc>
        <w:tc>
          <w:tcPr>
            <w:tcW w:type="pct" w:w="50%"/>
            <w:tcBorders>
              <w:top w:val="single" w:color="C00000" w:sz="24"/>
              <w:left w:val="single" w:color="C00000" w:sz="6"/>
              <w:bottom w:val="single" w:color="C00000" w:sz="6"/>
              <w:right w:val="single" w:color="C00000" w:sz="6"/>
            </w:tcBorders>
            <w:shd w:fill="FBE4E4" w:val="clear"/>
            <w:tcMar>
              <w:top w:type="dxa" w:w="100"/>
              <w:left w:type="dxa" w:w="160"/>
              <w:bottom w:type="dxa" w:w="100"/>
              <w:right w:type="dxa" w:w="160"/>
            </w:tcMar>
          </w:tcPr>
          <w:p>
            <w:pPr>
              <w:spacing w:after="100"/>
            </w:pPr>
            <w:r>
              <w:rPr>
                <w:rFonts w:ascii="Arial" w:cs="Arial" w:eastAsia="Arial" w:hAnsi="Arial"/>
                <w:b/>
                <w:bCs/>
                <w:color w:val="C00000"/>
                <w:sz w:val="23"/>
                <w:szCs w:val="23"/>
              </w:rPr>
              <w:t xml:space="preserve">✗  DON'T</w:t>
            </w:r>
          </w:p>
          <w:p>
            <w:pPr>
              <w:spacing w:after="70"/>
            </w:pPr>
            <w:r>
              <w:rPr>
                <w:rFonts w:ascii="Arial" w:cs="Arial" w:eastAsia="Arial" w:hAnsi="Arial"/>
                <w:b/>
                <w:bCs/>
                <w:color w:val="C00000"/>
                <w:sz w:val="20"/>
                <w:szCs w:val="20"/>
              </w:rPr>
              <w:t xml:space="preserve">✗ </w:t>
            </w:r>
            <w:r>
              <w:rPr>
                <w:rFonts w:ascii="Arial" w:cs="Arial" w:eastAsia="Arial" w:hAnsi="Arial"/>
                <w:color w:val="2B2B2B"/>
                <w:sz w:val="20"/>
                <w:szCs w:val="20"/>
              </w:rPr>
              <w:t xml:space="preserve">Pricing — RATE_TEXT / RATE_MONTHLY are populated but banned</w:t>
            </w:r>
          </w:p>
          <w:p>
            <w:pPr>
              <w:spacing w:after="70"/>
            </w:pPr>
            <w:r>
              <w:rPr>
                <w:rFonts w:ascii="Arial" w:cs="Arial" w:eastAsia="Arial" w:hAnsi="Arial"/>
                <w:b/>
                <w:bCs/>
                <w:color w:val="C00000"/>
                <w:sz w:val="20"/>
                <w:szCs w:val="20"/>
              </w:rPr>
              <w:t xml:space="preserve">✗ </w:t>
            </w:r>
            <w:r>
              <w:rPr>
                <w:rFonts w:ascii="Arial" w:cs="Arial" w:eastAsia="Arial" w:hAnsi="Arial"/>
                <w:color w:val="2B2B2B"/>
                <w:sz w:val="20"/>
                <w:szCs w:val="20"/>
              </w:rPr>
              <w:t xml:space="preserve">"Decal" — survives only as internal RULETYPE codes</w:t>
            </w:r>
          </w:p>
          <w:p>
            <w:pPr>
              <w:spacing w:after="70"/>
            </w:pPr>
            <w:r>
              <w:rPr>
                <w:rFonts w:ascii="Arial" w:cs="Arial" w:eastAsia="Arial" w:hAnsi="Arial"/>
                <w:b/>
                <w:bCs/>
                <w:color w:val="C00000"/>
                <w:sz w:val="20"/>
                <w:szCs w:val="20"/>
              </w:rPr>
              <w:t xml:space="preserve">✗ </w:t>
            </w:r>
            <w:r>
              <w:rPr>
                <w:rFonts w:ascii="Arial" w:cs="Arial" w:eastAsia="Arial" w:hAnsi="Arial"/>
                <w:color w:val="2B2B2B"/>
                <w:sz w:val="20"/>
                <w:szCs w:val="20"/>
              </w:rPr>
              <w:t xml:space="preserve">Ordinance / legalese text</w:t>
            </w:r>
          </w:p>
          <w:p>
            <w:pPr>
              <w:spacing w:after="70"/>
            </w:pPr>
            <w:r>
              <w:rPr>
                <w:rFonts w:ascii="Arial" w:cs="Arial" w:eastAsia="Arial" w:hAnsi="Arial"/>
                <w:b/>
                <w:bCs/>
                <w:color w:val="C00000"/>
                <w:sz w:val="20"/>
                <w:szCs w:val="20"/>
              </w:rPr>
              <w:t xml:space="preserve">✗ </w:t>
            </w:r>
            <w:r>
              <w:rPr>
                <w:rFonts w:ascii="Arial" w:cs="Arial" w:eastAsia="Arial" w:hAnsi="Arial"/>
                <w:color w:val="2B2B2B"/>
                <w:sz w:val="20"/>
                <w:szCs w:val="20"/>
              </w:rPr>
              <w:t xml:space="preserve">Data-derived lot lists replacing the Village’s list</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45309" w:sz="6"/>
              <w:left w:val="single" w:color="B45309" w:sz="24"/>
              <w:bottom w:val="single" w:color="B45309" w:sz="6"/>
              <w:right w:val="single" w:color="B45309" w:sz="6"/>
            </w:tcBorders>
            <w:shd w:fill="FFF3DC" w:val="clear"/>
            <w:tcMar>
              <w:top w:type="dxa" w:w="140"/>
              <w:left w:type="dxa" w:w="240"/>
              <w:bottom w:type="dxa" w:w="140"/>
              <w:right w:type="dxa" w:w="240"/>
            </w:tcMar>
          </w:tcPr>
          <w:p>
            <w:pPr>
              <w:spacing w:after="80"/>
            </w:pPr>
            <w:r>
              <w:rPr>
                <w:rFonts w:ascii="Arial" w:cs="Arial" w:eastAsia="Arial" w:hAnsi="Arial"/>
                <w:b/>
                <w:bCs/>
                <w:color w:val="B45309"/>
                <w:sz w:val="21"/>
                <w:szCs w:val="21"/>
              </w:rPr>
              <w:t xml:space="preserve">⚠  Several "bugs" are decisions, not bugs</w:t>
            </w:r>
          </w:p>
          <w:p>
            <w:pPr>
              <w:spacing w:after="120"/>
            </w:pPr>
            <w:r>
              <w:rPr>
                <w:rFonts w:ascii="Arial" w:cs="Arial" w:eastAsia="Arial" w:hAnsi="Arial"/>
                <w:color w:val="2B2B2B"/>
                <w:sz w:val="21"/>
                <w:szCs w:val="21"/>
              </w:rPr>
              <w:t xml:space="preserve">Lots with empty detail cards, 5 lint errors on main, odd RULETYPE values — all known, with decisions recorded in </w:t>
            </w:r>
            <w:r>
              <w:rPr>
                <w:rFonts w:ascii="Consolas" w:cs="Consolas" w:eastAsia="Consolas" w:hAnsi="Consolas"/>
                <w:color w:val="2B2B2B"/>
                <w:sz w:val="19"/>
                <w:szCs w:val="19"/>
              </w:rPr>
              <w:t xml:space="preserve">docs/BACKLOG.md</w:t>
            </w:r>
            <w:r>
              <w:rPr>
                <w:rFonts w:ascii="Arial" w:cs="Arial" w:eastAsia="Arial" w:hAnsi="Arial"/>
                <w:color w:val="2B2B2B"/>
                <w:sz w:val="21"/>
                <w:szCs w:val="21"/>
              </w:rPr>
              <w:t xml:space="preserve">. Read it before changing behaviour.</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9%"/>
            <w:tcBorders>
              <w:top w:val="none" w:color="FFFFFF" w:sz="0"/>
              <w:left w:val="none" w:color="FFFFFF" w:sz="0"/>
              <w:bottom w:val="none" w:color="FFFFFF" w:sz="0"/>
              <w:right w:val="none" w:color="FFFFFF" w:sz="0"/>
            </w:tcBorders>
            <w:shd w:fill="1F5421" w:val="clear"/>
            <w:tcMar>
              <w:top w:type="dxa" w:w="120"/>
              <w:left w:type="dxa" w:w="60"/>
              <w:bottom w:type="dxa" w:w="120"/>
              <w:right w:type="dxa" w:w="60"/>
            </w:tcMar>
            <w:vAlign w:val="center"/>
          </w:tcPr>
          <w:p>
            <w:pPr>
              <w:jc w:val="center"/>
            </w:pPr>
            <w:r>
              <w:rPr>
                <w:rFonts w:ascii="Arial" w:cs="Arial" w:eastAsia="Arial" w:hAnsi="Arial"/>
                <w:b/>
                <w:bCs/>
                <w:color w:val="FFFFFF"/>
                <w:sz w:val="40"/>
                <w:szCs w:val="40"/>
              </w:rPr>
              <w:t xml:space="preserve">3</w:t>
            </w:r>
          </w:p>
        </w:tc>
        <w:tc>
          <w:tcPr>
            <w:tcW w:type="pct" w:w="91%"/>
            <w:tcBorders>
              <w:top w:val="none" w:color="FFFFFF" w:sz="0"/>
              <w:left w:val="none" w:color="FFFFFF" w:sz="0"/>
              <w:bottom w:val="none" w:color="FFFFFF" w:sz="0"/>
              <w:right w:val="none" w:color="FFFFFF" w:sz="0"/>
            </w:tcBorders>
            <w:shd w:fill="2F7D32" w:val="clear"/>
            <w:tcMar>
              <w:top w:type="dxa" w:w="160"/>
              <w:left w:type="dxa" w:w="240"/>
              <w:bottom w:type="dxa" w:w="160"/>
              <w:right w:type="dxa" w:w="240"/>
            </w:tcMar>
            <w:vAlign w:val="center"/>
          </w:tcPr>
          <w:p>
            <w:r>
              <w:rPr>
                <w:rFonts w:ascii="Arial" w:cs="Arial" w:eastAsia="Arial" w:hAnsi="Arial"/>
                <w:b/>
                <w:bCs/>
                <w:color w:val="FFFFFF"/>
                <w:sz w:val="28"/>
                <w:szCs w:val="28"/>
              </w:rPr>
              <w:t xml:space="preserve">Common Edits — Recipes</w:t>
            </w:r>
          </w:p>
        </w:tc>
      </w:tr>
    </w:tbl>
    <w:p>
      <w:pPr>
        <w:spacing w:after="120"/>
      </w:pPr>
    </w:p>
    <w:p>
      <w:pPr>
        <w:pStyle w:val="Heading1"/>
        <w:spacing w:after="120" w:before="200"/>
      </w:pPr>
      <w:r>
        <w:rPr>
          <w:rFonts w:ascii="Arial" w:cs="Arial" w:eastAsia="Arial" w:hAnsi="Arial"/>
          <w:b/>
          <w:bCs/>
          <w:color w:val="2F7D32"/>
          <w:sz w:val="26"/>
          <w:szCs w:val="26"/>
        </w:rPr>
        <w:t xml:space="preserve">3. Common Edits — Recipes</w:t>
      </w:r>
    </w:p>
    <w:p>
      <w:pPr>
        <w:spacing w:after="120"/>
      </w:pPr>
      <w:r>
        <w:rPr>
          <w:rFonts w:ascii="Arial" w:cs="Arial" w:eastAsia="Arial" w:hAnsi="Arial"/>
          <w:color w:val="2B2B2B"/>
          <w:sz w:val="21"/>
          <w:szCs w:val="21"/>
        </w:rPr>
        <w:t xml:space="preserve">Every recipe is a JSON edit — no component changes. Dev: save + hard-reload. Production: deploy (Chapter 6). Property reference: </w:t>
      </w:r>
      <w:r>
        <w:rPr>
          <w:rFonts w:ascii="Consolas" w:cs="Consolas" w:eastAsia="Consolas" w:hAnsi="Consolas"/>
          <w:color w:val="2B2B2B"/>
          <w:sz w:val="19"/>
          <w:szCs w:val="19"/>
        </w:rPr>
        <w:t xml:space="preserve">src/config/types.ts</w:t>
      </w:r>
      <w:r>
        <w:rPr>
          <w:rFonts w:ascii="Arial" w:cs="Arial" w:eastAsia="Arial" w:hAnsi="Arial"/>
          <w:color w:val="2B2B2B"/>
          <w:sz w:val="21"/>
          <w:szCs w:val="21"/>
        </w:rPr>
        <w:t xml:space="preserve">.</w:t>
      </w:r>
    </w:p>
    <w:p>
      <w:pPr>
        <w:pStyle w:val="Heading2"/>
        <w:spacing w:after="100" w:before="280"/>
      </w:pPr>
      <w:r>
        <w:rPr>
          <w:rFonts w:ascii="Arial" w:cs="Arial" w:eastAsia="Arial" w:hAnsi="Arial"/>
          <w:b/>
          <w:bCs/>
          <w:color w:val="2F7D32"/>
          <w:sz w:val="23"/>
          <w:szCs w:val="23"/>
        </w:rPr>
        <w:t xml:space="preserve">3.1 — Change sidebar text on a permit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rial" w:cs="Arial" w:eastAsia="Arial" w:hAnsi="Arial"/>
                <w:b/>
                <w:bCs/>
                <w:color w:val="FFFFFF"/>
                <w:sz w:val="19"/>
                <w:szCs w:val="19"/>
              </w:rPr>
              <w:t xml:space="preserve">File</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Consolas" w:cs="Consolas" w:eastAsia="Consolas" w:hAnsi="Consolas"/>
                <w:color w:val="2B2B2B"/>
                <w:sz w:val="19"/>
                <w:szCs w:val="19"/>
              </w:rPr>
              <w:t xml:space="preserve">lagrange-permit.json</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rial" w:cs="Arial" w:eastAsia="Arial" w:hAnsi="Arial"/>
                <w:b/>
                <w:bCs/>
                <w:color w:val="FFFFFF"/>
                <w:sz w:val="19"/>
                <w:szCs w:val="19"/>
              </w:rPr>
              <w:t xml:space="preserve">Edit</w:t>
            </w:r>
          </w:p>
        </w:tc>
        <w:tc>
          <w:tcPr>
            <w:tcW w:type="pct" w:w="86%"/>
            <w:tcBorders>
              <w:top w:val="single" w:color="D9D9D9" w:sz="4"/>
              <w:left w:val="single" w:color="D9D9D9" w:sz="4"/>
              <w:bottom w:val="single" w:color="D9D9D9" w:sz="4"/>
              <w:right w:val="single" w:color="D9D9D9" w:sz="4"/>
            </w:tcBorders>
            <w:shd w:fill="F2F7FB" w:val="clear"/>
            <w:tcMar>
              <w:top w:type="dxa" w:w="70"/>
              <w:left w:type="dxa" w:w="120"/>
              <w:bottom w:type="dxa" w:w="70"/>
              <w:right w:type="dxa" w:w="120"/>
            </w:tcMar>
          </w:tcPr>
          <w:p>
            <w:r>
              <w:rPr>
                <w:rFonts w:ascii="Arial" w:cs="Arial" w:eastAsia="Arial" w:hAnsi="Arial"/>
                <w:color w:val="2B2B2B"/>
                <w:sz w:val="21"/>
                <w:szCs w:val="21"/>
              </w:rPr>
              <w:t xml:space="preserve">Find the tab by </w:t>
            </w:r>
            <w:r>
              <w:rPr>
                <w:rFonts w:ascii="Consolas" w:cs="Consolas" w:eastAsia="Consolas" w:hAnsi="Consolas"/>
                <w:color w:val="2B2B2B"/>
                <w:sz w:val="19"/>
                <w:szCs w:val="19"/>
              </w:rPr>
              <w:t xml:space="preserve">id</w:t>
            </w:r>
            <w:r>
              <w:rPr>
                <w:rFonts w:ascii="Arial" w:cs="Arial" w:eastAsia="Arial" w:hAnsi="Arial"/>
                <w:color w:val="2B2B2B"/>
                <w:sz w:val="21"/>
                <w:szCs w:val="21"/>
              </w:rPr>
              <w:t xml:space="preserve"> → edit </w:t>
            </w:r>
            <w:r>
              <w:rPr>
                <w:rFonts w:ascii="Consolas" w:cs="Consolas" w:eastAsia="Consolas" w:hAnsi="Consolas"/>
                <w:color w:val="2B2B2B"/>
                <w:sz w:val="19"/>
                <w:szCs w:val="19"/>
              </w:rPr>
              <w:t xml:space="preserve">guide.sections</w:t>
            </w:r>
            <w:r>
              <w:rPr>
                <w:rFonts w:ascii="Arial" w:cs="Arial" w:eastAsia="Arial" w:hAnsi="Arial"/>
                <w:color w:val="2B2B2B"/>
                <w:sz w:val="21"/>
                <w:szCs w:val="21"/>
              </w:rPr>
              <w:t xml:space="preserve"> bullets (support nested </w:t>
            </w:r>
            <w:r>
              <w:rPr>
                <w:rFonts w:ascii="Consolas" w:cs="Consolas" w:eastAsia="Consolas" w:hAnsi="Consolas"/>
                <w:color w:val="2B2B2B"/>
                <w:sz w:val="19"/>
                <w:szCs w:val="19"/>
              </w:rPr>
              <w:t xml:space="preserve">items</w:t>
            </w:r>
            <w:r>
              <w:rPr>
                <w:rFonts w:ascii="Arial" w:cs="Arial" w:eastAsia="Arial" w:hAnsi="Arial"/>
                <w:color w:val="2B2B2B"/>
                <w:sz w:val="21"/>
                <w:szCs w:val="21"/>
              </w:rPr>
              <w:t xml:space="preserve"> + </w:t>
            </w:r>
            <w:r>
              <w:rPr>
                <w:rFonts w:ascii="Consolas" w:cs="Consolas" w:eastAsia="Consolas" w:hAnsi="Consolas"/>
                <w:color w:val="2B2B2B"/>
                <w:sz w:val="19"/>
                <w:szCs w:val="19"/>
              </w:rPr>
              <w:t xml:space="preserve">links</w:t>
            </w:r>
            <w:r>
              <w:rPr>
                <w:rFonts w:ascii="Arial" w:cs="Arial" w:eastAsia="Arial" w:hAnsi="Arial"/>
                <w:color w:val="2B2B2B"/>
                <w:sz w:val="21"/>
                <w:szCs w:val="21"/>
              </w:rPr>
              <w:t xml:space="preserve">)</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rial" w:cs="Arial" w:eastAsia="Arial" w:hAnsi="Arial"/>
                <w:b/>
                <w:bCs/>
                <w:color w:val="FFFFFF"/>
                <w:sz w:val="19"/>
                <w:szCs w:val="19"/>
              </w:rPr>
              <w:t xml:space="preserve">Verify</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Arial" w:cs="Arial" w:eastAsia="Arial" w:hAnsi="Arial"/>
                <w:color w:val="2B2B2B"/>
                <w:sz w:val="21"/>
                <w:szCs w:val="21"/>
              </w:rPr>
              <w:t xml:space="preserve">Hard-reload, read the page</w:t>
            </w:r>
          </w:p>
        </w:tc>
      </w:tr>
    </w:tbl>
    <w:p>
      <w:pPr>
        <w:spacing w:after="180"/>
        <w:jc w:val="center"/>
      </w:pPr>
      <w:r>
        <w:rPr>
          <w:rFonts w:ascii="Arial" w:cs="Arial" w:eastAsia="Arial" w:hAnsi="Arial"/>
          <w:i/>
          <w:iCs/>
          <w:color w:val="808080"/>
          <w:sz w:val="18"/>
          <w:szCs w:val="18"/>
        </w:rPr>
        <w:t xml:space="preserve">Example: adding "Effective October 1st, …" to two resident bullets was a one-line edit each.</w:t>
      </w:r>
    </w:p>
    <w:p>
      <w:pPr>
        <w:pStyle w:val="Heading2"/>
        <w:spacing w:after="100" w:before="280"/>
      </w:pPr>
      <w:r>
        <w:rPr>
          <w:rFonts w:ascii="Arial" w:cs="Arial" w:eastAsia="Arial" w:hAnsi="Arial"/>
          <w:b/>
          <w:bCs/>
          <w:color w:val="2F7D32"/>
          <w:sz w:val="23"/>
          <w:szCs w:val="23"/>
        </w:rPr>
        <w:t xml:space="preserve">3.2 — Add / remove a lot on a permit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rial" w:cs="Arial" w:eastAsia="Arial" w:hAnsi="Arial"/>
                <w:b/>
                <w:bCs/>
                <w:color w:val="FFFFFF"/>
                <w:sz w:val="19"/>
                <w:szCs w:val="19"/>
              </w:rPr>
              <w:t xml:space="preserve">File</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Consolas" w:cs="Consolas" w:eastAsia="Consolas" w:hAnsi="Consolas"/>
                <w:color w:val="2B2B2B"/>
                <w:sz w:val="19"/>
                <w:szCs w:val="19"/>
              </w:rPr>
              <w:t xml:space="preserve">lagrange-permit.json</w:t>
            </w:r>
            <w:r>
              <w:rPr>
                <w:rFonts w:ascii="Arial" w:cs="Arial" w:eastAsia="Arial" w:hAnsi="Arial"/>
                <w:color w:val="2B2B2B"/>
                <w:sz w:val="21"/>
                <w:szCs w:val="21"/>
              </w:rPr>
              <w:t xml:space="preserve">  →  the tab’s </w:t>
            </w:r>
            <w:r>
              <w:rPr>
                <w:rFonts w:ascii="Consolas" w:cs="Consolas" w:eastAsia="Consolas" w:hAnsi="Consolas"/>
                <w:color w:val="2B2B2B"/>
                <w:sz w:val="19"/>
                <w:szCs w:val="19"/>
              </w:rPr>
              <w:t xml:space="preserve">areaIds</w:t>
            </w:r>
            <w:r>
              <w:rPr>
                <w:rFonts w:ascii="Arial" w:cs="Arial" w:eastAsia="Arial" w:hAnsi="Arial"/>
                <w:color w:val="2B2B2B"/>
                <w:sz w:val="21"/>
                <w:szCs w:val="21"/>
              </w:rPr>
              <w:t xml:space="preserve"> array</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rial" w:cs="Arial" w:eastAsia="Arial" w:hAnsi="Arial"/>
                <w:b/>
                <w:bCs/>
                <w:color w:val="FFFFFF"/>
                <w:sz w:val="19"/>
                <w:szCs w:val="19"/>
              </w:rPr>
              <w:t xml:space="preserve">Also</w:t>
            </w:r>
          </w:p>
        </w:tc>
        <w:tc>
          <w:tcPr>
            <w:tcW w:type="pct" w:w="86%"/>
            <w:tcBorders>
              <w:top w:val="single" w:color="D9D9D9" w:sz="4"/>
              <w:left w:val="single" w:color="D9D9D9" w:sz="4"/>
              <w:bottom w:val="single" w:color="D9D9D9" w:sz="4"/>
              <w:right w:val="single" w:color="D9D9D9" w:sz="4"/>
            </w:tcBorders>
            <w:shd w:fill="F2F7FB" w:val="clear"/>
            <w:tcMar>
              <w:top w:type="dxa" w:w="70"/>
              <w:left w:type="dxa" w:w="120"/>
              <w:bottom w:type="dxa" w:w="70"/>
              <w:right w:type="dxa" w:w="120"/>
            </w:tcMar>
          </w:tcPr>
          <w:p>
            <w:r>
              <w:rPr>
                <w:rFonts w:ascii="Arial" w:cs="Arial" w:eastAsia="Arial" w:hAnsi="Arial"/>
                <w:color w:val="2B2B2B"/>
                <w:sz w:val="21"/>
                <w:szCs w:val="21"/>
              </w:rPr>
              <w:t xml:space="preserve">Update guide text if it names lots ("valid anywhere within Lot 2 and Lot 4")</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rial" w:cs="Arial" w:eastAsia="Arial" w:hAnsi="Arial"/>
                <w:b/>
                <w:bCs/>
                <w:color w:val="FFFFFF"/>
                <w:sz w:val="19"/>
                <w:szCs w:val="19"/>
              </w:rPr>
              <w:t xml:space="preserve">Verify</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Consolas" w:cs="Consolas" w:eastAsia="Consolas" w:hAnsi="Consolas"/>
                <w:color w:val="2B2B2B"/>
                <w:sz w:val="19"/>
                <w:szCs w:val="19"/>
              </w:rPr>
              <w:t xml:space="preserve">node scripts/verify-permit-pages.mjs</w:t>
            </w:r>
            <w:r>
              <w:rPr>
                <w:rFonts w:ascii="Arial" w:cs="Arial" w:eastAsia="Arial" w:hAnsi="Arial"/>
                <w:color w:val="2B2B2B"/>
                <w:sz w:val="21"/>
                <w:szCs w:val="21"/>
              </w:rPr>
              <w:t xml:space="preserve"> — every id must resolve</w:t>
            </w:r>
          </w:p>
        </w:tc>
      </w:tr>
    </w:tbl>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45309" w:sz="6"/>
              <w:left w:val="single" w:color="B45309" w:sz="24"/>
              <w:bottom w:val="single" w:color="B45309" w:sz="6"/>
              <w:right w:val="single" w:color="B45309" w:sz="6"/>
            </w:tcBorders>
            <w:shd w:fill="FFF3DC" w:val="clear"/>
            <w:tcMar>
              <w:top w:type="dxa" w:w="140"/>
              <w:left w:type="dxa" w:w="240"/>
              <w:bottom w:type="dxa" w:w="140"/>
              <w:right w:type="dxa" w:w="240"/>
            </w:tcMar>
          </w:tcPr>
          <w:p>
            <w:pPr>
              <w:spacing w:after="80"/>
            </w:pPr>
            <w:r>
              <w:rPr>
                <w:rFonts w:ascii="Arial" w:cs="Arial" w:eastAsia="Arial" w:hAnsi="Arial"/>
                <w:b/>
                <w:bCs/>
                <w:color w:val="B45309"/>
                <w:sz w:val="21"/>
                <w:szCs w:val="21"/>
              </w:rPr>
              <w:t xml:space="preserve">⚠  The lot must also pass the layer baseWhere</w:t>
            </w:r>
          </w:p>
          <w:p>
            <w:pPr>
              <w:spacing w:after="120"/>
            </w:pPr>
            <w:r>
              <w:rPr>
                <w:rFonts w:ascii="Arial" w:cs="Arial" w:eastAsia="Arial" w:hAnsi="Arial"/>
                <w:color w:val="2B2B2B"/>
                <w:sz w:val="21"/>
                <w:szCs w:val="21"/>
              </w:rPr>
              <w:t xml:space="preserve">Permit app filter: </w:t>
            </w:r>
            <w:r>
              <w:rPr>
                <w:rFonts w:ascii="Consolas" w:cs="Consolas" w:eastAsia="Consolas" w:hAnsi="Consolas"/>
                <w:color w:val="2B2B2B"/>
                <w:sz w:val="19"/>
                <w:szCs w:val="19"/>
              </w:rPr>
              <w:t xml:space="preserve">USERCLASS = 'PERMIT'</w:t>
            </w:r>
            <w:r>
              <w:rPr>
                <w:rFonts w:ascii="Arial" w:cs="Arial" w:eastAsia="Arial" w:hAnsi="Arial"/>
                <w:color w:val="2B2B2B"/>
                <w:sz w:val="21"/>
                <w:szCs w:val="21"/>
              </w:rPr>
              <w:t xml:space="preserve">. A VISITOR-class lot will be listed but never draw — check with an anonymous query first (Chapter 4).</w:t>
            </w:r>
          </w:p>
        </w:tc>
      </w:tr>
    </w:tbl>
    <w:p>
      <w:pPr>
        <w:spacing w:after="120"/>
      </w:pPr>
    </w:p>
    <w:p>
      <w:pPr>
        <w:pStyle w:val="Heading2"/>
        <w:spacing w:after="100" w:before="280"/>
      </w:pPr>
      <w:r>
        <w:rPr>
          <w:rFonts w:ascii="Arial" w:cs="Arial" w:eastAsia="Arial" w:hAnsi="Arial"/>
          <w:b/>
          <w:bCs/>
          <w:color w:val="2F7D32"/>
          <w:sz w:val="23"/>
          <w:szCs w:val="23"/>
        </w:rPr>
        <w:t xml:space="preserve">3.3 — Rename a lot / add a note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rial" w:cs="Arial" w:eastAsia="Arial" w:hAnsi="Arial"/>
                <w:b/>
                <w:bCs/>
                <w:color w:val="FFFFFF"/>
                <w:sz w:val="19"/>
                <w:szCs w:val="19"/>
              </w:rPr>
              <w:t xml:space="preserve">Rename</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Consolas" w:cs="Consolas" w:eastAsia="Consolas" w:hAnsi="Consolas"/>
                <w:color w:val="2B2B2B"/>
                <w:sz w:val="19"/>
                <w:szCs w:val="19"/>
              </w:rPr>
              <w:t xml:space="preserve">profile.nameOverrides</w:t>
            </w:r>
            <w:r>
              <w:rPr>
                <w:rFonts w:ascii="Arial" w:cs="Arial" w:eastAsia="Arial" w:hAnsi="Arial"/>
                <w:color w:val="2B2B2B"/>
                <w:sz w:val="21"/>
                <w:szCs w:val="21"/>
              </w:rPr>
              <w:t xml:space="preserve"> keyed by AREAID — e.g. </w:t>
            </w:r>
            <w:r>
              <w:rPr>
                <w:rFonts w:ascii="Consolas" w:cs="Consolas" w:eastAsia="Consolas" w:hAnsi="Consolas"/>
                <w:color w:val="2B2B2B"/>
                <w:sz w:val="19"/>
                <w:szCs w:val="19"/>
              </w:rPr>
              <w:t xml:space="preserve">"VILLAGEHALLPARKINGSTRUCTURE": "VH Garage"</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rial" w:cs="Arial" w:eastAsia="Arial" w:hAnsi="Arial"/>
                <w:b/>
                <w:bCs/>
                <w:color w:val="FFFFFF"/>
                <w:sz w:val="19"/>
                <w:szCs w:val="19"/>
              </w:rPr>
              <w:t xml:space="preserve">Note</w:t>
            </w:r>
          </w:p>
        </w:tc>
        <w:tc>
          <w:tcPr>
            <w:tcW w:type="pct" w:w="86%"/>
            <w:tcBorders>
              <w:top w:val="single" w:color="D9D9D9" w:sz="4"/>
              <w:left w:val="single" w:color="D9D9D9" w:sz="4"/>
              <w:bottom w:val="single" w:color="D9D9D9" w:sz="4"/>
              <w:right w:val="single" w:color="D9D9D9" w:sz="4"/>
            </w:tcBorders>
            <w:shd w:fill="F2F7FB" w:val="clear"/>
            <w:tcMar>
              <w:top w:type="dxa" w:w="70"/>
              <w:left w:type="dxa" w:w="120"/>
              <w:bottom w:type="dxa" w:w="70"/>
              <w:right w:type="dxa" w:w="120"/>
            </w:tcMar>
          </w:tcPr>
          <w:p>
            <w:r>
              <w:rPr>
                <w:rFonts w:ascii="Consolas" w:cs="Consolas" w:eastAsia="Consolas" w:hAnsi="Consolas"/>
                <w:color w:val="2B2B2B"/>
                <w:sz w:val="19"/>
                <w:szCs w:val="19"/>
              </w:rPr>
              <w:t xml:space="preserve">tab.note</w:t>
            </w:r>
            <w:r>
              <w:rPr>
                <w:rFonts w:ascii="Arial" w:cs="Arial" w:eastAsia="Arial" w:hAnsi="Arial"/>
                <w:color w:val="2B2B2B"/>
                <w:sz w:val="21"/>
                <w:szCs w:val="21"/>
              </w:rPr>
              <w:t xml:space="preserve"> (every card) · </w:t>
            </w:r>
            <w:r>
              <w:rPr>
                <w:rFonts w:ascii="Consolas" w:cs="Consolas" w:eastAsia="Consolas" w:hAnsi="Consolas"/>
                <w:color w:val="2B2B2B"/>
                <w:sz w:val="19"/>
                <w:szCs w:val="19"/>
              </w:rPr>
              <w:t xml:space="preserve">tab.lotNotes</w:t>
            </w:r>
            <w:r>
              <w:rPr>
                <w:rFonts w:ascii="Arial" w:cs="Arial" w:eastAsia="Arial" w:hAnsi="Arial"/>
                <w:color w:val="2B2B2B"/>
                <w:sz w:val="21"/>
                <w:szCs w:val="21"/>
              </w:rPr>
              <w:t xml:space="preserve"> (per lot) · </w:t>
            </w:r>
            <w:r>
              <w:rPr>
                <w:rFonts w:ascii="Consolas" w:cs="Consolas" w:eastAsia="Consolas" w:hAnsi="Consolas"/>
                <w:color w:val="2B2B2B"/>
                <w:sz w:val="19"/>
                <w:szCs w:val="19"/>
              </w:rPr>
              <w:t xml:space="preserve">tab.lotSubzoneNotes</w:t>
            </w:r>
            <w:r>
              <w:rPr>
                <w:rFonts w:ascii="Arial" w:cs="Arial" w:eastAsia="Arial" w:hAnsi="Arial"/>
                <w:color w:val="2B2B2B"/>
                <w:sz w:val="21"/>
                <w:szCs w:val="21"/>
              </w:rPr>
              <w:t xml:space="preserve"> (green callout style)</w:t>
            </w:r>
          </w:p>
        </w:tc>
      </w:tr>
    </w:tbl>
    <w:p>
      <w:pPr>
        <w:pStyle w:val="Heading2"/>
        <w:spacing w:after="100" w:before="280"/>
      </w:pPr>
      <w:r>
        <w:rPr>
          <w:rFonts w:ascii="Arial" w:cs="Arial" w:eastAsia="Arial" w:hAnsi="Arial"/>
          <w:b/>
          <w:bCs/>
          <w:color w:val="2F7D32"/>
          <w:sz w:val="23"/>
          <w:szCs w:val="23"/>
        </w:rPr>
        <w:t xml:space="preserve">3.4 — Designated spaces inside a lot</w:t>
      </w:r>
    </w:p>
    <w:p>
      <w:pPr>
        <w:spacing w:after="120"/>
      </w:pPr>
      <w:r>
        <w:rPr>
          <w:rFonts w:ascii="Arial" w:cs="Arial" w:eastAsia="Arial" w:hAnsi="Arial"/>
          <w:color w:val="2B2B2B"/>
          <w:sz w:val="21"/>
          <w:szCs w:val="21"/>
        </w:rPr>
        <w:t xml:space="preserve">Two mechanisms — the same lot can use either, per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tcBorders>
              <w:top w:val="single" w:color="D9D9D9" w:sz="4"/>
              <w:left w:val="single" w:color="D9D9D9" w:sz="4"/>
              <w:bottom w:val="single" w:color="D9D9D9" w:sz="4"/>
              <w:right w:val="single" w:color="D9D9D9" w:sz="4"/>
            </w:tcBorders>
            <w:shd w:fill="2F7D32" w:val="clear"/>
            <w:tcMar>
              <w:top w:type="dxa" w:w="80"/>
              <w:left w:type="dxa" w:w="120"/>
              <w:bottom w:type="dxa" w:w="80"/>
              <w:right w:type="dxa" w:w="120"/>
            </w:tcMar>
          </w:tcPr>
          <w:p>
            <w:r>
              <w:rPr>
                <w:rFonts w:ascii="Arial" w:cs="Arial" w:eastAsia="Arial" w:hAnsi="Arial"/>
                <w:b/>
                <w:bCs/>
                <w:color w:val="FFFFFF"/>
                <w:sz w:val="20"/>
                <w:szCs w:val="20"/>
              </w:rPr>
              <w:t xml:space="preserve">Mechanism</w:t>
            </w:r>
          </w:p>
        </w:tc>
        <w:tc>
          <w:tcPr>
            <w:tcW w:type="pct" w:w="45%"/>
            <w:tcBorders>
              <w:top w:val="single" w:color="D9D9D9" w:sz="4"/>
              <w:left w:val="single" w:color="D9D9D9" w:sz="4"/>
              <w:bottom w:val="single" w:color="D9D9D9" w:sz="4"/>
              <w:right w:val="single" w:color="D9D9D9" w:sz="4"/>
            </w:tcBorders>
            <w:shd w:fill="2F7D32" w:val="clear"/>
            <w:tcMar>
              <w:top w:type="dxa" w:w="80"/>
              <w:left w:type="dxa" w:w="120"/>
              <w:bottom w:type="dxa" w:w="80"/>
              <w:right w:type="dxa" w:w="120"/>
            </w:tcMar>
          </w:tcPr>
          <w:p>
            <w:r>
              <w:rPr>
                <w:rFonts w:ascii="Arial" w:cs="Arial" w:eastAsia="Arial" w:hAnsi="Arial"/>
                <w:b/>
                <w:bCs/>
                <w:color w:val="FFFFFF"/>
                <w:sz w:val="20"/>
                <w:szCs w:val="20"/>
              </w:rPr>
              <w:t xml:space="preserve">What it draws</w:t>
            </w:r>
          </w:p>
        </w:tc>
        <w:tc>
          <w:tcPr>
            <w:tcW w:type="pct" w:w="35%"/>
            <w:tcBorders>
              <w:top w:val="single" w:color="D9D9D9" w:sz="4"/>
              <w:left w:val="single" w:color="D9D9D9" w:sz="4"/>
              <w:bottom w:val="single" w:color="D9D9D9" w:sz="4"/>
              <w:right w:val="single" w:color="D9D9D9" w:sz="4"/>
            </w:tcBorders>
            <w:shd w:fill="2F7D32" w:val="clear"/>
            <w:tcMar>
              <w:top w:type="dxa" w:w="80"/>
              <w:left w:type="dxa" w:w="120"/>
              <w:bottom w:type="dxa" w:w="80"/>
              <w:right w:type="dxa" w:w="120"/>
            </w:tcMar>
          </w:tcPr>
          <w:p>
            <w:r>
              <w:rPr>
                <w:rFonts w:ascii="Arial" w:cs="Arial" w:eastAsia="Arial" w:hAnsi="Arial"/>
                <w:b/>
                <w:bCs/>
                <w:color w:val="FFFFFF"/>
                <w:sz w:val="20"/>
                <w:szCs w:val="20"/>
              </w:rPr>
              <w:t xml:space="preserve">Turned on by</w:t>
            </w:r>
          </w:p>
        </w:tc>
      </w:tr>
      <w:tr>
        <w:tc>
          <w:tcPr>
            <w:tcW w:type="pct" w:w="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bCs/>
                <w:color w:val="2B2B2B"/>
                <w:sz w:val="21"/>
                <w:szCs w:val="21"/>
              </w:rPr>
              <w:t xml:space="preserve">Subzones</w:t>
            </w:r>
          </w:p>
        </w:tc>
        <w:tc>
          <w:tcPr>
            <w:tcW w:type="pct" w:w="45%"/>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Resident overnight bands (hosted subzone layer)</w:t>
            </w:r>
          </w:p>
        </w:tc>
        <w:tc>
          <w:tcPr>
            <w:tcW w:type="pct" w:w="35%"/>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19"/>
                <w:szCs w:val="19"/>
              </w:rPr>
              <w:t xml:space="preserve">tab.showSubzones: true</w:t>
            </w:r>
          </w:p>
        </w:tc>
      </w:tr>
      <w:tr>
        <w:tc>
          <w:tcPr>
            <w:tcW w:type="pct" w:w="2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b/>
                <w:bCs/>
                <w:color w:val="2B2B2B"/>
                <w:sz w:val="21"/>
                <w:szCs w:val="21"/>
              </w:rPr>
              <w:t xml:space="preserve">Overlay layers</w:t>
            </w:r>
          </w:p>
        </w:tc>
        <w:tc>
          <w:tcPr>
            <w:tcW w:type="pct" w:w="45%"/>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Any filtered polygon (e.g. Lot 5 CBD employee rows)</w:t>
            </w:r>
          </w:p>
        </w:tc>
        <w:tc>
          <w:tcPr>
            <w:tcW w:type="pct" w:w="35%"/>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overlayLayers[]</w:t>
            </w:r>
            <w:r>
              <w:rPr>
                <w:rFonts w:ascii="Arial" w:cs="Arial" w:eastAsia="Arial" w:hAnsi="Arial"/>
                <w:color w:val="2B2B2B"/>
                <w:sz w:val="21"/>
                <w:szCs w:val="21"/>
              </w:rPr>
              <w:t xml:space="preserve"> + </w:t>
            </w:r>
            <w:r>
              <w:rPr>
                <w:rFonts w:ascii="Consolas" w:cs="Consolas" w:eastAsia="Consolas" w:hAnsi="Consolas"/>
                <w:color w:val="2B2B2B"/>
                <w:sz w:val="19"/>
                <w:szCs w:val="19"/>
              </w:rPr>
              <w:t xml:space="preserve">showForAreaId</w:t>
            </w:r>
            <w:r>
              <w:rPr>
                <w:rFonts w:ascii="Arial" w:cs="Arial" w:eastAsia="Arial" w:hAnsi="Arial"/>
                <w:color w:val="2B2B2B"/>
                <w:sz w:val="21"/>
                <w:szCs w:val="21"/>
              </w:rPr>
              <w:t xml:space="preserve"> + </w:t>
            </w:r>
            <w:r>
              <w:rPr>
                <w:rFonts w:ascii="Consolas" w:cs="Consolas" w:eastAsia="Consolas" w:hAnsi="Consolas"/>
                <w:color w:val="2B2B2B"/>
                <w:sz w:val="19"/>
                <w:szCs w:val="19"/>
              </w:rPr>
              <w:t xml:space="preserve">showForTabIds</w:t>
            </w:r>
          </w:p>
        </w:tc>
      </w:tr>
    </w:tbl>
    <w:p>
      <w:pPr>
        <w:spacing w:after="60"/>
      </w:pP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single" w:color="C9C9C9" w:sz="4"/>
              <w:left w:val="single" w:color="C9C9C9" w:sz="4"/>
              <w:bottom w:val="single" w:color="C9C9C9" w:sz="4"/>
              <w:right w:val="single" w:color="C9C9C9" w:sz="4"/>
            </w:tcBorders>
            <w:tcMar>
              <w:top w:type="dxa" w:w="60"/>
              <w:left w:type="dxa" w:w="60"/>
              <w:bottom w:type="dxa" w:w="60"/>
              <w:right w:type="dxa" w:w="60"/>
            </w:tcMar>
          </w:tcPr>
          <w:p>
            <w:pPr>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486150"/>
                          </a:xfrm>
                          <a:prstGeom prst="rect">
                            <a:avLst/>
                          </a:prstGeom>
                        </pic:spPr>
                      </pic:pic>
                    </a:graphicData>
                  </a:graphic>
                </wp:inline>
              </w:drawing>
            </w:r>
          </w:p>
        </w:tc>
      </w:tr>
    </w:tbl>
    <w:p>
      <w:pPr>
        <w:spacing w:after="40"/>
      </w:pPr>
    </w:p>
    <w:p>
      <w:pPr>
        <w:spacing w:after="180"/>
        <w:jc w:val="center"/>
      </w:pPr>
      <w:r>
        <w:rPr>
          <w:rFonts w:ascii="Arial" w:cs="Arial" w:eastAsia="Arial" w:hAnsi="Arial"/>
          <w:i/>
          <w:iCs/>
          <w:color w:val="808080"/>
          <w:sz w:val="18"/>
          <w:szCs w:val="18"/>
        </w:rPr>
        <w:t xml:space="preserve">Same lot, page 1: Resident Overnight — green subzone bands mark the only spaces valid overnight.</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single" w:color="C9C9C9" w:sz="4"/>
              <w:left w:val="single" w:color="C9C9C9" w:sz="4"/>
              <w:bottom w:val="single" w:color="C9C9C9" w:sz="4"/>
              <w:right w:val="single" w:color="C9C9C9" w:sz="4"/>
            </w:tcBorders>
            <w:tcMar>
              <w:top w:type="dxa" w:w="60"/>
              <w:left w:type="dxa" w:w="60"/>
              <w:bottom w:type="dxa" w:w="60"/>
              <w:right w:type="dxa" w:w="60"/>
            </w:tcMar>
          </w:tcPr>
          <w:p>
            <w:pPr>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3486150"/>
                          </a:xfrm>
                          <a:prstGeom prst="rect">
                            <a:avLst/>
                          </a:prstGeom>
                        </pic:spPr>
                      </pic:pic>
                    </a:graphicData>
                  </a:graphic>
                </wp:inline>
              </w:drawing>
            </w:r>
          </w:p>
        </w:tc>
      </w:tr>
    </w:tbl>
    <w:p>
      <w:pPr>
        <w:spacing w:after="40"/>
      </w:pPr>
    </w:p>
    <w:p>
      <w:pPr>
        <w:spacing w:after="180"/>
        <w:jc w:val="center"/>
      </w:pPr>
      <w:r>
        <w:rPr>
          <w:rFonts w:ascii="Arial" w:cs="Arial" w:eastAsia="Arial" w:hAnsi="Arial"/>
          <w:i/>
          <w:iCs/>
          <w:color w:val="808080"/>
          <w:sz w:val="18"/>
          <w:szCs w:val="18"/>
        </w:rPr>
        <w:t xml:space="preserve">Same lot, page 2: Employees — the CBD rows overlay draws instead (showForTabIds: ["employees"]).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45309" w:sz="6"/>
              <w:left w:val="single" w:color="B45309" w:sz="24"/>
              <w:bottom w:val="single" w:color="B45309" w:sz="6"/>
              <w:right w:val="single" w:color="B45309" w:sz="6"/>
            </w:tcBorders>
            <w:shd w:fill="FFF3DC" w:val="clear"/>
            <w:tcMar>
              <w:top w:type="dxa" w:w="140"/>
              <w:left w:type="dxa" w:w="240"/>
              <w:bottom w:type="dxa" w:w="140"/>
              <w:right w:type="dxa" w:w="240"/>
            </w:tcMar>
          </w:tcPr>
          <w:p>
            <w:pPr>
              <w:spacing w:after="80"/>
            </w:pPr>
            <w:r>
              <w:rPr>
                <w:rFonts w:ascii="Arial" w:cs="Arial" w:eastAsia="Arial" w:hAnsi="Arial"/>
                <w:b/>
                <w:bCs/>
                <w:color w:val="B45309"/>
                <w:sz w:val="21"/>
                <w:szCs w:val="21"/>
              </w:rPr>
              <w:t xml:space="preserve">⚠  Absence of green is ambiguous — and it fails quiet</w:t>
            </w:r>
          </w:p>
          <w:p>
            <w:pPr>
              <w:pStyle w:val="ListParagraph"/>
              <w:numPr>
                <w:ilvl w:val="0"/>
                <w:numId w:val="1"/>
              </w:numPr>
              <w:spacing w:after="60"/>
            </w:pPr>
            <w:r>
              <w:rPr>
                <w:rFonts w:ascii="Arial" w:cs="Arial" w:eastAsia="Arial" w:hAnsi="Arial"/>
                <w:color w:val="2B2B2B"/>
                <w:sz w:val="21"/>
                <w:szCs w:val="21"/>
              </w:rPr>
              <w:t xml:space="preserve">Only permitted areas were digitized: "no bands" can mean "not permitted" or "not drawn yet" (VH Garage, Lot 15)</w:t>
            </w:r>
          </w:p>
          <w:p>
            <w:pPr>
              <w:pStyle w:val="ListParagraph"/>
              <w:numPr>
                <w:ilvl w:val="0"/>
                <w:numId w:val="1"/>
              </w:numPr>
              <w:spacing w:after="60"/>
            </w:pPr>
            <w:r>
              <w:rPr>
                <w:rFonts w:ascii="Arial" w:cs="Arial" w:eastAsia="Arial" w:hAnsi="Arial"/>
                <w:color w:val="2B2B2B"/>
                <w:sz w:val="21"/>
                <w:szCs w:val="21"/>
              </w:rPr>
              <w:t xml:space="preserve">The "park only in the highlighted areas" sentence must stay gated by useSubzoneAreaIds — never show it unconditionally</w:t>
            </w:r>
          </w:p>
          <w:p>
            <w:pPr>
              <w:pStyle w:val="ListParagraph"/>
              <w:numPr>
                <w:ilvl w:val="0"/>
                <w:numId w:val="1"/>
              </w:numPr>
              <w:spacing w:after="60"/>
            </w:pPr>
            <w:r>
              <w:rPr>
                <w:rFonts w:ascii="Arial" w:cs="Arial" w:eastAsia="Arial" w:hAnsi="Arial"/>
                <w:color w:val="2B2B2B"/>
                <w:sz w:val="21"/>
                <w:szCs w:val="21"/>
              </w:rPr>
              <w:t xml:space="preserve">If the subzone service stops answering anonymously, every band and note silently disappears (docs/DATA.md §3.6)</w:t>
            </w:r>
          </w:p>
        </w:tc>
      </w:tr>
    </w:tbl>
    <w:p>
      <w:pPr>
        <w:spacing w:after="120"/>
      </w:pPr>
    </w:p>
    <w:p>
      <w:pPr>
        <w:pStyle w:val="Heading2"/>
        <w:spacing w:after="100" w:before="280"/>
      </w:pPr>
      <w:r>
        <w:rPr>
          <w:rFonts w:ascii="Arial" w:cs="Arial" w:eastAsia="Arial" w:hAnsi="Arial"/>
          <w:b/>
          <w:bCs/>
          <w:color w:val="2F7D32"/>
          <w:sz w:val="23"/>
          <w:szCs w:val="23"/>
        </w:rPr>
        <w:t xml:space="preserve">3.5 — Public map "Availability / Time limit" 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rial" w:cs="Arial" w:eastAsia="Arial" w:hAnsi="Arial"/>
                <w:b/>
                <w:bCs/>
                <w:color w:val="FFFFFF"/>
                <w:sz w:val="19"/>
                <w:szCs w:val="19"/>
              </w:rPr>
              <w:t xml:space="preserve">File</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Consolas" w:cs="Consolas" w:eastAsia="Consolas" w:hAnsi="Consolas"/>
                <w:color w:val="2B2B2B"/>
                <w:sz w:val="19"/>
                <w:szCs w:val="19"/>
              </w:rPr>
              <w:t xml:space="preserve">lagrange-public.json</w:t>
            </w:r>
            <w:r>
              <w:rPr>
                <w:rFonts w:ascii="Arial" w:cs="Arial" w:eastAsia="Arial" w:hAnsi="Arial"/>
                <w:color w:val="2B2B2B"/>
                <w:sz w:val="21"/>
                <w:szCs w:val="21"/>
              </w:rPr>
              <w:t xml:space="preserve">  →  </w:t>
            </w:r>
            <w:r>
              <w:rPr>
                <w:rFonts w:ascii="Consolas" w:cs="Consolas" w:eastAsia="Consolas" w:hAnsi="Consolas"/>
                <w:color w:val="2B2B2B"/>
                <w:sz w:val="19"/>
                <w:szCs w:val="19"/>
              </w:rPr>
              <w:t xml:space="preserve">areaInfo</w:t>
            </w:r>
            <w:r>
              <w:rPr>
                <w:rFonts w:ascii="Arial" w:cs="Arial" w:eastAsia="Arial" w:hAnsi="Arial"/>
                <w:color w:val="2B2B2B"/>
                <w:sz w:val="21"/>
                <w:szCs w:val="21"/>
              </w:rPr>
              <w:t xml:space="preserve"> (per-AREAID overrides — NOT the GIS rules)</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rial" w:cs="Arial" w:eastAsia="Arial" w:hAnsi="Arial"/>
                <w:b/>
                <w:bCs/>
                <w:color w:val="FFFFFF"/>
                <w:sz w:val="19"/>
                <w:szCs w:val="19"/>
              </w:rPr>
              <w:t xml:space="preserve">Edit</w:t>
            </w:r>
          </w:p>
        </w:tc>
        <w:tc>
          <w:tcPr>
            <w:tcW w:type="pct" w:w="86%"/>
            <w:tcBorders>
              <w:top w:val="single" w:color="D9D9D9" w:sz="4"/>
              <w:left w:val="single" w:color="D9D9D9" w:sz="4"/>
              <w:bottom w:val="single" w:color="D9D9D9" w:sz="4"/>
              <w:right w:val="single" w:color="D9D9D9" w:sz="4"/>
            </w:tcBorders>
            <w:shd w:fill="F2F7FB" w:val="clear"/>
            <w:tcMar>
              <w:top w:type="dxa" w:w="70"/>
              <w:left w:type="dxa" w:w="120"/>
              <w:bottom w:type="dxa" w:w="70"/>
              <w:right w:type="dxa" w:w="120"/>
            </w:tcMar>
          </w:tcPr>
          <w:p>
            <w:r>
              <w:rPr>
                <w:rFonts w:ascii="Arial" w:cs="Arial" w:eastAsia="Arial" w:hAnsi="Arial"/>
                <w:color w:val="2B2B2B"/>
                <w:sz w:val="21"/>
                <w:szCs w:val="21"/>
              </w:rPr>
              <w:t xml:space="preserve">Change the </w:t>
            </w:r>
            <w:r>
              <w:rPr>
                <w:rFonts w:ascii="Consolas" w:cs="Consolas" w:eastAsia="Consolas" w:hAnsi="Consolas"/>
                <w:color w:val="2B2B2B"/>
                <w:sz w:val="19"/>
                <w:szCs w:val="19"/>
              </w:rPr>
              <w:t xml:space="preserve">timeLimit</w:t>
            </w:r>
            <w:r>
              <w:rPr>
                <w:rFonts w:ascii="Arial" w:cs="Arial" w:eastAsia="Arial" w:hAnsi="Arial"/>
                <w:color w:val="2B2B2B"/>
                <w:sz w:val="21"/>
                <w:szCs w:val="21"/>
              </w:rPr>
              <w:t xml:space="preserve"> / </w:t>
            </w:r>
            <w:r>
              <w:rPr>
                <w:rFonts w:ascii="Consolas" w:cs="Consolas" w:eastAsia="Consolas" w:hAnsi="Consolas"/>
                <w:color w:val="2B2B2B"/>
                <w:sz w:val="19"/>
                <w:szCs w:val="19"/>
              </w:rPr>
              <w:t xml:space="preserve">availability</w:t>
            </w:r>
            <w:r>
              <w:rPr>
                <w:rFonts w:ascii="Arial" w:cs="Arial" w:eastAsia="Arial" w:hAnsi="Arial"/>
                <w:color w:val="2B2B2B"/>
                <w:sz w:val="21"/>
                <w:szCs w:val="21"/>
              </w:rPr>
              <w:t xml:space="preserve"> strings</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rial" w:cs="Arial" w:eastAsia="Arial" w:hAnsi="Arial"/>
                <w:b/>
                <w:bCs/>
                <w:color w:val="FFFFFF"/>
                <w:sz w:val="19"/>
                <w:szCs w:val="19"/>
              </w:rPr>
              <w:t xml:space="preserve">Flag</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Arial" w:cs="Arial" w:eastAsia="Arial" w:hAnsi="Arial"/>
                <w:color w:val="2B2B2B"/>
                <w:sz w:val="21"/>
                <w:szCs w:val="21"/>
              </w:rPr>
              <w:t xml:space="preserve">Check whether the hosted ParkingRule table needs the same change</w:t>
            </w:r>
          </w:p>
        </w:tc>
      </w:tr>
    </w:tbl>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single" w:color="C9C9C9" w:sz="4"/>
              <w:left w:val="single" w:color="C9C9C9" w:sz="4"/>
              <w:bottom w:val="single" w:color="C9C9C9" w:sz="4"/>
              <w:right w:val="single" w:color="C9C9C9" w:sz="4"/>
            </w:tcBorders>
            <w:tcMar>
              <w:top w:type="dxa" w:w="60"/>
              <w:left w:type="dxa" w:w="60"/>
              <w:bottom w:type="dxa" w:w="60"/>
              <w:right w:type="dxa" w:w="60"/>
            </w:tcMar>
          </w:tcPr>
          <w:p>
            <w:pPr>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486150"/>
                          </a:xfrm>
                          <a:prstGeom prst="rect">
                            <a:avLst/>
                          </a:prstGeom>
                        </pic:spPr>
                      </pic:pic>
                    </a:graphicData>
                  </a:graphic>
                </wp:inline>
              </w:drawing>
            </w:r>
          </w:p>
        </w:tc>
      </w:tr>
    </w:tbl>
    <w:p>
      <w:pPr>
        <w:spacing w:after="40"/>
      </w:pPr>
    </w:p>
    <w:p>
      <w:pPr>
        <w:spacing w:after="180"/>
        <w:jc w:val="center"/>
      </w:pPr>
      <w:r>
        <w:rPr>
          <w:rFonts w:ascii="Arial" w:cs="Arial" w:eastAsia="Arial" w:hAnsi="Arial"/>
          <w:i/>
          <w:iCs/>
          <w:color w:val="808080"/>
          <w:sz w:val="18"/>
          <w:szCs w:val="18"/>
        </w:rPr>
        <w:t xml:space="preserve">Village Hall Surface Lot — these two lines come from profile.areaInfo (e.g. the 3 hr → 4 hr fix, Sept 2026).</w:t>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9%"/>
            <w:tcBorders>
              <w:top w:val="none" w:color="FFFFFF" w:sz="0"/>
              <w:left w:val="none" w:color="FFFFFF" w:sz="0"/>
              <w:bottom w:val="none" w:color="FFFFFF" w:sz="0"/>
              <w:right w:val="none" w:color="FFFFFF" w:sz="0"/>
            </w:tcBorders>
            <w:shd w:fill="3E3370" w:val="clear"/>
            <w:tcMar>
              <w:top w:type="dxa" w:w="120"/>
              <w:left w:type="dxa" w:w="60"/>
              <w:bottom w:type="dxa" w:w="120"/>
              <w:right w:type="dxa" w:w="60"/>
            </w:tcMar>
            <w:vAlign w:val="center"/>
          </w:tcPr>
          <w:p>
            <w:pPr>
              <w:jc w:val="center"/>
            </w:pPr>
            <w:r>
              <w:rPr>
                <w:rFonts w:ascii="Arial" w:cs="Arial" w:eastAsia="Arial" w:hAnsi="Arial"/>
                <w:b/>
                <w:bCs/>
                <w:color w:val="FFFFFF"/>
                <w:sz w:val="40"/>
                <w:szCs w:val="40"/>
              </w:rPr>
              <w:t xml:space="preserve">4</w:t>
            </w:r>
          </w:p>
        </w:tc>
        <w:tc>
          <w:tcPr>
            <w:tcW w:type="pct" w:w="91%"/>
            <w:tcBorders>
              <w:top w:val="none" w:color="FFFFFF" w:sz="0"/>
              <w:left w:val="none" w:color="FFFFFF" w:sz="0"/>
              <w:bottom w:val="none" w:color="FFFFFF" w:sz="0"/>
              <w:right w:val="none" w:color="FFFFFF" w:sz="0"/>
            </w:tcBorders>
            <w:shd w:fill="5B4B9E" w:val="clear"/>
            <w:tcMar>
              <w:top w:type="dxa" w:w="160"/>
              <w:left w:type="dxa" w:w="240"/>
              <w:bottom w:type="dxa" w:w="160"/>
              <w:right w:type="dxa" w:w="240"/>
            </w:tcMar>
            <w:vAlign w:val="center"/>
          </w:tcPr>
          <w:p>
            <w:r>
              <w:rPr>
                <w:rFonts w:ascii="Arial" w:cs="Arial" w:eastAsia="Arial" w:hAnsi="Arial"/>
                <w:b/>
                <w:bCs/>
                <w:color w:val="FFFFFF"/>
                <w:sz w:val="28"/>
                <w:szCs w:val="28"/>
              </w:rPr>
              <w:t xml:space="preserve">The Data</w:t>
            </w:r>
          </w:p>
        </w:tc>
      </w:tr>
    </w:tbl>
    <w:p>
      <w:pPr>
        <w:spacing w:after="120"/>
      </w:pPr>
    </w:p>
    <w:p>
      <w:pPr>
        <w:pStyle w:val="Heading1"/>
        <w:spacing w:after="120" w:before="200"/>
      </w:pPr>
      <w:r>
        <w:rPr>
          <w:rFonts w:ascii="Arial" w:cs="Arial" w:eastAsia="Arial" w:hAnsi="Arial"/>
          <w:b/>
          <w:bCs/>
          <w:color w:val="5B4B9E"/>
          <w:sz w:val="26"/>
          <w:szCs w:val="26"/>
        </w:rPr>
        <w:t xml:space="preserve">4. The Data</w:t>
      </w:r>
    </w:p>
    <w:p>
      <w:pPr>
        <w:spacing w:after="120"/>
      </w:pPr>
      <w:r>
        <w:rPr>
          <w:rFonts w:ascii="Arial" w:cs="Arial" w:eastAsia="Arial" w:hAnsi="Arial"/>
          <w:color w:val="2B2B2B"/>
          <w:sz w:val="21"/>
          <w:szCs w:val="21"/>
        </w:rPr>
        <w:t xml:space="preserve">Both apps read public ArcGIS Online services anonymously. Full model + defects: docs/DATA.md.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D9D9D9" w:sz="4"/>
              <w:left w:val="single" w:color="D9D9D9" w:sz="4"/>
              <w:bottom w:val="single" w:color="D9D9D9" w:sz="4"/>
              <w:right w:val="single" w:color="D9D9D9" w:sz="4"/>
            </w:tcBorders>
            <w:shd w:fill="5B4B9E" w:val="clear"/>
            <w:tcMar>
              <w:top w:type="dxa" w:w="80"/>
              <w:left w:type="dxa" w:w="120"/>
              <w:bottom w:type="dxa" w:w="80"/>
              <w:right w:type="dxa" w:w="120"/>
            </w:tcMar>
          </w:tcPr>
          <w:p>
            <w:r>
              <w:rPr>
                <w:rFonts w:ascii="Arial" w:cs="Arial" w:eastAsia="Arial" w:hAnsi="Arial"/>
                <w:b/>
                <w:bCs/>
                <w:color w:val="FFFFFF"/>
                <w:sz w:val="20"/>
                <w:szCs w:val="20"/>
              </w:rPr>
              <w:t xml:space="preserve">Service (services2.arcgis.com/FwavjPsU0K1YB1vX)</w:t>
            </w:r>
          </w:p>
        </w:tc>
        <w:tc>
          <w:tcPr>
            <w:tcW w:type="pct" w:w="50%"/>
            <w:tcBorders>
              <w:top w:val="single" w:color="D9D9D9" w:sz="4"/>
              <w:left w:val="single" w:color="D9D9D9" w:sz="4"/>
              <w:bottom w:val="single" w:color="D9D9D9" w:sz="4"/>
              <w:right w:val="single" w:color="D9D9D9" w:sz="4"/>
            </w:tcBorders>
            <w:shd w:fill="5B4B9E" w:val="clear"/>
            <w:tcMar>
              <w:top w:type="dxa" w:w="80"/>
              <w:left w:type="dxa" w:w="120"/>
              <w:bottom w:type="dxa" w:w="80"/>
              <w:right w:type="dxa" w:w="120"/>
            </w:tcMar>
          </w:tcPr>
          <w:p>
            <w:r>
              <w:rPr>
                <w:rFonts w:ascii="Arial" w:cs="Arial" w:eastAsia="Arial" w:hAnsi="Arial"/>
                <w:b/>
                <w:bCs/>
                <w:color w:val="FFFFFF"/>
                <w:sz w:val="20"/>
                <w:szCs w:val="20"/>
              </w:rPr>
              <w:t xml:space="preserve">Contains</w:t>
            </w:r>
          </w:p>
        </w:tc>
      </w:tr>
      <w:tr>
        <w:tc>
          <w:tcPr>
            <w:tcW w:type="pct" w:w="5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19"/>
                <w:szCs w:val="19"/>
              </w:rPr>
              <w:t xml:space="preserve">LaGrange_Parking_Permits/FeatureServer/2</w:t>
            </w:r>
          </w:p>
        </w:tc>
        <w:tc>
          <w:tcPr>
            <w:tcW w:type="pct" w:w="5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ParkingArea polygons — AREAID, AREANAME, USERCLASS, HAS* flags</w:t>
            </w:r>
          </w:p>
        </w:tc>
      </w:tr>
      <w:tr>
        <w:tc>
          <w:tcPr>
            <w:tcW w:type="pct" w:w="5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LaGrange_Parking_Permits/FeatureServer/3</w:t>
            </w:r>
          </w:p>
        </w:tc>
        <w:tc>
          <w:tcPr>
            <w:tcW w:type="pct" w:w="5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ParkingRule table — RULETYPE, ENFORCE_TEXT, MAXDURATION</w:t>
            </w:r>
          </w:p>
        </w:tc>
      </w:tr>
      <w:tr>
        <w:tc>
          <w:tcPr>
            <w:tcW w:type="pct" w:w="5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19"/>
                <w:szCs w:val="19"/>
              </w:rPr>
              <w:t xml:space="preserve">LaGrange_Overnight_Resident_Subzones/…/0</w:t>
            </w:r>
          </w:p>
        </w:tc>
        <w:tc>
          <w:tcPr>
            <w:tcW w:type="pct" w:w="5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Designated overnight bands (YES-only digitization)</w:t>
            </w:r>
          </w:p>
        </w:tc>
      </w:tr>
      <w:tr>
        <w:tc>
          <w:tcPr>
            <w:tcW w:type="pct" w:w="5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LaGrangeImportantPlaces_ParkingContext_/…/0</w:t>
            </w:r>
          </w:p>
        </w:tc>
        <w:tc>
          <w:tcPr>
            <w:tcW w:type="pct" w:w="5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Reference polygons — parks, civic, Metra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00000" w:sz="6"/>
              <w:left w:val="single" w:color="C00000" w:sz="24"/>
              <w:bottom w:val="single" w:color="C00000" w:sz="6"/>
              <w:right w:val="single" w:color="C00000" w:sz="6"/>
            </w:tcBorders>
            <w:shd w:fill="FBE4E4" w:val="clear"/>
            <w:tcMar>
              <w:top w:type="dxa" w:w="140"/>
              <w:left w:type="dxa" w:w="240"/>
              <w:bottom w:type="dxa" w:w="140"/>
              <w:right w:type="dxa" w:w="240"/>
            </w:tcMar>
          </w:tcPr>
          <w:p>
            <w:pPr>
              <w:spacing w:after="80"/>
            </w:pPr>
            <w:r>
              <w:rPr>
                <w:rFonts w:ascii="Arial" w:cs="Arial" w:eastAsia="Arial" w:hAnsi="Arial"/>
                <w:b/>
                <w:bCs/>
                <w:color w:val="C00000"/>
                <w:sz w:val="21"/>
                <w:szCs w:val="21"/>
              </w:rPr>
              <w:t xml:space="preserve">⛔  Republishing the service breaks both apps — every time</w:t>
            </w:r>
          </w:p>
          <w:p>
            <w:pPr>
              <w:spacing w:after="120"/>
            </w:pPr>
            <w:r>
              <w:rPr>
                <w:rFonts w:ascii="Arial" w:cs="Arial" w:eastAsia="Arial" w:hAnsi="Arial"/>
                <w:color w:val="2B2B2B"/>
                <w:sz w:val="21"/>
                <w:szCs w:val="21"/>
              </w:rPr>
              <w:t xml:space="preserve">Republishing resets AGOL sharing to org-only → both apps fail with {"code":499, "Token Required"}. After ANY republish: re-share Public, then confirm an untokened query returns a count:</w:t>
            </w:r>
          </w:p>
          <w:p>
            <w:pPr>
              <w:shd w:fill="F4F4F4" w:val="clear"/>
              <w:spacing w:after="120"/>
              <w:ind w:left="288"/>
            </w:pPr>
            <w:r>
              <w:rPr>
                <w:rFonts w:ascii="Consolas" w:cs="Consolas" w:eastAsia="Consolas" w:hAnsi="Consolas"/>
                <w:sz w:val="19"/>
                <w:szCs w:val="19"/>
              </w:rPr>
              <w:t xml:space="preserve">…/FeatureServer/2/query?where=1=1&amp;returnCountOnly=true&amp;f=json</w:t>
            </w:r>
          </w:p>
        </w:tc>
      </w:tr>
    </w:tbl>
    <w:p>
      <w:pPr>
        <w:spacing w:after="120"/>
      </w:pPr>
    </w:p>
    <w:p>
      <w:pPr>
        <w:pStyle w:val="Heading2"/>
        <w:spacing w:after="100" w:before="280"/>
      </w:pPr>
      <w:r>
        <w:rPr>
          <w:rFonts w:ascii="Arial" w:cs="Arial" w:eastAsia="Arial" w:hAnsi="Arial"/>
          <w:b/>
          <w:bCs/>
          <w:color w:val="5B4B9E"/>
          <w:sz w:val="23"/>
          <w:szCs w:val="23"/>
        </w:rPr>
        <w:t xml:space="preserve">Check the data before you edit a profile</w:t>
      </w:r>
    </w:p>
    <w:p>
      <w:pPr>
        <w:shd w:fill="F4F4F4" w:val="clear"/>
        <w:spacing w:after="0"/>
        <w:ind w:left="288"/>
      </w:pPr>
      <w:r>
        <w:rPr>
          <w:rFonts w:ascii="Consolas" w:cs="Consolas" w:eastAsia="Consolas" w:hAnsi="Consolas"/>
          <w:sz w:val="19"/>
          <w:szCs w:val="19"/>
        </w:rPr>
        <w:t xml:space="preserve">node -e 'fetch("https://services2.arcgis.com/FwavjPsU0K1YB1vX/arcgis/rest/services/" +</w:t>
      </w:r>
    </w:p>
    <w:p>
      <w:pPr>
        <w:shd w:fill="F4F4F4" w:val="clear"/>
        <w:spacing w:after="0"/>
        <w:ind w:left="288"/>
      </w:pPr>
      <w:r>
        <w:rPr>
          <w:rFonts w:ascii="Consolas" w:cs="Consolas" w:eastAsia="Consolas" w:hAnsi="Consolas"/>
          <w:sz w:val="19"/>
          <w:szCs w:val="19"/>
        </w:rPr>
        <w:t xml:space="preserve">  "LaGrange_Parking_Permits/FeatureServer/2/query?where=AREAID=%27LOT4%27" +</w:t>
      </w:r>
    </w:p>
    <w:p>
      <w:pPr>
        <w:shd w:fill="F4F4F4" w:val="clear"/>
        <w:spacing w:after="0"/>
        <w:ind w:left="288"/>
      </w:pPr>
      <w:r>
        <w:rPr>
          <w:rFonts w:ascii="Consolas" w:cs="Consolas" w:eastAsia="Consolas" w:hAnsi="Consolas"/>
          <w:sz w:val="19"/>
          <w:szCs w:val="19"/>
        </w:rPr>
        <w:t xml:space="preserve">  "&amp;outFields=AREAID,USERCLASS,HASCBD&amp;returnGeometry=false&amp;f=json")</w:t>
      </w:r>
    </w:p>
    <w:p>
      <w:pPr>
        <w:shd w:fill="F4F4F4" w:val="clear"/>
        <w:spacing w:after="120"/>
        <w:ind w:left="288"/>
      </w:pPr>
      <w:r>
        <w:rPr>
          <w:rFonts w:ascii="Consolas" w:cs="Consolas" w:eastAsia="Consolas" w:hAnsi="Consolas"/>
          <w:sz w:val="19"/>
          <w:szCs w:val="19"/>
        </w:rPr>
        <w:t xml:space="preserve">  .then(r=&gt;r.json()).then(j=&gt;console.log(JSON.stringify(j.features)))'</w:t>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9%"/>
            <w:tcBorders>
              <w:top w:val="none" w:color="FFFFFF" w:sz="0"/>
              <w:left w:val="none" w:color="FFFFFF" w:sz="0"/>
              <w:bottom w:val="none" w:color="FFFFFF" w:sz="0"/>
              <w:right w:val="none" w:color="FFFFFF" w:sz="0"/>
            </w:tcBorders>
            <w:shd w:fill="7C3A06" w:val="clear"/>
            <w:tcMar>
              <w:top w:type="dxa" w:w="120"/>
              <w:left w:type="dxa" w:w="60"/>
              <w:bottom w:type="dxa" w:w="120"/>
              <w:right w:type="dxa" w:w="60"/>
            </w:tcMar>
            <w:vAlign w:val="center"/>
          </w:tcPr>
          <w:p>
            <w:pPr>
              <w:jc w:val="center"/>
            </w:pPr>
            <w:r>
              <w:rPr>
                <w:rFonts w:ascii="Arial" w:cs="Arial" w:eastAsia="Arial" w:hAnsi="Arial"/>
                <w:b/>
                <w:bCs/>
                <w:color w:val="FFFFFF"/>
                <w:sz w:val="40"/>
                <w:szCs w:val="40"/>
              </w:rPr>
              <w:t xml:space="preserve">5</w:t>
            </w:r>
          </w:p>
        </w:tc>
        <w:tc>
          <w:tcPr>
            <w:tcW w:type="pct" w:w="91%"/>
            <w:tcBorders>
              <w:top w:val="none" w:color="FFFFFF" w:sz="0"/>
              <w:left w:val="none" w:color="FFFFFF" w:sz="0"/>
              <w:bottom w:val="none" w:color="FFFFFF" w:sz="0"/>
              <w:right w:val="none" w:color="FFFFFF" w:sz="0"/>
            </w:tcBorders>
            <w:shd w:fill="B45309" w:val="clear"/>
            <w:tcMar>
              <w:top w:type="dxa" w:w="160"/>
              <w:left w:type="dxa" w:w="240"/>
              <w:bottom w:type="dxa" w:w="160"/>
              <w:right w:type="dxa" w:w="240"/>
            </w:tcMar>
            <w:vAlign w:val="center"/>
          </w:tcPr>
          <w:p>
            <w:r>
              <w:rPr>
                <w:rFonts w:ascii="Arial" w:cs="Arial" w:eastAsia="Arial" w:hAnsi="Arial"/>
                <w:b/>
                <w:bCs/>
                <w:color w:val="FFFFFF"/>
                <w:sz w:val="28"/>
                <w:szCs w:val="28"/>
              </w:rPr>
              <w:t xml:space="preserve">Verify Before You Show Anyone</w:t>
            </w:r>
          </w:p>
        </w:tc>
      </w:tr>
    </w:tbl>
    <w:p>
      <w:pPr>
        <w:spacing w:after="120"/>
      </w:pPr>
    </w:p>
    <w:p>
      <w:pPr>
        <w:pStyle w:val="Heading1"/>
        <w:spacing w:after="120" w:before="200"/>
      </w:pPr>
      <w:r>
        <w:rPr>
          <w:rFonts w:ascii="Arial" w:cs="Arial" w:eastAsia="Arial" w:hAnsi="Arial"/>
          <w:b/>
          <w:bCs/>
          <w:color w:val="B45309"/>
          <w:sz w:val="26"/>
          <w:szCs w:val="26"/>
        </w:rPr>
        <w:t xml:space="preserve">5. Verify Before You Show Anyone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2%"/>
            <w:tcBorders>
              <w:top w:val="single" w:color="D9D9D9" w:sz="4"/>
              <w:left w:val="single" w:color="D9D9D9" w:sz="4"/>
              <w:bottom w:val="single" w:color="D9D9D9" w:sz="4"/>
              <w:right w:val="single" w:color="D9D9D9" w:sz="4"/>
            </w:tcBorders>
            <w:shd w:fill="B45309"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pct" w:w="58%"/>
            <w:tcBorders>
              <w:top w:val="single" w:color="D9D9D9" w:sz="4"/>
              <w:left w:val="single" w:color="D9D9D9" w:sz="4"/>
              <w:bottom w:val="single" w:color="D9D9D9" w:sz="4"/>
              <w:right w:val="single" w:color="D9D9D9" w:sz="4"/>
            </w:tcBorders>
            <w:shd w:fill="B45309" w:val="clear"/>
            <w:tcMar>
              <w:top w:type="dxa" w:w="80"/>
              <w:left w:type="dxa" w:w="120"/>
              <w:bottom w:type="dxa" w:w="80"/>
              <w:right w:type="dxa" w:w="120"/>
            </w:tcMar>
          </w:tcPr>
          <w:p>
            <w:r>
              <w:rPr>
                <w:rFonts w:ascii="Arial" w:cs="Arial" w:eastAsia="Arial" w:hAnsi="Arial"/>
                <w:b/>
                <w:bCs/>
                <w:color w:val="FFFFFF"/>
                <w:sz w:val="20"/>
                <w:szCs w:val="20"/>
              </w:rPr>
              <w:t xml:space="preserve">Proves</w:t>
            </w:r>
          </w:p>
        </w:tc>
      </w:tr>
      <w:tr>
        <w:tc>
          <w:tcPr>
            <w:tcW w:type="pct" w:w="4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19"/>
                <w:szCs w:val="19"/>
              </w:rPr>
              <w:t xml:space="preserve">node scripts/verify-permit-pages.mjs</w:t>
            </w:r>
          </w:p>
        </w:tc>
        <w:tc>
          <w:tcPr>
            <w:tcW w:type="pct" w:w="5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Every lot on every permit page resolves + returns rules (NO RULES warnings = known upstream mislabels)</w:t>
            </w:r>
          </w:p>
        </w:tc>
      </w:tr>
      <w:tr>
        <w:tc>
          <w:tcPr>
            <w:tcW w:type="pct" w:w="4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node scripts/verify-basemaps.mjs</w:t>
            </w:r>
          </w:p>
        </w:tc>
        <w:tc>
          <w:tcPr>
            <w:tcW w:type="pct" w:w="5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Each basemap serves a real tile over La Grange (metadata alone lies)</w:t>
            </w:r>
          </w:p>
        </w:tc>
      </w:tr>
      <w:tr>
        <w:tc>
          <w:tcPr>
            <w:tcW w:type="pct" w:w="4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19"/>
                <w:szCs w:val="19"/>
              </w:rPr>
              <w:t xml:space="preserve">node scripts/inspect-service.mjs</w:t>
            </w:r>
          </w:p>
        </w:tc>
        <w:tc>
          <w:tcPr>
            <w:tcW w:type="pct" w:w="5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Schema + value distributions</w:t>
            </w:r>
          </w:p>
        </w:tc>
      </w:tr>
      <w:tr>
        <w:tc>
          <w:tcPr>
            <w:tcW w:type="pct" w:w="4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npm run lint</w:t>
            </w:r>
          </w:p>
        </w:tc>
        <w:tc>
          <w:tcPr>
            <w:tcW w:type="pct" w:w="5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Only NEW errors matter — 5 are pre-existing on main</w:t>
            </w:r>
          </w:p>
        </w:tc>
      </w:tr>
    </w:tbl>
    <w:p>
      <w:pPr>
        <w:spacing w:after="120"/>
      </w:pPr>
    </w:p>
    <w:p>
      <w:pPr>
        <w:pStyle w:val="Heading2"/>
        <w:spacing w:after="100" w:before="280"/>
      </w:pPr>
      <w:r>
        <w:rPr>
          <w:rFonts w:ascii="Arial" w:cs="Arial" w:eastAsia="Arial" w:hAnsi="Arial"/>
          <w:b/>
          <w:bCs/>
          <w:color w:val="B45309"/>
          <w:sz w:val="23"/>
          <w:szCs w:val="23"/>
        </w:rPr>
        <w:t xml:space="preserve">2-minute browser pass</w:t>
      </w:r>
    </w:p>
    <w:p>
      <w:pPr>
        <w:pStyle w:val="ListParagraph"/>
        <w:numPr>
          <w:ilvl w:val="0"/>
          <w:numId w:val="2"/>
        </w:numPr>
        <w:spacing w:after="60"/>
      </w:pPr>
      <w:r>
        <w:rPr>
          <w:rFonts w:ascii="Arial" w:cs="Arial" w:eastAsia="Arial" w:hAnsi="Arial"/>
          <w:color w:val="2B2B2B"/>
          <w:sz w:val="21"/>
          <w:szCs w:val="21"/>
        </w:rPr>
        <w:t xml:space="preserve">Permit app — open all four pages, click one lot on each</w:t>
      </w:r>
    </w:p>
    <w:p>
      <w:pPr>
        <w:pStyle w:val="ListParagraph"/>
        <w:numPr>
          <w:ilvl w:val="0"/>
          <w:numId w:val="2"/>
        </w:numPr>
        <w:spacing w:after="60"/>
      </w:pPr>
      <w:r>
        <w:rPr>
          <w:rFonts w:ascii="Arial" w:cs="Arial" w:eastAsia="Arial" w:hAnsi="Arial"/>
          <w:color w:val="2B2B2B"/>
          <w:sz w:val="21"/>
          <w:szCs w:val="21"/>
        </w:rPr>
        <w:t xml:space="preserve">Lot 5 twice: Resident Overnight → green bands · Employees → CBD rows overlay</w:t>
      </w:r>
    </w:p>
    <w:p>
      <w:pPr>
        <w:pStyle w:val="ListParagraph"/>
        <w:numPr>
          <w:ilvl w:val="0"/>
          <w:numId w:val="2"/>
        </w:numPr>
        <w:spacing w:after="60"/>
      </w:pPr>
      <w:r>
        <w:rPr>
          <w:rFonts w:ascii="Arial" w:cs="Arial" w:eastAsia="Arial" w:hAnsi="Arial"/>
          <w:color w:val="2B2B2B"/>
          <w:sz w:val="21"/>
          <w:szCs w:val="21"/>
        </w:rPr>
        <w:t xml:space="preserve">Public app — click 2–3 lots, sanity-check Availability / Time limit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7FB2D9" w:sz="6"/>
              <w:left w:val="single" w:color="7FB2D9" w:sz="24"/>
              <w:bottom w:val="single" w:color="7FB2D9" w:sz="6"/>
              <w:right w:val="single" w:color="7FB2D9" w:sz="6"/>
            </w:tcBorders>
            <w:shd w:fill="EAF3FA" w:val="clear"/>
            <w:tcMar>
              <w:top w:type="dxa" w:w="140"/>
              <w:left w:type="dxa" w:w="240"/>
              <w:bottom w:type="dxa" w:w="140"/>
              <w:right w:type="dxa" w:w="240"/>
            </w:tcMar>
          </w:tcPr>
          <w:p>
            <w:pPr>
              <w:spacing w:after="80"/>
            </w:pPr>
            <w:r>
              <w:rPr>
                <w:rFonts w:ascii="Arial" w:cs="Arial" w:eastAsia="Arial" w:hAnsi="Arial"/>
                <w:b/>
                <w:bCs/>
                <w:color w:val="2E74B5"/>
                <w:sz w:val="21"/>
                <w:szCs w:val="21"/>
              </w:rPr>
              <w:t xml:space="preserve">ℹ  Expected noise — ignore</w:t>
            </w:r>
          </w:p>
          <w:p>
            <w:pPr>
              <w:pStyle w:val="ListParagraph"/>
              <w:numPr>
                <w:ilvl w:val="0"/>
                <w:numId w:val="1"/>
              </w:numPr>
              <w:spacing w:after="60"/>
            </w:pPr>
            <w:r>
              <w:rPr>
                <w:rFonts w:ascii="Arial" w:cs="Arial" w:eastAsia="Arial" w:hAnsi="Arial"/>
                <w:color w:val="2B2B2B"/>
                <w:sz w:val="21"/>
                <w:szCs w:val="21"/>
              </w:rPr>
              <w:t xml:space="preserve">Esri console deprecation warnings (Home/Locate widgets, Polygon.centroid)</w:t>
            </w:r>
          </w:p>
          <w:p>
            <w:pPr>
              <w:pStyle w:val="ListParagraph"/>
              <w:numPr>
                <w:ilvl w:val="0"/>
                <w:numId w:val="1"/>
              </w:numPr>
              <w:spacing w:after="60"/>
            </w:pPr>
            <w:r>
              <w:rPr>
                <w:rFonts w:ascii="Arial" w:cs="Arial" w:eastAsia="Arial" w:hAnsi="Arial"/>
                <w:color w:val="2B2B2B"/>
                <w:sz w:val="21"/>
                <w:szCs w:val="21"/>
              </w:rPr>
              <w:t xml:space="preserve">NO RULES on Lot 13 (commuter) and Lot 2 / VH Garage (employees) — upstream; those pages hide rules anyway</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9%"/>
            <w:tcBorders>
              <w:top w:val="none" w:color="FFFFFF" w:sz="0"/>
              <w:left w:val="none" w:color="FFFFFF" w:sz="0"/>
              <w:bottom w:val="none" w:color="FFFFFF" w:sz="0"/>
              <w:right w:val="none" w:color="FFFFFF" w:sz="0"/>
            </w:tcBorders>
            <w:shd w:fill="143E5E" w:val="clear"/>
            <w:tcMar>
              <w:top w:type="dxa" w:w="120"/>
              <w:left w:type="dxa" w:w="60"/>
              <w:bottom w:type="dxa" w:w="120"/>
              <w:right w:type="dxa" w:w="60"/>
            </w:tcMar>
            <w:vAlign w:val="center"/>
          </w:tcPr>
          <w:p>
            <w:pPr>
              <w:jc w:val="center"/>
            </w:pPr>
            <w:r>
              <w:rPr>
                <w:rFonts w:ascii="Arial" w:cs="Arial" w:eastAsia="Arial" w:hAnsi="Arial"/>
                <w:b/>
                <w:bCs/>
                <w:color w:val="FFFFFF"/>
                <w:sz w:val="40"/>
                <w:szCs w:val="40"/>
              </w:rPr>
              <w:t xml:space="preserve">6</w:t>
            </w:r>
          </w:p>
        </w:tc>
        <w:tc>
          <w:tcPr>
            <w:tcW w:type="pct" w:w="91%"/>
            <w:tcBorders>
              <w:top w:val="none" w:color="FFFFFF" w:sz="0"/>
              <w:left w:val="none" w:color="FFFFFF" w:sz="0"/>
              <w:bottom w:val="none" w:color="FFFFFF" w:sz="0"/>
              <w:right w:val="none" w:color="FFFFFF" w:sz="0"/>
            </w:tcBorders>
            <w:shd w:fill="1F5C8B" w:val="clear"/>
            <w:tcMar>
              <w:top w:type="dxa" w:w="160"/>
              <w:left w:type="dxa" w:w="240"/>
              <w:bottom w:type="dxa" w:w="160"/>
              <w:right w:type="dxa" w:w="240"/>
            </w:tcMar>
            <w:vAlign w:val="center"/>
          </w:tcPr>
          <w:p>
            <w:r>
              <w:rPr>
                <w:rFonts w:ascii="Arial" w:cs="Arial" w:eastAsia="Arial" w:hAnsi="Arial"/>
                <w:b/>
                <w:bCs/>
                <w:color w:val="FFFFFF"/>
                <w:sz w:val="28"/>
                <w:szCs w:val="28"/>
              </w:rPr>
              <w:t xml:space="preserve">Ship It</w:t>
            </w:r>
          </w:p>
        </w:tc>
      </w:tr>
    </w:tbl>
    <w:p>
      <w:pPr>
        <w:spacing w:after="120"/>
      </w:pPr>
    </w:p>
    <w:p>
      <w:pPr>
        <w:pStyle w:val="Heading1"/>
        <w:spacing w:after="120" w:before="200"/>
      </w:pPr>
      <w:r>
        <w:rPr>
          <w:rFonts w:ascii="Arial" w:cs="Arial" w:eastAsia="Arial" w:hAnsi="Arial"/>
          <w:b/>
          <w:bCs/>
          <w:color w:val="1F5C8B"/>
          <w:sz w:val="26"/>
          <w:szCs w:val="26"/>
        </w:rPr>
        <w:t xml:space="preserve">6. Ship It</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gridCol w:w="100"/>
        <w:gridCol w:w="100"/>
        <w:gridCol w:w="100"/>
      </w:tblGrid>
      <w:tr>
        <w:tc>
          <w:tcPr>
            <w:tcBorders>
              <w:top w:val="none" w:color="FFFFFF" w:sz="0"/>
              <w:left w:val="none" w:color="FFFFFF" w:sz="0"/>
              <w:bottom w:val="none" w:color="FFFFFF" w:sz="0"/>
              <w:right w:val="none" w:color="FFFFFF" w:sz="0"/>
            </w:tcBorders>
            <w:shd w:fill="0B7285" w:val="clear"/>
            <w:tcMar>
              <w:top w:type="dxa" w:w="110"/>
              <w:left w:type="dxa" w:w="60"/>
              <w:bottom w:type="dxa" w:w="110"/>
              <w:right w:type="dxa" w:w="60"/>
            </w:tcMar>
            <w:vAlign w:val="center"/>
          </w:tcPr>
          <w:p>
            <w:pPr>
              <w:spacing w:after="10"/>
              <w:jc w:val="center"/>
            </w:pPr>
            <w:r>
              <w:rPr>
                <w:rFonts w:ascii="Arial" w:cs="Arial" w:eastAsia="Arial" w:hAnsi="Arial"/>
                <w:b/>
                <w:bCs/>
                <w:color w:val="FFFFFF"/>
                <w:sz w:val="22"/>
                <w:szCs w:val="22"/>
              </w:rPr>
              <w:t xml:space="preserve">1 · BUILD</w:t>
            </w:r>
          </w:p>
          <w:p>
            <w:pPr>
              <w:jc w:val="center"/>
            </w:pPr>
            <w:r>
              <w:rPr>
                <w:rFonts w:ascii="Consolas" w:cs="Consolas" w:eastAsia="Consolas" w:hAnsi="Consolas"/>
                <w:color w:val="FFFFFF"/>
                <w:sz w:val="16"/>
                <w:szCs w:val="16"/>
              </w:rPr>
              <w:t xml:space="preserve">npm run build</w:t>
            </w:r>
          </w:p>
        </w:tc>
        <w:tc>
          <w:tcPr>
            <w:tcW w:type="pct" w:w="4%"/>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808080"/>
                <w:sz w:val="30"/>
                <w:szCs w:val="30"/>
              </w:rPr>
              <w:t xml:space="preserve">→</w:t>
            </w:r>
          </w:p>
        </w:tc>
        <w:tc>
          <w:tcPr>
            <w:tcBorders>
              <w:top w:val="none" w:color="FFFFFF" w:sz="0"/>
              <w:left w:val="none" w:color="FFFFFF" w:sz="0"/>
              <w:bottom w:val="none" w:color="FFFFFF" w:sz="0"/>
              <w:right w:val="none" w:color="FFFFFF" w:sz="0"/>
            </w:tcBorders>
            <w:shd w:fill="5B4B9E" w:val="clear"/>
            <w:tcMar>
              <w:top w:type="dxa" w:w="110"/>
              <w:left w:type="dxa" w:w="60"/>
              <w:bottom w:type="dxa" w:w="110"/>
              <w:right w:type="dxa" w:w="60"/>
            </w:tcMar>
            <w:vAlign w:val="center"/>
          </w:tcPr>
          <w:p>
            <w:pPr>
              <w:spacing w:after="10"/>
              <w:jc w:val="center"/>
            </w:pPr>
            <w:r>
              <w:rPr>
                <w:rFonts w:ascii="Arial" w:cs="Arial" w:eastAsia="Arial" w:hAnsi="Arial"/>
                <w:b/>
                <w:bCs/>
                <w:color w:val="FFFFFF"/>
                <w:sz w:val="22"/>
                <w:szCs w:val="22"/>
              </w:rPr>
              <w:t xml:space="preserve">2 · PUSH</w:t>
            </w:r>
          </w:p>
          <w:p>
            <w:pPr>
              <w:jc w:val="center"/>
            </w:pPr>
            <w:r>
              <w:rPr>
                <w:rFonts w:ascii="Consolas" w:cs="Consolas" w:eastAsia="Consolas" w:hAnsi="Consolas"/>
                <w:color w:val="FFFFFF"/>
                <w:sz w:val="16"/>
                <w:szCs w:val="16"/>
              </w:rPr>
              <w:t xml:space="preserve">git push origin master:main</w:t>
            </w:r>
          </w:p>
        </w:tc>
        <w:tc>
          <w:tcPr>
            <w:tcW w:type="pct" w:w="4%"/>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808080"/>
                <w:sz w:val="30"/>
                <w:szCs w:val="30"/>
              </w:rPr>
              <w:t xml:space="preserve">→</w:t>
            </w:r>
          </w:p>
        </w:tc>
        <w:tc>
          <w:tcPr>
            <w:tcBorders>
              <w:top w:val="none" w:color="FFFFFF" w:sz="0"/>
              <w:left w:val="none" w:color="FFFFFF" w:sz="0"/>
              <w:bottom w:val="none" w:color="FFFFFF" w:sz="0"/>
              <w:right w:val="none" w:color="FFFFFF" w:sz="0"/>
            </w:tcBorders>
            <w:shd w:fill="1F5C8B" w:val="clear"/>
            <w:tcMar>
              <w:top w:type="dxa" w:w="110"/>
              <w:left w:type="dxa" w:w="60"/>
              <w:bottom w:type="dxa" w:w="110"/>
              <w:right w:type="dxa" w:w="60"/>
            </w:tcMar>
            <w:vAlign w:val="center"/>
          </w:tcPr>
          <w:p>
            <w:pPr>
              <w:spacing w:after="10"/>
              <w:jc w:val="center"/>
            </w:pPr>
            <w:r>
              <w:rPr>
                <w:rFonts w:ascii="Arial" w:cs="Arial" w:eastAsia="Arial" w:hAnsi="Arial"/>
                <w:b/>
                <w:bCs/>
                <w:color w:val="FFFFFF"/>
                <w:sz w:val="22"/>
                <w:szCs w:val="22"/>
              </w:rPr>
              <w:t xml:space="preserve">3 · DEPLOY</w:t>
            </w:r>
          </w:p>
          <w:p>
            <w:pPr>
              <w:jc w:val="center"/>
            </w:pPr>
            <w:r>
              <w:rPr>
                <w:rFonts w:ascii="Consolas" w:cs="Consolas" w:eastAsia="Consolas" w:hAnsi="Consolas"/>
                <w:color w:val="FFFFFF"/>
                <w:sz w:val="16"/>
                <w:szCs w:val="16"/>
              </w:rPr>
              <w:t xml:space="preserve">SWA CLI × 2</w:t>
            </w:r>
          </w:p>
        </w:tc>
        <w:tc>
          <w:tcPr>
            <w:tcW w:type="pct" w:w="4%"/>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808080"/>
                <w:sz w:val="30"/>
                <w:szCs w:val="30"/>
              </w:rPr>
              <w:t xml:space="preserve">→</w:t>
            </w:r>
          </w:p>
        </w:tc>
        <w:tc>
          <w:tcPr>
            <w:tcBorders>
              <w:top w:val="none" w:color="FFFFFF" w:sz="0"/>
              <w:left w:val="none" w:color="FFFFFF" w:sz="0"/>
              <w:bottom w:val="none" w:color="FFFFFF" w:sz="0"/>
              <w:right w:val="none" w:color="FFFFFF" w:sz="0"/>
            </w:tcBorders>
            <w:shd w:fill="2F7D32" w:val="clear"/>
            <w:tcMar>
              <w:top w:type="dxa" w:w="110"/>
              <w:left w:type="dxa" w:w="60"/>
              <w:bottom w:type="dxa" w:w="110"/>
              <w:right w:type="dxa" w:w="60"/>
            </w:tcMar>
            <w:vAlign w:val="center"/>
          </w:tcPr>
          <w:p>
            <w:pPr>
              <w:spacing w:after="10"/>
              <w:jc w:val="center"/>
            </w:pPr>
            <w:r>
              <w:rPr>
                <w:rFonts w:ascii="Arial" w:cs="Arial" w:eastAsia="Arial" w:hAnsi="Arial"/>
                <w:b/>
                <w:bCs/>
                <w:color w:val="FFFFFF"/>
                <w:sz w:val="22"/>
                <w:szCs w:val="22"/>
              </w:rPr>
              <w:t xml:space="preserve">4 · SMOKE TEST</w:t>
            </w:r>
          </w:p>
          <w:p>
            <w:pPr>
              <w:jc w:val="center"/>
            </w:pPr>
            <w:r>
              <w:rPr>
                <w:rFonts w:ascii="Arial" w:cs="Arial" w:eastAsia="Arial" w:hAnsi="Arial"/>
                <w:color w:val="FFFFFF"/>
                <w:sz w:val="16"/>
                <w:szCs w:val="16"/>
              </w:rPr>
              <w:t xml:space="preserve">live profiles + click-through</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45309" w:sz="6"/>
              <w:left w:val="single" w:color="B45309" w:sz="24"/>
              <w:bottom w:val="single" w:color="B45309" w:sz="6"/>
              <w:right w:val="single" w:color="B45309" w:sz="6"/>
            </w:tcBorders>
            <w:shd w:fill="FFF3DC" w:val="clear"/>
            <w:tcMar>
              <w:top w:type="dxa" w:w="140"/>
              <w:left w:type="dxa" w:w="240"/>
              <w:bottom w:type="dxa" w:w="140"/>
              <w:right w:type="dxa" w:w="240"/>
            </w:tcMar>
          </w:tcPr>
          <w:p>
            <w:pPr>
              <w:spacing w:after="80"/>
            </w:pPr>
            <w:r>
              <w:rPr>
                <w:rFonts w:ascii="Arial" w:cs="Arial" w:eastAsia="Arial" w:hAnsi="Arial"/>
                <w:b/>
                <w:bCs/>
                <w:color w:val="B45309"/>
                <w:sz w:val="21"/>
                <w:szCs w:val="21"/>
              </w:rPr>
              <w:t xml:space="preserve">⚠  Branch gotcha</w:t>
            </w:r>
          </w:p>
          <w:p>
            <w:pPr>
              <w:spacing w:after="120"/>
            </w:pPr>
            <w:r>
              <w:rPr>
                <w:rFonts w:ascii="Arial" w:cs="Arial" w:eastAsia="Arial" w:hAnsi="Arial"/>
                <w:color w:val="2B2B2B"/>
                <w:sz w:val="21"/>
                <w:szCs w:val="21"/>
              </w:rPr>
              <w:t xml:space="preserve">Local branch is </w:t>
            </w:r>
            <w:r>
              <w:rPr>
                <w:rFonts w:ascii="Consolas" w:cs="Consolas" w:eastAsia="Consolas" w:hAnsi="Consolas"/>
                <w:color w:val="2B2B2B"/>
                <w:sz w:val="19"/>
                <w:szCs w:val="19"/>
              </w:rPr>
              <w:t xml:space="preserve">master</w:t>
            </w:r>
            <w:r>
              <w:rPr>
                <w:rFonts w:ascii="Arial" w:cs="Arial" w:eastAsia="Arial" w:hAnsi="Arial"/>
                <w:color w:val="2B2B2B"/>
                <w:sz w:val="21"/>
                <w:szCs w:val="21"/>
              </w:rPr>
              <w:t xml:space="preserve">; GitHub default is </w:t>
            </w:r>
            <w:r>
              <w:rPr>
                <w:rFonts w:ascii="Consolas" w:cs="Consolas" w:eastAsia="Consolas" w:hAnsi="Consolas"/>
                <w:color w:val="2B2B2B"/>
                <w:sz w:val="19"/>
                <w:szCs w:val="19"/>
              </w:rPr>
              <w:t xml:space="preserve">main</w:t>
            </w:r>
            <w:r>
              <w:rPr>
                <w:rFonts w:ascii="Arial" w:cs="Arial" w:eastAsia="Arial" w:hAnsi="Arial"/>
                <w:color w:val="2B2B2B"/>
                <w:sz w:val="21"/>
                <w:szCs w:val="21"/>
              </w:rPr>
              <w:t xml:space="preserve">. A plain </w:t>
            </w:r>
            <w:r>
              <w:rPr>
                <w:rFonts w:ascii="Consolas" w:cs="Consolas" w:eastAsia="Consolas" w:hAnsi="Consolas"/>
                <w:color w:val="2B2B2B"/>
                <w:sz w:val="19"/>
                <w:szCs w:val="19"/>
              </w:rPr>
              <w:t xml:space="preserve">git push</w:t>
            </w:r>
            <w:r>
              <w:rPr>
                <w:rFonts w:ascii="Arial" w:cs="Arial" w:eastAsia="Arial" w:hAnsi="Arial"/>
                <w:color w:val="2B2B2B"/>
                <w:sz w:val="21"/>
                <w:szCs w:val="21"/>
              </w:rPr>
              <w:t xml:space="preserve"> creates a stray remote branch — always push </w:t>
            </w:r>
            <w:r>
              <w:rPr>
                <w:rFonts w:ascii="Consolas" w:cs="Consolas" w:eastAsia="Consolas" w:hAnsi="Consolas"/>
                <w:color w:val="2B2B2B"/>
                <w:sz w:val="19"/>
                <w:szCs w:val="19"/>
              </w:rPr>
              <w:t xml:space="preserve">master:main</w:t>
            </w:r>
            <w:r>
              <w:rPr>
                <w:rFonts w:ascii="Arial" w:cs="Arial" w:eastAsia="Arial" w:hAnsi="Arial"/>
                <w:color w:val="2B2B2B"/>
                <w:sz w:val="21"/>
                <w:szCs w:val="21"/>
              </w:rPr>
              <w:t xml:space="preserve">.</w:t>
            </w:r>
          </w:p>
        </w:tc>
      </w:tr>
    </w:tbl>
    <w:p>
      <w:pPr>
        <w:spacing w:after="120"/>
      </w:pPr>
    </w:p>
    <w:p>
      <w:pPr>
        <w:pStyle w:val="Heading2"/>
        <w:spacing w:after="100" w:before="280"/>
      </w:pPr>
      <w:r>
        <w:rPr>
          <w:rFonts w:ascii="Arial" w:cs="Arial" w:eastAsia="Arial" w:hAnsi="Arial"/>
          <w:b/>
          <w:bCs/>
          <w:color w:val="1F5C8B"/>
          <w:sz w:val="23"/>
          <w:szCs w:val="23"/>
        </w:rPr>
        <w:t xml:space="preserve">Deploy both SWAs (PowerShell, verified 2026-09-01)</w:t>
      </w:r>
    </w:p>
    <w:p>
      <w:pPr>
        <w:shd w:fill="F4F4F4" w:val="clear"/>
        <w:spacing w:after="0"/>
        <w:ind w:left="288"/>
      </w:pPr>
      <w:r>
        <w:rPr>
          <w:rFonts w:ascii="Consolas" w:cs="Consolas" w:eastAsia="Consolas" w:hAnsi="Consolas"/>
          <w:sz w:val="19"/>
          <w:szCs w:val="19"/>
        </w:rPr>
        <w:t xml:space="preserve">$TOKEN = az staticwebapp secrets list -n lagrange-parking-permit -g rg-lagrange-parking `</w:t>
      </w:r>
    </w:p>
    <w:p>
      <w:pPr>
        <w:shd w:fill="F4F4F4" w:val="clear"/>
        <w:spacing w:after="0"/>
        <w:ind w:left="288"/>
      </w:pPr>
      <w:r>
        <w:rPr>
          <w:rFonts w:ascii="Consolas" w:cs="Consolas" w:eastAsia="Consolas" w:hAnsi="Consolas"/>
          <w:sz w:val="19"/>
          <w:szCs w:val="19"/>
        </w:rPr>
        <w:t xml:space="preserve">           --query "properties.apiKey" -o tsv</w:t>
      </w:r>
    </w:p>
    <w:p>
      <w:pPr>
        <w:shd w:fill="F4F4F4" w:val="clear"/>
        <w:spacing w:after="0"/>
        <w:ind w:left="288"/>
      </w:pPr>
      <w:r>
        <w:rPr>
          <w:rFonts w:ascii="Consolas" w:cs="Consolas" w:eastAsia="Consolas" w:hAnsi="Consolas"/>
          <w:sz w:val="19"/>
          <w:szCs w:val="19"/>
        </w:rPr>
        <w:t xml:space="preserve">npx -y "@azure/static-web-apps-cli" deploy ./dist/permit --deployment-token $TOKEN --env production</w:t>
      </w:r>
    </w:p>
    <w:p>
      <w:pPr>
        <w:shd w:fill="F4F4F4" w:val="clear"/>
        <w:spacing w:after="0"/>
        <w:ind w:left="288"/>
      </w:pPr>
      <w:r>
        <w:rPr>
          <w:rFonts w:ascii="Consolas" w:cs="Consolas" w:eastAsia="Consolas" w:hAnsi="Consolas"/>
          <w:sz w:val="19"/>
          <w:szCs w:val="19"/>
        </w:rPr>
        <w:t xml:space="preserve"> </w:t>
      </w:r>
    </w:p>
    <w:p>
      <w:pPr>
        <w:shd w:fill="F4F4F4" w:val="clear"/>
        <w:spacing w:after="0"/>
        <w:ind w:left="288"/>
      </w:pPr>
      <w:r>
        <w:rPr>
          <w:rFonts w:ascii="Consolas" w:cs="Consolas" w:eastAsia="Consolas" w:hAnsi="Consolas"/>
          <w:sz w:val="19"/>
          <w:szCs w:val="19"/>
        </w:rPr>
        <w:t xml:space="preserve">$TOKEN = az staticwebapp secrets list -n lagrange-parking-public -g rg-lagrange-parking `</w:t>
      </w:r>
    </w:p>
    <w:p>
      <w:pPr>
        <w:shd w:fill="F4F4F4" w:val="clear"/>
        <w:spacing w:after="0"/>
        <w:ind w:left="288"/>
      </w:pPr>
      <w:r>
        <w:rPr>
          <w:rFonts w:ascii="Consolas" w:cs="Consolas" w:eastAsia="Consolas" w:hAnsi="Consolas"/>
          <w:sz w:val="19"/>
          <w:szCs w:val="19"/>
        </w:rPr>
        <w:t xml:space="preserve">           --query "properties.apiKey" -o tsv</w:t>
      </w:r>
    </w:p>
    <w:p>
      <w:pPr>
        <w:shd w:fill="F4F4F4" w:val="clear"/>
        <w:spacing w:after="120"/>
        <w:ind w:left="288"/>
      </w:pPr>
      <w:r>
        <w:rPr>
          <w:rFonts w:ascii="Consolas" w:cs="Consolas" w:eastAsia="Consolas" w:hAnsi="Consolas"/>
          <w:sz w:val="19"/>
          <w:szCs w:val="19"/>
        </w:rPr>
        <w:t xml:space="preserve">npx -y "@azure/static-web-apps-cli" deploy ./dist/public --deployment-token $TOKEN --env production</w:t>
      </w:r>
    </w:p>
    <w:p>
      <w:pPr>
        <w:pStyle w:val="Heading2"/>
        <w:spacing w:after="100" w:before="280"/>
      </w:pPr>
      <w:r>
        <w:rPr>
          <w:rFonts w:ascii="Arial" w:cs="Arial" w:eastAsia="Arial" w:hAnsi="Arial"/>
          <w:b/>
          <w:bCs/>
          <w:color w:val="1F5C8B"/>
          <w:sz w:val="23"/>
          <w:szCs w:val="23"/>
        </w:rPr>
        <w:t xml:space="preserve">Smoke test</w:t>
      </w:r>
    </w:p>
    <w:p>
      <w:pPr>
        <w:pStyle w:val="ListParagraph"/>
        <w:numPr>
          <w:ilvl w:val="0"/>
          <w:numId w:val="3"/>
        </w:numPr>
        <w:spacing w:after="60"/>
      </w:pPr>
      <w:r>
        <w:rPr>
          <w:rFonts w:ascii="Arial" w:cs="Arial" w:eastAsia="Arial" w:hAnsi="Arial"/>
          <w:color w:val="2B2B2B"/>
          <w:sz w:val="21"/>
          <w:szCs w:val="21"/>
        </w:rPr>
        <w:t xml:space="preserve">Fetch each site’s </w:t>
      </w:r>
      <w:r>
        <w:rPr>
          <w:rFonts w:ascii="Consolas" w:cs="Consolas" w:eastAsia="Consolas" w:hAnsi="Consolas"/>
          <w:color w:val="2B2B2B"/>
          <w:sz w:val="19"/>
          <w:szCs w:val="19"/>
        </w:rPr>
        <w:t xml:space="preserve">/profiles/*.json</w:t>
      </w:r>
      <w:r>
        <w:rPr>
          <w:rFonts w:ascii="Arial" w:cs="Arial" w:eastAsia="Arial" w:hAnsi="Arial"/>
          <w:color w:val="2B2B2B"/>
          <w:sz w:val="21"/>
          <w:szCs w:val="21"/>
        </w:rPr>
        <w:t xml:space="preserve"> and confirm your edits are live</w:t>
      </w:r>
    </w:p>
    <w:p>
      <w:pPr>
        <w:pStyle w:val="ListParagraph"/>
        <w:numPr>
          <w:ilvl w:val="0"/>
          <w:numId w:val="3"/>
        </w:numPr>
        <w:spacing w:after="60"/>
      </w:pPr>
      <w:r>
        <w:rPr>
          <w:rFonts w:ascii="Arial" w:cs="Arial" w:eastAsia="Arial" w:hAnsi="Arial"/>
          <w:color w:val="2B2B2B"/>
          <w:sz w:val="21"/>
          <w:szCs w:val="21"/>
        </w:rPr>
        <w:t xml:space="preserve">Click through one permit page and one public lot card</w:t>
      </w:r>
    </w:p>
    <w:p>
      <w:pPr>
        <w:spacing w:after="120"/>
      </w:pPr>
      <w:r>
        <w:rPr>
          <w:rFonts w:ascii="Arial" w:cs="Arial" w:eastAsia="Arial" w:hAnsi="Arial"/>
          <w:color w:val="2B2B2B"/>
          <w:sz w:val="21"/>
          <w:szCs w:val="21"/>
        </w:rPr>
        <w:t xml:space="preserve">Azure: tenant </w:t>
      </w:r>
      <w:r>
        <w:rPr>
          <w:rFonts w:ascii="Arial" w:cs="Arial" w:eastAsia="Arial" w:hAnsi="Arial"/>
          <w:b/>
          <w:bCs/>
          <w:color w:val="2B2B2B"/>
          <w:sz w:val="21"/>
          <w:szCs w:val="21"/>
        </w:rPr>
        <w:t xml:space="preserve">Spark by MGP</w:t>
      </w:r>
      <w:r>
        <w:rPr>
          <w:rFonts w:ascii="Arial" w:cs="Arial" w:eastAsia="Arial" w:hAnsi="Arial"/>
          <w:color w:val="2B2B2B"/>
          <w:sz w:val="21"/>
          <w:szCs w:val="21"/>
        </w:rPr>
        <w:t xml:space="preserve"> · subscription </w:t>
      </w:r>
      <w:r>
        <w:rPr>
          <w:rFonts w:ascii="Arial" w:cs="Arial" w:eastAsia="Arial" w:hAnsi="Arial"/>
          <w:b/>
          <w:bCs/>
          <w:color w:val="2B2B2B"/>
          <w:sz w:val="21"/>
          <w:szCs w:val="21"/>
        </w:rPr>
        <w:t xml:space="preserve">Microsoft Azure Sponsorship</w:t>
      </w:r>
      <w:r>
        <w:rPr>
          <w:rFonts w:ascii="Arial" w:cs="Arial" w:eastAsia="Arial" w:hAnsi="Arial"/>
          <w:color w:val="2B2B2B"/>
          <w:sz w:val="21"/>
          <w:szCs w:val="21"/>
        </w:rPr>
        <w:t xml:space="preserve"> · resource group </w:t>
      </w:r>
      <w:r>
        <w:rPr>
          <w:rFonts w:ascii="Consolas" w:cs="Consolas" w:eastAsia="Consolas" w:hAnsi="Consolas"/>
          <w:color w:val="2B2B2B"/>
          <w:sz w:val="19"/>
          <w:szCs w:val="19"/>
        </w:rPr>
        <w:t xml:space="preserve">rg-lagrange-parking</w:t>
      </w:r>
      <w:r>
        <w:rPr>
          <w:rFonts w:ascii="Arial" w:cs="Arial" w:eastAsia="Arial" w:hAnsi="Arial"/>
          <w:color w:val="2B2B2B"/>
          <w:sz w:val="21"/>
          <w:szCs w:val="21"/>
        </w:rPr>
        <w:t xml:space="preserve">. Recreate-from-scratch: </w:t>
      </w:r>
      <w:r>
        <w:rPr>
          <w:rFonts w:ascii="Consolas" w:cs="Consolas" w:eastAsia="Consolas" w:hAnsi="Consolas"/>
          <w:color w:val="2B2B2B"/>
          <w:sz w:val="19"/>
          <w:szCs w:val="19"/>
        </w:rPr>
        <w:t xml:space="preserve">DEPLOY.md</w:t>
      </w:r>
      <w:r>
        <w:rPr>
          <w:rFonts w:ascii="Arial" w:cs="Arial" w:eastAsia="Arial" w:hAnsi="Arial"/>
          <w:color w:val="2B2B2B"/>
          <w:sz w:val="21"/>
          <w:szCs w:val="21"/>
        </w:rPr>
        <w:t xml:space="preserve">. CI builds but does not deploy.</w:t>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9%"/>
            <w:tcBorders>
              <w:top w:val="none" w:color="FFFFFF" w:sz="0"/>
              <w:left w:val="none" w:color="FFFFFF" w:sz="0"/>
              <w:bottom w:val="none" w:color="FFFFFF" w:sz="0"/>
              <w:right w:val="none" w:color="FFFFFF" w:sz="0"/>
            </w:tcBorders>
            <w:shd w:fill="2F3A47" w:val="clear"/>
            <w:tcMar>
              <w:top w:type="dxa" w:w="120"/>
              <w:left w:type="dxa" w:w="60"/>
              <w:bottom w:type="dxa" w:w="120"/>
              <w:right w:type="dxa" w:w="60"/>
            </w:tcMar>
            <w:vAlign w:val="center"/>
          </w:tcPr>
          <w:p>
            <w:pPr>
              <w:jc w:val="center"/>
            </w:pPr>
            <w:r>
              <w:rPr>
                <w:rFonts w:ascii="Arial" w:cs="Arial" w:eastAsia="Arial" w:hAnsi="Arial"/>
                <w:b/>
                <w:bCs/>
                <w:color w:val="FFFFFF"/>
                <w:sz w:val="40"/>
                <w:szCs w:val="40"/>
              </w:rPr>
              <w:t xml:space="preserve">7</w:t>
            </w:r>
          </w:p>
        </w:tc>
        <w:tc>
          <w:tcPr>
            <w:tcW w:type="pct" w:w="91%"/>
            <w:tcBorders>
              <w:top w:val="none" w:color="FFFFFF" w:sz="0"/>
              <w:left w:val="none" w:color="FFFFFF" w:sz="0"/>
              <w:bottom w:val="none" w:color="FFFFFF" w:sz="0"/>
              <w:right w:val="none" w:color="FFFFFF" w:sz="0"/>
            </w:tcBorders>
            <w:shd w:fill="475569" w:val="clear"/>
            <w:tcMar>
              <w:top w:type="dxa" w:w="160"/>
              <w:left w:type="dxa" w:w="240"/>
              <w:bottom w:type="dxa" w:w="160"/>
              <w:right w:type="dxa" w:w="240"/>
            </w:tcMar>
            <w:vAlign w:val="center"/>
          </w:tcPr>
          <w:p>
            <w:r>
              <w:rPr>
                <w:rFonts w:ascii="Arial" w:cs="Arial" w:eastAsia="Arial" w:hAnsi="Arial"/>
                <w:b/>
                <w:bCs/>
                <w:color w:val="FFFFFF"/>
                <w:sz w:val="28"/>
                <w:szCs w:val="28"/>
              </w:rPr>
              <w:t xml:space="preserve">When Something Looks Broken</w:t>
            </w:r>
          </w:p>
        </w:tc>
      </w:tr>
    </w:tbl>
    <w:p>
      <w:pPr>
        <w:spacing w:after="120"/>
      </w:pPr>
    </w:p>
    <w:p>
      <w:pPr>
        <w:pStyle w:val="Heading1"/>
        <w:spacing w:after="120" w:before="200"/>
      </w:pPr>
      <w:r>
        <w:rPr>
          <w:rFonts w:ascii="Arial" w:cs="Arial" w:eastAsia="Arial" w:hAnsi="Arial"/>
          <w:b/>
          <w:bCs/>
          <w:color w:val="475569"/>
          <w:sz w:val="26"/>
          <w:szCs w:val="26"/>
        </w:rPr>
        <w:t xml:space="preserve">7. When Something Looks Broken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tcBorders>
              <w:top w:val="single" w:color="D9D9D9" w:sz="4"/>
              <w:left w:val="single" w:color="D9D9D9" w:sz="4"/>
              <w:bottom w:val="single" w:color="D9D9D9" w:sz="4"/>
              <w:right w:val="single" w:color="D9D9D9" w:sz="4"/>
            </w:tcBorders>
            <w:shd w:fill="475569"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pct" w:w="62%"/>
            <w:tcBorders>
              <w:top w:val="single" w:color="D9D9D9" w:sz="4"/>
              <w:left w:val="single" w:color="D9D9D9" w:sz="4"/>
              <w:bottom w:val="single" w:color="D9D9D9" w:sz="4"/>
              <w:right w:val="single" w:color="D9D9D9" w:sz="4"/>
            </w:tcBorders>
            <w:shd w:fill="475569" w:val="clear"/>
            <w:tcMar>
              <w:top w:type="dxa" w:w="80"/>
              <w:left w:type="dxa" w:w="120"/>
              <w:bottom w:type="dxa" w:w="80"/>
              <w:right w:type="dxa" w:w="120"/>
            </w:tcMar>
          </w:tcPr>
          <w:p>
            <w:r>
              <w:rPr>
                <w:rFonts w:ascii="Arial" w:cs="Arial" w:eastAsia="Arial" w:hAnsi="Arial"/>
                <w:b/>
                <w:bCs/>
                <w:color w:val="FFFFFF"/>
                <w:sz w:val="20"/>
                <w:szCs w:val="20"/>
              </w:rPr>
              <w:t xml:space="preserve">Cause → fix</w:t>
            </w:r>
          </w:p>
        </w:tc>
      </w:tr>
      <w:tr>
        <w:tc>
          <w:tcPr>
            <w:tcW w:type="pct" w:w="3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No parking data, console shows {"code":499}</w:t>
            </w:r>
          </w:p>
        </w:tc>
        <w:tc>
          <w:tcPr>
            <w:tcW w:type="pct" w:w="6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Service was republished; sharing reset → re-share Public in AGOL (Ch. 4)</w:t>
            </w:r>
          </w:p>
        </w:tc>
      </w:tr>
      <w:tr>
        <w:tc>
          <w:tcPr>
            <w:tcW w:type="pct" w:w="3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Basemap / aerial blank</w:t>
            </w:r>
          </w:p>
        </w:tc>
        <w:tc>
          <w:tcPr>
            <w:tcW w:type="pct" w:w="6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verify-basemaps.mjs</w:t>
            </w:r>
            <w:r>
              <w:rPr>
                <w:rFonts w:ascii="Arial" w:cs="Arial" w:eastAsia="Arial" w:hAnsi="Arial"/>
                <w:color w:val="2B2B2B"/>
                <w:sz w:val="21"/>
                <w:szCs w:val="21"/>
              </w:rPr>
              <w:t xml:space="preserve">. GISC_IMAGERY_* 404s over La Grange — use COUNTY_IMAGERY_COOK_2025_Project</w:t>
            </w:r>
          </w:p>
        </w:tc>
      </w:tr>
      <w:tr>
        <w:tc>
          <w:tcPr>
            <w:tcW w:type="pct" w:w="3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All green bands + notes vanished</w:t>
            </w:r>
          </w:p>
        </w:tc>
        <w:tc>
          <w:tcPr>
            <w:tcW w:type="pct" w:w="6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Subzone service stopped answering anonymously — fails quiet (DATA.md §3.6)</w:t>
            </w:r>
          </w:p>
        </w:tc>
      </w:tr>
      <w:tr>
        <w:tc>
          <w:tcPr>
            <w:tcW w:type="pct" w:w="3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Lot draws, card is empty</w:t>
            </w:r>
          </w:p>
        </w:tc>
        <w:tc>
          <w:tcPr>
            <w:tcW w:type="pct" w:w="6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Upstream RULETYPE mislabel — known, see BACKLOG.md</w:t>
            </w:r>
          </w:p>
        </w:tc>
      </w:tr>
      <w:tr>
        <w:tc>
          <w:tcPr>
            <w:tcW w:type="pct" w:w="3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Lot in areaIds never draws</w:t>
            </w:r>
          </w:p>
        </w:tc>
        <w:tc>
          <w:tcPr>
            <w:tcW w:type="pct" w:w="6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1"/>
                <w:szCs w:val="21"/>
              </w:rPr>
              <w:t xml:space="preserve">Fails </w:t>
            </w:r>
            <w:r>
              <w:rPr>
                <w:rFonts w:ascii="Consolas" w:cs="Consolas" w:eastAsia="Consolas" w:hAnsi="Consolas"/>
                <w:color w:val="2B2B2B"/>
                <w:sz w:val="19"/>
                <w:szCs w:val="19"/>
              </w:rPr>
              <w:t xml:space="preserve">baseWhere</w:t>
            </w:r>
            <w:r>
              <w:rPr>
                <w:rFonts w:ascii="Arial" w:cs="Arial" w:eastAsia="Arial" w:hAnsi="Arial"/>
                <w:color w:val="2B2B2B"/>
                <w:sz w:val="21"/>
                <w:szCs w:val="21"/>
              </w:rPr>
              <w:t xml:space="preserve"> (e.g. USERCLASS=VISITOR on permit app) — query it</w:t>
            </w:r>
          </w:p>
        </w:tc>
      </w:tr>
      <w:tr>
        <w:tc>
          <w:tcPr>
            <w:tcW w:type="pct" w:w="3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profile.branding change does nothing</w:t>
            </w:r>
          </w:p>
        </w:tc>
        <w:tc>
          <w:tcPr>
            <w:tcW w:type="pct" w:w="6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Branding applies only inside the internal Explorer; live look = hardcoded CSS defaults</w:t>
            </w:r>
          </w:p>
        </w:tc>
      </w:tr>
      <w:tr>
        <w:tc>
          <w:tcPr>
            <w:tcW w:type="pct" w:w="3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5 lint errors</w:t>
            </w:r>
          </w:p>
        </w:tc>
        <w:tc>
          <w:tcPr>
            <w:tcW w:type="pct" w:w="6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Pre-existing — only chase NEW ones</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9%"/>
            <w:tcBorders>
              <w:top w:val="none" w:color="FFFFFF" w:sz="0"/>
              <w:left w:val="none" w:color="FFFFFF" w:sz="0"/>
              <w:bottom w:val="none" w:color="FFFFFF" w:sz="0"/>
              <w:right w:val="none" w:color="FFFFFF" w:sz="0"/>
            </w:tcBorders>
            <w:shd w:fill="095443" w:val="clear"/>
            <w:tcMar>
              <w:top w:type="dxa" w:w="120"/>
              <w:left w:type="dxa" w:w="60"/>
              <w:bottom w:type="dxa" w:w="120"/>
              <w:right w:type="dxa" w:w="60"/>
            </w:tcMar>
            <w:vAlign w:val="center"/>
          </w:tcPr>
          <w:p>
            <w:pPr>
              <w:jc w:val="center"/>
            </w:pPr>
            <w:r>
              <w:rPr>
                <w:rFonts w:ascii="Arial" w:cs="Arial" w:eastAsia="Arial" w:hAnsi="Arial"/>
                <w:b/>
                <w:bCs/>
                <w:color w:val="FFFFFF"/>
                <w:sz w:val="40"/>
                <w:szCs w:val="40"/>
              </w:rPr>
              <w:t xml:space="preserve">8</w:t>
            </w:r>
          </w:p>
        </w:tc>
        <w:tc>
          <w:tcPr>
            <w:tcW w:type="pct" w:w="91%"/>
            <w:tcBorders>
              <w:top w:val="none" w:color="FFFFFF" w:sz="0"/>
              <w:left w:val="none" w:color="FFFFFF" w:sz="0"/>
              <w:bottom w:val="none" w:color="FFFFFF" w:sz="0"/>
              <w:right w:val="none" w:color="FFFFFF" w:sz="0"/>
            </w:tcBorders>
            <w:shd w:fill="0E7C66" w:val="clear"/>
            <w:tcMar>
              <w:top w:type="dxa" w:w="160"/>
              <w:left w:type="dxa" w:w="240"/>
              <w:bottom w:type="dxa" w:w="160"/>
              <w:right w:type="dxa" w:w="240"/>
            </w:tcMar>
            <w:vAlign w:val="center"/>
          </w:tcPr>
          <w:p>
            <w:r>
              <w:rPr>
                <w:rFonts w:ascii="Arial" w:cs="Arial" w:eastAsia="Arial" w:hAnsi="Arial"/>
                <w:b/>
                <w:bCs/>
                <w:color w:val="FFFFFF"/>
                <w:sz w:val="28"/>
                <w:szCs w:val="28"/>
              </w:rPr>
              <w:t xml:space="preserve">GIS Analyst Documentation</w:t>
            </w:r>
          </w:p>
        </w:tc>
      </w:tr>
    </w:tbl>
    <w:p>
      <w:pPr>
        <w:spacing w:after="120"/>
      </w:pPr>
    </w:p>
    <w:p>
      <w:pPr>
        <w:pStyle w:val="Heading1"/>
        <w:spacing w:after="120" w:before="200"/>
      </w:pPr>
      <w:r>
        <w:rPr>
          <w:rFonts w:ascii="Arial" w:cs="Arial" w:eastAsia="Arial" w:hAnsi="Arial"/>
          <w:b/>
          <w:bCs/>
          <w:color w:val="0E7C66"/>
          <w:sz w:val="26"/>
          <w:szCs w:val="26"/>
        </w:rPr>
        <w:t xml:space="preserve">8. GIS Analyst Documentation</w:t>
      </w:r>
    </w:p>
    <w:p>
      <w:pPr>
        <w:spacing w:after="120"/>
      </w:pPr>
      <w:r>
        <w:rPr>
          <w:rFonts w:ascii="Arial" w:cs="Arial" w:eastAsia="Arial" w:hAnsi="Arial"/>
          <w:color w:val="2B2B2B"/>
          <w:sz w:val="21"/>
          <w:szCs w:val="21"/>
        </w:rPr>
        <w:t xml:space="preserve">The GIS side of the project, as documented by the GIS analyst. The running log is </w:t>
      </w:r>
      <w:r>
        <w:rPr>
          <w:rFonts w:ascii="Consolas" w:cs="Consolas" w:eastAsia="Consolas" w:hAnsi="Consolas"/>
          <w:color w:val="2B2B2B"/>
          <w:sz w:val="19"/>
          <w:szCs w:val="19"/>
        </w:rPr>
        <w:t xml:space="preserve">PROJECTDOCUMENTATION.md</w:t>
      </w:r>
      <w:r>
        <w:rPr>
          <w:rFonts w:ascii="Arial" w:cs="Arial" w:eastAsia="Arial" w:hAnsi="Arial"/>
          <w:color w:val="2B2B2B"/>
          <w:sz w:val="21"/>
          <w:szCs w:val="21"/>
        </w:rPr>
        <w:t xml:space="preserve"> on the X: drive.</w:t>
      </w:r>
    </w:p>
    <w:p>
      <w:pPr>
        <w:pStyle w:val="Heading2"/>
        <w:spacing w:after="100" w:before="280"/>
      </w:pPr>
      <w:r>
        <w:rPr>
          <w:rFonts w:ascii="Arial" w:cs="Arial" w:eastAsia="Arial" w:hAnsi="Arial"/>
          <w:b/>
          <w:bCs/>
          <w:color w:val="0E7C66"/>
          <w:sz w:val="23"/>
          <w:szCs w:val="23"/>
        </w:rPr>
        <w:t xml:space="preserve">8.1 — Project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E7C66" w:sz="6"/>
              <w:left w:val="single" w:color="0E7C66" w:sz="24"/>
              <w:bottom w:val="single" w:color="0E7C66" w:sz="6"/>
              <w:right w:val="single" w:color="0E7C66" w:sz="6"/>
            </w:tcBorders>
            <w:shd w:fill="EAF3FA" w:val="clear"/>
            <w:tcMar>
              <w:top w:type="dxa" w:w="140"/>
              <w:left w:type="dxa" w:w="240"/>
              <w:bottom w:type="dxa" w:w="140"/>
              <w:right w:type="dxa" w:w="240"/>
            </w:tcMar>
          </w:tcPr>
          <w:p>
            <w:pPr>
              <w:spacing w:after="80"/>
            </w:pPr>
            <w:r>
              <w:rPr>
                <w:rFonts w:ascii="Arial" w:cs="Arial" w:eastAsia="Arial" w:hAnsi="Arial"/>
                <w:b/>
                <w:bCs/>
                <w:color w:val="0E7C66"/>
                <w:sz w:val="21"/>
                <w:szCs w:val="21"/>
              </w:rPr>
              <w:t xml:space="preserve">◎  Client outcome</w:t>
            </w:r>
          </w:p>
          <w:p>
            <w:pPr>
              <w:spacing w:after="120"/>
            </w:pPr>
            <w:r>
              <w:rPr>
                <w:rFonts w:ascii="Arial" w:cs="Arial" w:eastAsia="Arial" w:hAnsi="Arial"/>
                <w:color w:val="2B2B2B"/>
                <w:sz w:val="21"/>
                <w:szCs w:val="21"/>
              </w:rPr>
              <w:t xml:space="preserve">Village of La Grange stakeholders and the public have accurate, clear maps that show where each parking permit applies, who is eligible for it, and where visitors may park — supporting the Village’s parking management revamp and its move from "decals" to "permits."</w:t>
            </w:r>
          </w:p>
        </w:tc>
      </w:tr>
    </w:tbl>
    <w:p>
      <w:pPr>
        <w:spacing w:after="120"/>
      </w:pPr>
    </w:p>
    <w:p>
      <w:pPr>
        <w:spacing w:after="120"/>
      </w:pPr>
      <w:r>
        <w:rPr>
          <w:rFonts w:ascii="Arial" w:cs="Arial" w:eastAsia="Arial" w:hAnsi="Arial"/>
          <w:b/>
          <w:bCs/>
          <w:color w:val="2B2B2B"/>
          <w:sz w:val="21"/>
          <w:szCs w:val="21"/>
        </w:rPr>
        <w:t xml:space="preserve">Deliverable description. </w:t>
      </w:r>
      <w:r>
        <w:rPr>
          <w:rFonts w:ascii="Arial" w:cs="Arial" w:eastAsia="Arial" w:hAnsi="Arial"/>
          <w:color w:val="2B2B2B"/>
          <w:sz w:val="21"/>
          <w:szCs w:val="21"/>
        </w:rPr>
        <w:t xml:space="preserve">Two public, mobile-friendly parking map applications, built from one React codebase and deployed as separate Azure Static Web Apps. Both read a single publicly shared ArcGIS Online feature service; neither requires a login.</w:t>
      </w:r>
    </w:p>
    <w:p>
      <w:pPr>
        <w:spacing w:after="120"/>
      </w:pPr>
      <w:r>
        <w:rPr>
          <w:rFonts w:ascii="Arial" w:cs="Arial" w:eastAsia="Arial" w:hAnsi="Arial"/>
          <w:color w:val="2B2B2B"/>
          <w:sz w:val="21"/>
          <w:szCs w:val="21"/>
        </w:rPr>
        <w:t xml:space="preserve">Supporting GIS work: the Village’s flat parking inventory restructured into a related area-and-rule model, published to the Village’s ArcGIS Online organization along with the designated overnight-resident parking areas digitized from Village engineering drawings.</w:t>
      </w:r>
    </w:p>
    <w:p>
      <w:pPr>
        <w:pStyle w:val="ListParagraph"/>
        <w:numPr>
          <w:ilvl w:val="0"/>
          <w:numId w:val="1"/>
        </w:numPr>
        <w:spacing w:after="60"/>
      </w:pPr>
      <w:r>
        <w:rPr>
          <w:rFonts w:ascii="Arial" w:cs="Arial" w:eastAsia="Arial" w:hAnsi="Arial"/>
          <w:b/>
          <w:bCs/>
          <w:color w:val="2B2B2B"/>
          <w:sz w:val="21"/>
          <w:szCs w:val="21"/>
        </w:rPr>
        <w:t xml:space="preserve">Permit app — </w:t>
      </w:r>
      <w:hyperlink w:history="1" r:id="rIdz6frf5doliqhure0c9es4">
        <w:r>
          <w:rPr>
            <w:rFonts w:ascii="Arial" w:cs="Arial" w:eastAsia="Arial" w:hAnsi="Arial"/>
            <w:color w:val="2E74B5"/>
            <w:sz w:val="21"/>
            <w:szCs w:val="21"/>
            <w:u w:val="single"/>
          </w:rPr>
          <w:t xml:space="preserve">https://mango-cliff-087d26410.7.azurestaticapps.net</w:t>
        </w:r>
      </w:hyperlink>
      <w:r>
        <w:rPr>
          <w:rFonts w:ascii="Arial" w:cs="Arial" w:eastAsia="Arial" w:hAnsi="Arial"/>
          <w:color w:val="2B2B2B"/>
          <w:sz w:val="21"/>
          <w:szCs w:val="21"/>
        </w:rPr>
        <w:t xml:space="preserve"> — four permit-type pages: Resident Overnight Only, Resident Day/Night (24 hr.), Commuter &amp; LTHS Students, Employees.</w:t>
      </w:r>
    </w:p>
    <w:p>
      <w:pPr>
        <w:pStyle w:val="ListParagraph"/>
        <w:numPr>
          <w:ilvl w:val="0"/>
          <w:numId w:val="1"/>
        </w:numPr>
        <w:spacing w:after="60"/>
      </w:pPr>
      <w:r>
        <w:rPr>
          <w:rFonts w:ascii="Arial" w:cs="Arial" w:eastAsia="Arial" w:hAnsi="Arial"/>
          <w:b/>
          <w:bCs/>
          <w:color w:val="2B2B2B"/>
          <w:sz w:val="21"/>
          <w:szCs w:val="21"/>
        </w:rPr>
        <w:t xml:space="preserve">Public app — </w:t>
      </w:r>
      <w:hyperlink w:history="1" r:id="rIdcqq1-q7hd-c5ywumq-r-v">
        <w:r>
          <w:rPr>
            <w:rFonts w:ascii="Arial" w:cs="Arial" w:eastAsia="Arial" w:hAnsi="Arial"/>
            <w:color w:val="2E74B5"/>
            <w:sz w:val="21"/>
            <w:szCs w:val="21"/>
            <w:u w:val="single"/>
          </w:rPr>
          <w:t xml:space="preserve">https://ashy-mud-0b906db10.7.azurestaticapps.net</w:t>
        </w:r>
      </w:hyperlink>
      <w:r>
        <w:rPr>
          <w:rFonts w:ascii="Arial" w:cs="Arial" w:eastAsia="Arial" w:hAnsi="Arial"/>
          <w:color w:val="2B2B2B"/>
          <w:sz w:val="21"/>
          <w:szCs w:val="21"/>
        </w:rPr>
        <w:t xml:space="preserve"> — visitor, shopper and diner parking colored by time limit. Contains no permit content.</w:t>
      </w:r>
    </w:p>
    <w:p>
      <w:pPr>
        <w:spacing w:after="60"/>
      </w:pPr>
    </w:p>
    <w:p>
      <w:pPr>
        <w:spacing w:after="120"/>
      </w:pPr>
      <w:r>
        <w:rPr>
          <w:rFonts w:ascii="Arial" w:cs="Arial" w:eastAsia="Arial" w:hAnsi="Arial"/>
          <w:b/>
          <w:bCs/>
          <w:color w:val="2B2B2B"/>
          <w:sz w:val="21"/>
          <w:szCs w:val="21"/>
        </w:rPr>
        <w:t xml:space="preserve">Status as of 2026-08-05: </w:t>
      </w:r>
      <w:r>
        <w:rPr>
          <w:rFonts w:ascii="Arial" w:cs="Arial" w:eastAsia="Arial" w:hAnsi="Arial"/>
          <w:color w:val="2B2B2B"/>
          <w:sz w:val="21"/>
          <w:szCs w:val="21"/>
        </w:rPr>
        <w:t xml:space="preserve">both apps are live and in an iterate-on-feedback phase with the Village. Nothing is in flight. Every item from the 2026-07-28 stakeholder meeting is complete, including the designated overnight areas that went live 2026-07-29. Remaining open items are waiting on the Village — principally the real permit purchase URL (the apply button currently points at the Village homepage), a landing-page cover photo, and the missing engineering sheet for the Village Hall garage.</w:t>
      </w:r>
    </w:p>
    <w:p>
      <w:pPr>
        <w:spacing w:after="120"/>
      </w:pPr>
      <w:r>
        <w:rPr>
          <w:rFonts w:ascii="Arial" w:cs="Arial" w:eastAsia="Arial" w:hAnsi="Arial"/>
          <w:b/>
          <w:bCs/>
          <w:color w:val="2B2B2B"/>
          <w:sz w:val="21"/>
          <w:szCs w:val="21"/>
        </w:rPr>
        <w:t xml:space="preserve">Timeline. </w:t>
      </w:r>
      <w:r>
        <w:rPr>
          <w:rFonts w:ascii="Arial" w:cs="Arial" w:eastAsia="Arial" w:hAnsi="Arial"/>
          <w:color w:val="2B2B2B"/>
          <w:sz w:val="21"/>
          <w:szCs w:val="21"/>
        </w:rPr>
        <w:t xml:space="preserve">Due Date: The Village’s originally stated parking program go-live was the end of June 2026; MGP is following Charity Jones’s lead on timing. MGP Hours: TBD.</w:t>
      </w:r>
    </w:p>
    <w:p>
      <w:pPr>
        <w:pStyle w:val="Heading2"/>
        <w:spacing w:after="100" w:before="280"/>
      </w:pPr>
      <w:r>
        <w:rPr>
          <w:rFonts w:ascii="Arial" w:cs="Arial" w:eastAsia="Arial" w:hAnsi="Arial"/>
          <w:b/>
          <w:bCs/>
          <w:color w:val="0E7C66"/>
          <w:sz w:val="23"/>
          <w:szCs w:val="23"/>
        </w:rPr>
        <w:t xml:space="preserve">8.2 — Stakeholders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Who</w:t>
            </w:r>
          </w:p>
        </w:tc>
        <w:tc>
          <w:tcPr>
            <w:tcW w:type="pct" w:w="78%"/>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pct" w:w="2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bCs/>
                <w:color w:val="2B2B2B"/>
                <w:sz w:val="21"/>
                <w:szCs w:val="21"/>
              </w:rPr>
              <w:t xml:space="preserve">Charity Jones</w:t>
            </w:r>
          </w:p>
        </w:tc>
        <w:tc>
          <w:tcPr>
            <w:tcW w:type="pct" w:w="7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Village of La Grange, Assistant Village Manager. Primary contact and reviewer; all design and content decisions route through her.</w:t>
            </w:r>
          </w:p>
        </w:tc>
      </w:tr>
      <w:tr>
        <w:tc>
          <w:tcPr>
            <w:tcW w:type="pct" w:w="2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b/>
                <w:bCs/>
                <w:color w:val="2B2B2B"/>
                <w:sz w:val="21"/>
                <w:szCs w:val="21"/>
              </w:rPr>
              <w:t xml:space="preserve">Susan Mika</w:t>
            </w:r>
          </w:p>
        </w:tc>
        <w:tc>
          <w:tcPr>
            <w:tcW w:type="pct" w:w="7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Village of La Grange, stakeholder.</w:t>
            </w:r>
          </w:p>
        </w:tc>
      </w:tr>
      <w:tr>
        <w:tc>
          <w:tcPr>
            <w:tcW w:type="pct" w:w="2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bCs/>
                <w:color w:val="2B2B2B"/>
                <w:sz w:val="21"/>
                <w:szCs w:val="21"/>
              </w:rPr>
              <w:t xml:space="preserve">Esri</w:t>
            </w:r>
          </w:p>
        </w:tc>
        <w:tc>
          <w:tcPr>
            <w:tcW w:type="pct" w:w="7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ArcGIS Pro, ArcGIS Online, ArcGIS Maps SDK for JavaScript.</w:t>
            </w:r>
          </w:p>
        </w:tc>
      </w:tr>
      <w:tr>
        <w:tc>
          <w:tcPr>
            <w:tcW w:type="pct" w:w="2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b/>
                <w:bCs/>
                <w:color w:val="2B2B2B"/>
                <w:sz w:val="21"/>
                <w:szCs w:val="21"/>
              </w:rPr>
              <w:t xml:space="preserve">Passport</w:t>
            </w:r>
          </w:p>
        </w:tc>
        <w:tc>
          <w:tcPr>
            <w:tcW w:type="pct" w:w="7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The Village’s parking permit system; source of the eligibility list.</w:t>
            </w:r>
          </w:p>
        </w:tc>
      </w:tr>
      <w:tr>
        <w:tc>
          <w:tcPr>
            <w:tcW w:type="pct" w:w="2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bCs/>
                <w:color w:val="2B2B2B"/>
                <w:sz w:val="21"/>
                <w:szCs w:val="21"/>
              </w:rPr>
              <w:t xml:space="preserve">Microsoft Azure</w:t>
            </w:r>
          </w:p>
        </w:tc>
        <w:tc>
          <w:tcPr>
            <w:tcW w:type="pct" w:w="7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Static Web Apps hosting for both applications.</w:t>
            </w:r>
          </w:p>
        </w:tc>
      </w:tr>
    </w:tbl>
    <w:p>
      <w:r>
        <w:br w:type="page"/>
      </w:r>
    </w:p>
    <w:p>
      <w:pPr>
        <w:pStyle w:val="Heading2"/>
        <w:spacing w:after="100" w:before="280"/>
      </w:pPr>
      <w:r>
        <w:rPr>
          <w:rFonts w:ascii="Arial" w:cs="Arial" w:eastAsia="Arial" w:hAnsi="Arial"/>
          <w:b/>
          <w:bCs/>
          <w:color w:val="0E7C66"/>
          <w:sz w:val="23"/>
          <w:szCs w:val="23"/>
        </w:rPr>
        <w:t xml:space="preserve">8.3 — Changing the data, and the trap to avoid</w:t>
      </w:r>
    </w:p>
    <w:p>
      <w:pPr>
        <w:spacing w:after="120"/>
      </w:pPr>
      <w:r>
        <w:rPr>
          <w:rFonts w:ascii="Arial" w:cs="Arial" w:eastAsia="Arial" w:hAnsi="Arial"/>
          <w:color w:val="2B2B2B"/>
          <w:sz w:val="21"/>
          <w:szCs w:val="21"/>
        </w:rPr>
        <w:t xml:space="preserve">Data flows LGDM → file geodatabase → hosted service → apps.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gridCol w:w="100"/>
        <w:gridCol w:w="100"/>
        <w:gridCol w:w="100"/>
      </w:tblGrid>
      <w:tr>
        <w:tc>
          <w:tcPr>
            <w:tcBorders>
              <w:top w:val="none" w:color="FFFFFF" w:sz="0"/>
              <w:left w:val="none" w:color="FFFFFF" w:sz="0"/>
              <w:bottom w:val="none" w:color="FFFFFF" w:sz="0"/>
              <w:right w:val="none" w:color="FFFFFF" w:sz="0"/>
            </w:tcBorders>
            <w:shd w:fill="095443" w:val="clear"/>
            <w:tcMar>
              <w:top w:type="dxa" w:w="110"/>
              <w:left w:type="dxa" w:w="60"/>
              <w:bottom w:type="dxa" w:w="110"/>
              <w:right w:type="dxa" w:w="60"/>
            </w:tcMar>
            <w:vAlign w:val="center"/>
          </w:tcPr>
          <w:p>
            <w:pPr>
              <w:spacing w:after="10"/>
              <w:jc w:val="center"/>
            </w:pPr>
            <w:r>
              <w:rPr>
                <w:rFonts w:ascii="Arial" w:cs="Arial" w:eastAsia="Arial" w:hAnsi="Arial"/>
                <w:b/>
                <w:bCs/>
                <w:color w:val="FFFFFF"/>
                <w:sz w:val="22"/>
                <w:szCs w:val="22"/>
              </w:rPr>
              <w:t xml:space="preserve">LGDM</w:t>
            </w:r>
          </w:p>
          <w:p>
            <w:pPr>
              <w:jc w:val="center"/>
            </w:pPr>
            <w:r>
              <w:rPr>
                <w:rFonts w:ascii="Consolas" w:cs="Consolas" w:eastAsia="Consolas" w:hAnsi="Consolas"/>
                <w:color w:val="FFFFFF"/>
                <w:sz w:val="16"/>
                <w:szCs w:val="16"/>
              </w:rPr>
              <w:t xml:space="preserve">mgp-sql02 · Parking_Restriction_POLY</w:t>
            </w:r>
          </w:p>
        </w:tc>
        <w:tc>
          <w:tcPr>
            <w:tcW w:type="pct" w:w="4%"/>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808080"/>
                <w:sz w:val="30"/>
                <w:szCs w:val="30"/>
              </w:rPr>
              <w:t xml:space="preserve">→</w:t>
            </w:r>
          </w:p>
        </w:tc>
        <w:tc>
          <w:tcPr>
            <w:tcBorders>
              <w:top w:val="none" w:color="FFFFFF" w:sz="0"/>
              <w:left w:val="none" w:color="FFFFFF" w:sz="0"/>
              <w:bottom w:val="none" w:color="FFFFFF" w:sz="0"/>
              <w:right w:val="none" w:color="FFFFFF" w:sz="0"/>
            </w:tcBorders>
            <w:shd w:fill="0E7C66" w:val="clear"/>
            <w:tcMar>
              <w:top w:type="dxa" w:w="110"/>
              <w:left w:type="dxa" w:w="60"/>
              <w:bottom w:type="dxa" w:w="110"/>
              <w:right w:type="dxa" w:w="60"/>
            </w:tcMar>
            <w:vAlign w:val="center"/>
          </w:tcPr>
          <w:p>
            <w:pPr>
              <w:spacing w:after="10"/>
              <w:jc w:val="center"/>
            </w:pPr>
            <w:r>
              <w:rPr>
                <w:rFonts w:ascii="Arial" w:cs="Arial" w:eastAsia="Arial" w:hAnsi="Arial"/>
                <w:b/>
                <w:bCs/>
                <w:color w:val="FFFFFF"/>
                <w:sz w:val="22"/>
                <w:szCs w:val="22"/>
              </w:rPr>
              <w:t xml:space="preserve">FILE GDB</w:t>
            </w:r>
          </w:p>
          <w:p>
            <w:pPr>
              <w:jc w:val="center"/>
            </w:pPr>
            <w:r>
              <w:rPr>
                <w:rFonts w:ascii="Consolas" w:cs="Consolas" w:eastAsia="Consolas" w:hAnsi="Consolas"/>
                <w:color w:val="FFFFFF"/>
                <w:sz w:val="16"/>
                <w:szCs w:val="16"/>
              </w:rPr>
              <w:t xml:space="preserve">lagrange_build_fgdb.py</w:t>
            </w:r>
          </w:p>
        </w:tc>
        <w:tc>
          <w:tcPr>
            <w:tcW w:type="pct" w:w="4%"/>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808080"/>
                <w:sz w:val="30"/>
                <w:szCs w:val="30"/>
              </w:rPr>
              <w:t xml:space="preserve">→</w:t>
            </w:r>
          </w:p>
        </w:tc>
        <w:tc>
          <w:tcPr>
            <w:tcBorders>
              <w:top w:val="none" w:color="FFFFFF" w:sz="0"/>
              <w:left w:val="none" w:color="FFFFFF" w:sz="0"/>
              <w:bottom w:val="none" w:color="FFFFFF" w:sz="0"/>
              <w:right w:val="none" w:color="FFFFFF" w:sz="0"/>
            </w:tcBorders>
            <w:shd w:fill="1F5C8B" w:val="clear"/>
            <w:tcMar>
              <w:top w:type="dxa" w:w="110"/>
              <w:left w:type="dxa" w:w="60"/>
              <w:bottom w:type="dxa" w:w="110"/>
              <w:right w:type="dxa" w:w="60"/>
            </w:tcMar>
            <w:vAlign w:val="center"/>
          </w:tcPr>
          <w:p>
            <w:pPr>
              <w:spacing w:after="10"/>
              <w:jc w:val="center"/>
            </w:pPr>
            <w:r>
              <w:rPr>
                <w:rFonts w:ascii="Arial" w:cs="Arial" w:eastAsia="Arial" w:hAnsi="Arial"/>
                <w:b/>
                <w:bCs/>
                <w:color w:val="FFFFFF"/>
                <w:sz w:val="22"/>
                <w:szCs w:val="22"/>
              </w:rPr>
              <w:t xml:space="preserve">HOSTED SERVICE</w:t>
            </w:r>
          </w:p>
          <w:p>
            <w:pPr>
              <w:jc w:val="center"/>
            </w:pPr>
            <w:r>
              <w:rPr>
                <w:rFonts w:ascii="Consolas" w:cs="Consolas" w:eastAsia="Consolas" w:hAnsi="Consolas"/>
                <w:color w:val="FFFFFF"/>
                <w:sz w:val="16"/>
                <w:szCs w:val="16"/>
              </w:rPr>
              <w:t xml:space="preserve">LaGrange_Parking_Permits</w:t>
            </w:r>
          </w:p>
        </w:tc>
        <w:tc>
          <w:tcPr>
            <w:tcW w:type="pct" w:w="4%"/>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808080"/>
                <w:sz w:val="30"/>
                <w:szCs w:val="30"/>
              </w:rPr>
              <w:t xml:space="preserve">→</w:t>
            </w:r>
          </w:p>
        </w:tc>
        <w:tc>
          <w:tcPr>
            <w:tcBorders>
              <w:top w:val="none" w:color="FFFFFF" w:sz="0"/>
              <w:left w:val="none" w:color="FFFFFF" w:sz="0"/>
              <w:bottom w:val="none" w:color="FFFFFF" w:sz="0"/>
              <w:right w:val="none" w:color="FFFFFF" w:sz="0"/>
            </w:tcBorders>
            <w:shd w:fill="0B7285" w:val="clear"/>
            <w:tcMar>
              <w:top w:type="dxa" w:w="110"/>
              <w:left w:type="dxa" w:w="60"/>
              <w:bottom w:type="dxa" w:w="110"/>
              <w:right w:type="dxa" w:w="60"/>
            </w:tcMar>
            <w:vAlign w:val="center"/>
          </w:tcPr>
          <w:p>
            <w:pPr>
              <w:spacing w:after="10"/>
              <w:jc w:val="center"/>
            </w:pPr>
            <w:r>
              <w:rPr>
                <w:rFonts w:ascii="Arial" w:cs="Arial" w:eastAsia="Arial" w:hAnsi="Arial"/>
                <w:b/>
                <w:bCs/>
                <w:color w:val="FFFFFF"/>
                <w:sz w:val="22"/>
                <w:szCs w:val="22"/>
              </w:rPr>
              <w:t xml:space="preserve">APPS</w:t>
            </w:r>
          </w:p>
          <w:p>
            <w:pPr>
              <w:jc w:val="center"/>
            </w:pPr>
            <w:r>
              <w:rPr>
                <w:rFonts w:ascii="Arial" w:cs="Arial" w:eastAsia="Arial" w:hAnsi="Arial"/>
                <w:color w:val="FFFFFF"/>
                <w:sz w:val="16"/>
                <w:szCs w:val="16"/>
              </w:rPr>
              <w:t xml:space="preserve">permit + public</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00000" w:sz="6"/>
              <w:left w:val="single" w:color="C00000" w:sz="24"/>
              <w:bottom w:val="single" w:color="C00000" w:sz="6"/>
              <w:right w:val="single" w:color="C00000" w:sz="6"/>
            </w:tcBorders>
            <w:shd w:fill="FBE4E4" w:val="clear"/>
            <w:tcMar>
              <w:top w:type="dxa" w:w="140"/>
              <w:left w:type="dxa" w:w="240"/>
              <w:bottom w:type="dxa" w:w="140"/>
              <w:right w:type="dxa" w:w="240"/>
            </w:tcMar>
          </w:tcPr>
          <w:p>
            <w:pPr>
              <w:spacing w:after="80"/>
            </w:pPr>
            <w:r>
              <w:rPr>
                <w:rFonts w:ascii="Arial" w:cs="Arial" w:eastAsia="Arial" w:hAnsi="Arial"/>
                <w:b/>
                <w:bCs/>
                <w:color w:val="C00000"/>
                <w:sz w:val="21"/>
                <w:szCs w:val="21"/>
              </w:rPr>
              <w:t xml:space="preserve">⛔  The trap to avoid</w:t>
            </w:r>
          </w:p>
          <w:p>
            <w:pPr>
              <w:spacing w:after="120"/>
            </w:pPr>
            <w:r>
              <w:rPr>
                <w:rFonts w:ascii="Arial" w:cs="Arial" w:eastAsia="Arial" w:hAnsi="Arial"/>
                <w:color w:val="2B2B2B"/>
                <w:sz w:val="21"/>
                <w:szCs w:val="21"/>
              </w:rPr>
              <w:t xml:space="preserve">Editing the geodatabase alone is not durable: </w:t>
            </w:r>
            <w:r>
              <w:rPr>
                <w:rFonts w:ascii="Consolas" w:cs="Consolas" w:eastAsia="Consolas" w:hAnsi="Consolas"/>
                <w:color w:val="2B2B2B"/>
                <w:sz w:val="19"/>
                <w:szCs w:val="19"/>
              </w:rPr>
              <w:t xml:space="preserve">lagrange_build_fgdb.py</w:t>
            </w:r>
            <w:r>
              <w:rPr>
                <w:rFonts w:ascii="Arial" w:cs="Arial" w:eastAsia="Arial" w:hAnsi="Arial"/>
                <w:color w:val="2B2B2B"/>
                <w:sz w:val="21"/>
                <w:szCs w:val="21"/>
              </w:rPr>
              <w:t xml:space="preserve"> rebuilds ParkingArea and ParkingRule from the LGDM, so anything added only to the geodatabase is lost on the next rebuild. Lot 15 is in that state today. Real changes go into the LGDM first, then rebuild and republish.</w:t>
            </w:r>
          </w:p>
        </w:tc>
      </w:tr>
    </w:tbl>
    <w:p>
      <w:pPr>
        <w:spacing w:after="120"/>
      </w:pPr>
    </w:p>
    <w:p>
      <w:pPr>
        <w:spacing w:after="120"/>
      </w:pPr>
      <w:r>
        <w:rPr>
          <w:rFonts w:ascii="Arial" w:cs="Arial" w:eastAsia="Arial" w:hAnsi="Arial"/>
          <w:color w:val="2B2B2B"/>
          <w:sz w:val="21"/>
          <w:szCs w:val="21"/>
        </w:rPr>
        <w:t xml:space="preserve">Known upstream data defects are catalogued in the repository’s </w:t>
      </w:r>
      <w:r>
        <w:rPr>
          <w:rFonts w:ascii="Consolas" w:cs="Consolas" w:eastAsia="Consolas" w:hAnsi="Consolas"/>
          <w:color w:val="2B2B2B"/>
          <w:sz w:val="19"/>
          <w:szCs w:val="19"/>
        </w:rPr>
        <w:t xml:space="preserve">docs/DATA.md</w:t>
      </w:r>
      <w:r>
        <w:rPr>
          <w:rFonts w:ascii="Arial" w:cs="Arial" w:eastAsia="Arial" w:hAnsi="Arial"/>
          <w:color w:val="2B2B2B"/>
          <w:sz w:val="21"/>
          <w:szCs w:val="21"/>
        </w:rPr>
        <w:t xml:space="preserve"> — chiefly that RULETYPE is a heuristic label, which currently leaves three lots with an empty detail card.</w:t>
      </w:r>
    </w:p>
    <w:p>
      <w:pPr>
        <w:spacing w:after="60"/>
      </w:pPr>
    </w:p>
    <w:p>
      <w:pPr>
        <w:pStyle w:val="Heading2"/>
        <w:spacing w:after="100" w:before="280"/>
      </w:pPr>
      <w:r>
        <w:rPr>
          <w:rFonts w:ascii="Arial" w:cs="Arial" w:eastAsia="Arial" w:hAnsi="Arial"/>
          <w:b/>
          <w:bCs/>
          <w:color w:val="0E7C66"/>
          <w:sz w:val="23"/>
          <w:szCs w:val="23"/>
        </w:rPr>
        <w:t xml:space="preserve">8.4 — Data sources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Layer / resource</w:t>
            </w:r>
          </w:p>
        </w:tc>
        <w:tc>
          <w:tcPr>
            <w:tcW w:type="pct" w:w="40%"/>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Where</w:t>
            </w:r>
          </w:p>
        </w:tc>
        <w:tc>
          <w:tcPr>
            <w:tcW w:type="pct" w:w="40%"/>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pct" w:w="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bCs/>
                <w:color w:val="2B2B2B"/>
                <w:sz w:val="21"/>
                <w:szCs w:val="21"/>
              </w:rPr>
              <w:t xml:space="preserve">Source of record</w:t>
            </w:r>
          </w:p>
        </w:tc>
        <w:tc>
          <w:tcPr>
            <w:tcW w:type="pct" w:w="4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19"/>
                <w:szCs w:val="19"/>
              </w:rPr>
              <w:t xml:space="preserve">mgp-sql02 &gt; GISC_PRODUCTION &gt; DBO.Parking_Restriction_POLY</w:t>
            </w:r>
          </w:p>
        </w:tc>
        <w:tc>
          <w:tcPr>
            <w:tcW w:type="pct" w:w="4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(GEODBID ‘024’) — the Village’s authoritative parking inventory and the origin of everything below. Edited in ArcGIS Pro.</w:t>
            </w:r>
          </w:p>
        </w:tc>
      </w:tr>
      <w:tr>
        <w:tc>
          <w:tcPr>
            <w:tcW w:type="pct" w:w="2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b/>
                <w:bCs/>
                <w:color w:val="2B2B2B"/>
                <w:sz w:val="21"/>
                <w:szCs w:val="21"/>
              </w:rPr>
              <w:t xml:space="preserve">Working geodatabase</w:t>
            </w:r>
          </w:p>
        </w:tc>
        <w:tc>
          <w:tcPr>
            <w:tcW w:type="pct" w:w="4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X:\GISC\Community\LaGrange\Project\20240829_ParkingPermitMaps\APRX\Parking_Permit_Restructure\ParkingPermits.gdb</w:t>
            </w:r>
          </w:p>
        </w:tc>
        <w:tc>
          <w:tcPr>
            <w:tcW w:type="pct" w:w="4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Holds ParkingArea, ParkingRule, OvernightResidentSubzones, PermitEligibleAddress, StudyZone and the domains. Rebuilt from the LGDM by lagrange_build_fgdb.py.</w:t>
            </w:r>
          </w:p>
        </w:tc>
      </w:tr>
      <w:tr>
        <w:tc>
          <w:tcPr>
            <w:tcW w:type="pct" w:w="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bCs/>
                <w:color w:val="2B2B2B"/>
                <w:sz w:val="21"/>
                <w:szCs w:val="21"/>
              </w:rPr>
              <w:t xml:space="preserve">ArcGIS Pro project and maps</w:t>
            </w:r>
          </w:p>
        </w:tc>
        <w:tc>
          <w:tcPr>
            <w:tcW w:type="pct" w:w="4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19"/>
                <w:szCs w:val="19"/>
              </w:rPr>
              <w:t xml:space="preserve">X:\GISC\Community\LaGrange\Project\20240829_ParkingPermitMaps\APRX\Parking_Permit_Restructure\Parking_Permit_Restructure.aprx</w:t>
            </w:r>
          </w:p>
        </w:tc>
        <w:tc>
          <w:tcPr>
            <w:tcW w:type="pct" w:w="4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The current ArcGIS Pro project and its maps (Permit Parking, Visitor Parking, Permit-Eligible Addresses). Used for editing and QA; the apps do not read it. The superseded original project is in the adjacent "Parking Decal Maps" folder.</w:t>
            </w:r>
          </w:p>
        </w:tc>
      </w:tr>
      <w:tr>
        <w:tc>
          <w:tcPr>
            <w:tcW w:type="pct" w:w="2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b/>
                <w:bCs/>
                <w:color w:val="2B2B2B"/>
                <w:sz w:val="21"/>
                <w:szCs w:val="21"/>
              </w:rPr>
              <w:t xml:space="preserve">Live service the apps read</w:t>
            </w:r>
          </w:p>
        </w:tc>
        <w:tc>
          <w:tcPr>
            <w:tcW w:type="pct" w:w="4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LaGrange_Parking_Permits</w:t>
            </w:r>
            <w:r>
              <w:rPr>
                <w:rFonts w:ascii="Arial" w:cs="Arial" w:eastAsia="Arial" w:hAnsi="Arial"/>
                <w:color w:val="2B2B2B"/>
                <w:sz w:val="21"/>
                <w:szCs w:val="21"/>
              </w:rPr>
              <w:t xml:space="preserve"> on https://lagrangeil.maps.arcgis.com, item </w:t>
            </w:r>
            <w:r>
              <w:rPr>
                <w:rFonts w:ascii="Consolas" w:cs="Consolas" w:eastAsia="Consolas" w:hAnsi="Consolas"/>
                <w:color w:val="2B2B2B"/>
                <w:sz w:val="19"/>
                <w:szCs w:val="19"/>
              </w:rPr>
              <w:t xml:space="preserve">f13e7fa3199141a2be6c2eea816de8d4</w:t>
            </w:r>
          </w:p>
        </w:tc>
        <w:tc>
          <w:tcPr>
            <w:tcW w:type="pct" w:w="4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Sublayer /2 ParkingArea (144 polygons) and /3 ParkingRule (173 rows, related 1:many on AREAID) are what both apps query. Shared publicly.</w:t>
            </w:r>
          </w:p>
        </w:tc>
      </w:tr>
      <w:tr>
        <w:tc>
          <w:tcPr>
            <w:tcW w:type="pct" w:w="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bCs/>
                <w:color w:val="2B2B2B"/>
                <w:sz w:val="21"/>
                <w:szCs w:val="21"/>
              </w:rPr>
              <w:t xml:space="preserve">Designated overnight areas</w:t>
            </w:r>
          </w:p>
        </w:tc>
        <w:tc>
          <w:tcPr>
            <w:tcW w:type="pct" w:w="4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19"/>
                <w:szCs w:val="19"/>
              </w:rPr>
              <w:t xml:space="preserve">LaGrange_Overnight_Resident_Subzones</w:t>
            </w:r>
          </w:p>
        </w:tc>
        <w:tc>
          <w:tcPr>
            <w:tcW w:type="pct" w:w="4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8 polygons over Lots 2, 5, 11, 12 and 13, digitized from Heuer and Associates engineering drawings dated 12/30/2016. Deliberately its own service, not a sublayer of the above.</w:t>
            </w:r>
          </w:p>
        </w:tc>
      </w:tr>
      <w:tr>
        <w:tc>
          <w:tcPr>
            <w:tcW w:type="pct" w:w="2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b/>
                <w:bCs/>
                <w:color w:val="2B2B2B"/>
                <w:sz w:val="21"/>
                <w:szCs w:val="21"/>
              </w:rPr>
              <w:t xml:space="preserve">Context layer</w:t>
            </w:r>
          </w:p>
        </w:tc>
        <w:tc>
          <w:tcPr>
            <w:tcW w:type="pct" w:w="4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LaGrangeImportantPlaces_ParkingContext_</w:t>
            </w:r>
          </w:p>
        </w:tc>
        <w:tc>
          <w:tcPr>
            <w:tcW w:type="pct" w:w="4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23 civic, park, landmark and Metra features curated from X:\GISC\Publish\GeoDB\GISC_PUBLISH_FGDB.gdb\Base\ImportantPlace_POLY. Map context only.</w:t>
            </w:r>
          </w:p>
        </w:tc>
      </w:tr>
      <w:tr>
        <w:tc>
          <w:tcPr>
            <w:tcW w:type="pct" w:w="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bCs/>
                <w:color w:val="2B2B2B"/>
                <w:sz w:val="21"/>
                <w:szCs w:val="21"/>
              </w:rPr>
              <w:t xml:space="preserve">Eligibility addresses</w:t>
            </w:r>
          </w:p>
        </w:tc>
        <w:tc>
          <w:tcPr>
            <w:tcW w:type="pct" w:w="4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19"/>
                <w:szCs w:val="19"/>
              </w:rPr>
              <w:t xml:space="preserve">X:\GISC\Community\LaGrange\Project\20240829_ParkingPermitMaps\Data\</w:t>
            </w:r>
          </w:p>
        </w:tc>
        <w:tc>
          <w:tcPr>
            <w:tcW w:type="pct" w:w="4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The Passport v2 permit-holder list ("Residential parking - address list for geocode.xlsx") and the geocode outputs derived from it. Geocoded against X:\GISC\Publish\Geocoder with Esri’s World geocoder as fallback.</w:t>
            </w:r>
          </w:p>
        </w:tc>
      </w:tr>
      <w:tr>
        <w:tc>
          <w:tcPr>
            <w:tcW w:type="pct" w:w="2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b/>
                <w:bCs/>
                <w:color w:val="2B2B2B"/>
                <w:sz w:val="21"/>
                <w:szCs w:val="21"/>
              </w:rPr>
              <w:t xml:space="preserve">Village policy documents</w:t>
            </w:r>
          </w:p>
        </w:tc>
        <w:tc>
          <w:tcPr>
            <w:tcW w:type="pct" w:w="4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X:\GISC\Community\LaGrange\Project\20240829_ParkingPermitMaps\Village Policies and Documentation\</w:t>
            </w:r>
          </w:p>
        </w:tc>
        <w:tc>
          <w:tcPr>
            <w:tcW w:type="pct" w:w="4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The Village’s permit policy PDFs, which supply the rule text absent from the GIS data. Finished exhibits are in the adjacent Deliverables folder.</w:t>
            </w:r>
          </w:p>
        </w:tc>
      </w:tr>
    </w:tbl>
    <w:p>
      <w:r>
        <w:br w:type="page"/>
      </w:r>
    </w:p>
    <w:p>
      <w:pPr>
        <w:pStyle w:val="Heading2"/>
        <w:spacing w:after="100" w:before="280"/>
      </w:pPr>
      <w:r>
        <w:rPr>
          <w:rFonts w:ascii="Arial" w:cs="Arial" w:eastAsia="Arial" w:hAnsi="Arial"/>
          <w:b/>
          <w:bCs/>
          <w:color w:val="0E7C66"/>
          <w:sz w:val="23"/>
          <w:szCs w:val="23"/>
        </w:rPr>
        <w:t xml:space="preserve">8.5 — Other resources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pct" w:w="76%"/>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Location / detail</w:t>
            </w:r>
          </w:p>
        </w:tc>
      </w:tr>
      <w:tr>
        <w:tc>
          <w:tcPr>
            <w:tcW w:type="pct" w:w="24%"/>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bCs/>
                <w:color w:val="2B2B2B"/>
                <w:sz w:val="21"/>
                <w:szCs w:val="21"/>
              </w:rPr>
              <w:t xml:space="preserve">Application repository</w:t>
            </w:r>
          </w:p>
        </w:tc>
        <w:tc>
          <w:tcPr>
            <w:tcW w:type="pct" w:w="76%"/>
            <w:tcBorders>
              <w:top w:val="single" w:color="D9D9D9" w:sz="4"/>
              <w:left w:val="single" w:color="D9D9D9" w:sz="4"/>
              <w:bottom w:val="single" w:color="D9D9D9" w:sz="4"/>
              <w:right w:val="single" w:color="D9D9D9" w:sz="4"/>
            </w:tcBorders>
            <w:tcMar>
              <w:top w:type="dxa" w:w="80"/>
              <w:left w:type="dxa" w:w="120"/>
              <w:bottom w:type="dxa" w:w="80"/>
              <w:right w:type="dxa" w:w="120"/>
            </w:tcMar>
          </w:tcPr>
          <w:p>
            <w:hyperlink w:history="1" r:id="rIdmkx1iyoadm3myte5rocwv">
              <w:r>
                <w:rPr>
                  <w:rFonts w:ascii="Arial" w:cs="Arial" w:eastAsia="Arial" w:hAnsi="Arial"/>
                  <w:color w:val="2E74B5"/>
                  <w:sz w:val="20"/>
                  <w:szCs w:val="20"/>
                  <w:u w:val="single"/>
                </w:rPr>
                <w:t xml:space="preserve">https://github.com/mgp-inc/lagrange-parking</w:t>
              </w:r>
            </w:hyperlink>
            <w:r>
              <w:rPr>
                <w:rFonts w:ascii="Arial" w:cs="Arial" w:eastAsia="Arial" w:hAnsi="Arial"/>
                <w:color w:val="2B2B2B"/>
                <w:sz w:val="21"/>
                <w:szCs w:val="21"/>
              </w:rPr>
              <w:t xml:space="preserve"> — the application source, self-contained and portable. Its docs folder carries the app-side context, data notes and open-item backlog. Working copy on the project lead’s machine at </w:t>
            </w:r>
            <w:r>
              <w:rPr>
                <w:rFonts w:ascii="Consolas" w:cs="Consolas" w:eastAsia="Consolas" w:hAnsi="Consolas"/>
                <w:color w:val="2B2B2B"/>
                <w:sz w:val="19"/>
                <w:szCs w:val="19"/>
              </w:rPr>
              <w:t xml:space="preserve">E:\lagrange-parking</w:t>
            </w:r>
            <w:r>
              <w:rPr>
                <w:rFonts w:ascii="Arial" w:cs="Arial" w:eastAsia="Arial" w:hAnsi="Arial"/>
                <w:color w:val="2B2B2B"/>
                <w:sz w:val="21"/>
                <w:szCs w:val="21"/>
              </w:rPr>
              <w:t xml:space="preserve">.</w:t>
            </w:r>
          </w:p>
        </w:tc>
      </w:tr>
      <w:tr>
        <w:tc>
          <w:tcPr>
            <w:tcW w:type="pct" w:w="24%"/>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b/>
                <w:bCs/>
                <w:color w:val="2B2B2B"/>
                <w:sz w:val="21"/>
                <w:szCs w:val="21"/>
              </w:rPr>
              <w:t xml:space="preserve">Running project log</w:t>
            </w:r>
          </w:p>
        </w:tc>
        <w:tc>
          <w:tcPr>
            <w:tcW w:type="pct" w:w="76%"/>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19"/>
                <w:szCs w:val="19"/>
              </w:rPr>
              <w:t xml:space="preserve">X:\GISC\Community\LaGrange\Project\20240829_ParkingPermitMaps\PROJECTDOCUMENTATION.md</w:t>
            </w:r>
            <w:r>
              <w:rPr>
                <w:rFonts w:ascii="Arial" w:cs="Arial" w:eastAsia="Arial" w:hAnsi="Arial"/>
                <w:color w:val="2B2B2B"/>
                <w:sz w:val="21"/>
                <w:szCs w:val="21"/>
              </w:rPr>
              <w:t xml:space="preserve"> — the internal running log; full decision and progress history for the GIS side.</w:t>
            </w:r>
          </w:p>
        </w:tc>
      </w:tr>
      <w:tr>
        <w:tc>
          <w:tcPr>
            <w:tcW w:type="pct" w:w="24%"/>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bCs/>
                <w:color w:val="2B2B2B"/>
                <w:sz w:val="21"/>
                <w:szCs w:val="21"/>
              </w:rPr>
              <w:t xml:space="preserve">Hosting</w:t>
            </w:r>
          </w:p>
        </w:tc>
        <w:tc>
          <w:tcPr>
            <w:tcW w:type="pct" w:w="7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1"/>
                <w:szCs w:val="21"/>
              </w:rPr>
              <w:t xml:space="preserve">Azure tenant Community-Essentials.com, resource group rg-lagrange-parking (centralus), two Static Web Apps on the Free plan. Deployment steps are in the repository’s </w:t>
            </w:r>
            <w:r>
              <w:rPr>
                <w:rFonts w:ascii="Consolas" w:cs="Consolas" w:eastAsia="Consolas" w:hAnsi="Consolas"/>
                <w:color w:val="2B2B2B"/>
                <w:sz w:val="19"/>
                <w:szCs w:val="19"/>
              </w:rPr>
              <w:t xml:space="preserve">DEPLOY.md</w:t>
            </w:r>
            <w:r>
              <w:rPr>
                <w:rFonts w:ascii="Arial" w:cs="Arial" w:eastAsia="Arial" w:hAnsi="Arial"/>
                <w:color w:val="2B2B2B"/>
                <w:sz w:val="21"/>
                <w:szCs w:val="21"/>
              </w:rPr>
              <w:t xml:space="preserve">.</w:t>
            </w:r>
          </w:p>
        </w:tc>
      </w:tr>
      <w:tr>
        <w:tc>
          <w:tcPr>
            <w:tcW w:type="pct" w:w="24%"/>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b/>
                <w:bCs/>
                <w:color w:val="2B2B2B"/>
                <w:sz w:val="21"/>
                <w:szCs w:val="21"/>
              </w:rPr>
              <w:t xml:space="preserve">Branding and basemap</w:t>
            </w:r>
          </w:p>
        </w:tc>
        <w:tc>
          <w:tcPr>
            <w:tcW w:type="pct" w:w="76%"/>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Village of La Grange Brand Guidelines (0719) — Dark Blue #00306C, La Grange Blue #126BB5, Green #43B749; Nunito Sans and Oswald. GISC Light Canvas is the basemap in both the apps and the ArcGIS Pro maps.</w:t>
            </w:r>
          </w:p>
        </w:tc>
      </w:tr>
    </w:tbl>
    <w:p>
      <w:pPr>
        <w:spacing w:after="120"/>
      </w:pPr>
    </w:p>
    <w:p>
      <w:pPr>
        <w:pStyle w:val="Heading2"/>
        <w:spacing w:after="100" w:before="280"/>
      </w:pPr>
      <w:r>
        <w:rPr>
          <w:rFonts w:ascii="Arial" w:cs="Arial" w:eastAsia="Arial" w:hAnsi="Arial"/>
          <w:b/>
          <w:bCs/>
          <w:color w:val="0E7C66"/>
          <w:sz w:val="23"/>
          <w:szCs w:val="23"/>
        </w:rPr>
        <w:t xml:space="preserve">8.6 — Decisions that shaped the deliverable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pct" w:w="70%"/>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pct" w:w="3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bCs/>
                <w:color w:val="2B2B2B"/>
                <w:sz w:val="21"/>
                <w:szCs w:val="21"/>
              </w:rPr>
              <w:t xml:space="preserve">Two apps, not StoryMaps.</w:t>
            </w:r>
          </w:p>
        </w:tc>
        <w:tc>
          <w:tcPr>
            <w:tcW w:type="pct" w:w="7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Charity ended the single all-in-one map on 2026-06-18. The deliverable became two separate audience-targeted apps, and the ArcGIS StoryMaps in the original scope were dropped. The AGOL web maps built in June still exist but are QA aids only.</w:t>
            </w:r>
          </w:p>
        </w:tc>
      </w:tr>
      <w:tr>
        <w:tc>
          <w:tcPr>
            <w:tcW w:type="pct" w:w="3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b/>
                <w:bCs/>
                <w:color w:val="2B2B2B"/>
                <w:sz w:val="21"/>
                <w:szCs w:val="21"/>
              </w:rPr>
              <w:t xml:space="preserve">The parking data was de-fragmented.</w:t>
            </w:r>
          </w:p>
        </w:tc>
        <w:tc>
          <w:tcPr>
            <w:tcW w:type="pct" w:w="7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One physical lot arrived as several overlapping polygons, one per restriction type. These were dissolved into one area per lot carrying its rules in a related table, which is what makes the data answerable.</w:t>
            </w:r>
          </w:p>
        </w:tc>
      </w:tr>
      <w:tr>
        <w:tc>
          <w:tcPr>
            <w:tcW w:type="pct" w:w="3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b/>
                <w:bCs/>
                <w:color w:val="2B2B2B"/>
                <w:sz w:val="21"/>
                <w:szCs w:val="21"/>
              </w:rPr>
              <w:t xml:space="preserve">Lot lists and content are the Village’s, not inferred.</w:t>
            </w:r>
          </w:p>
        </w:tc>
        <w:tc>
          <w:tcPr>
            <w:tcW w:type="pct" w:w="7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The lots shown on each permit page come from the Village’s own verbatim list, not from a data-derived guess. Rates exist in the data but are never displayed, and the word "decal" does not appear in any public text.</w:t>
            </w:r>
          </w:p>
        </w:tc>
      </w:tr>
      <w:tr>
        <w:tc>
          <w:tcPr>
            <w:tcW w:type="pct" w:w="3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b/>
                <w:bCs/>
                <w:color w:val="2B2B2B"/>
                <w:sz w:val="21"/>
                <w:szCs w:val="21"/>
              </w:rPr>
              <w:t xml:space="preserve">Designated overnight areas are drawn as GIS features.</w:t>
            </w:r>
          </w:p>
        </w:tc>
        <w:tc>
          <w:tcPr>
            <w:tcW w:type="pct" w:w="7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Only the permitted areas inside each lot were drawn, not the prohibited remainder, so the apps must state the rule in words. Scanned drawings were rejected in favor of real map features.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00000" w:sz="6"/>
              <w:left w:val="single" w:color="C00000" w:sz="24"/>
              <w:bottom w:val="single" w:color="C00000" w:sz="6"/>
              <w:right w:val="single" w:color="C00000" w:sz="6"/>
            </w:tcBorders>
            <w:shd w:fill="FBE4E4" w:val="clear"/>
            <w:tcMar>
              <w:top w:type="dxa" w:w="140"/>
              <w:left w:type="dxa" w:w="240"/>
              <w:bottom w:type="dxa" w:w="140"/>
              <w:right w:type="dxa" w:w="240"/>
            </w:tcMar>
          </w:tcPr>
          <w:p>
            <w:pPr>
              <w:spacing w:after="80"/>
            </w:pPr>
            <w:r>
              <w:rPr>
                <w:rFonts w:ascii="Arial" w:cs="Arial" w:eastAsia="Arial" w:hAnsi="Arial"/>
                <w:b/>
                <w:bCs/>
                <w:color w:val="C00000"/>
                <w:sz w:val="21"/>
                <w:szCs w:val="21"/>
              </w:rPr>
              <w:t xml:space="preserve">⛔  The one that will bite you</w:t>
            </w:r>
          </w:p>
          <w:p>
            <w:pPr>
              <w:spacing w:after="120"/>
            </w:pPr>
            <w:r>
              <w:rPr>
                <w:rFonts w:ascii="Arial" w:cs="Arial" w:eastAsia="Arial" w:hAnsi="Arial"/>
                <w:color w:val="2B2B2B"/>
                <w:sz w:val="21"/>
                <w:szCs w:val="21"/>
              </w:rPr>
              <w:t xml:space="preserve">Republishing </w:t>
            </w:r>
            <w:r>
              <w:rPr>
                <w:rFonts w:ascii="Consolas" w:cs="Consolas" w:eastAsia="Consolas" w:hAnsi="Consolas"/>
                <w:color w:val="2B2B2B"/>
                <w:sz w:val="19"/>
                <w:szCs w:val="19"/>
              </w:rPr>
              <w:t xml:space="preserve">LaGrange_Parking_Permits</w:t>
            </w:r>
            <w:r>
              <w:rPr>
                <w:rFonts w:ascii="Arial" w:cs="Arial" w:eastAsia="Arial" w:hAnsi="Arial"/>
                <w:color w:val="2B2B2B"/>
                <w:sz w:val="21"/>
                <w:szCs w:val="21"/>
              </w:rPr>
              <w:t xml:space="preserve"> resets its sharing to organization-only, and both public apps immediately fail with "Token Required." Re-share it publicly and re-test anonymous access after every republish.</w:t>
            </w:r>
          </w:p>
        </w:tc>
      </w:tr>
    </w:tbl>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45309" w:sz="6"/>
              <w:left w:val="single" w:color="B45309" w:sz="24"/>
              <w:bottom w:val="single" w:color="B45309" w:sz="6"/>
              <w:right w:val="single" w:color="B45309" w:sz="6"/>
            </w:tcBorders>
            <w:shd w:fill="FFF3DC" w:val="clear"/>
            <w:tcMar>
              <w:top w:type="dxa" w:w="140"/>
              <w:left w:type="dxa" w:w="240"/>
              <w:bottom w:type="dxa" w:w="140"/>
              <w:right w:type="dxa" w:w="240"/>
            </w:tcMar>
          </w:tcPr>
          <w:p>
            <w:pPr>
              <w:spacing w:after="80"/>
            </w:pPr>
            <w:r>
              <w:rPr>
                <w:rFonts w:ascii="Arial" w:cs="Arial" w:eastAsia="Arial" w:hAnsi="Arial"/>
                <w:b/>
                <w:bCs/>
                <w:color w:val="B45309"/>
                <w:sz w:val="21"/>
                <w:szCs w:val="21"/>
              </w:rPr>
              <w:t xml:space="preserve">⚠  AREAID is the join key between the data and the apps</w:t>
            </w:r>
          </w:p>
          <w:p>
            <w:pPr>
              <w:spacing w:after="120"/>
            </w:pPr>
            <w:r>
              <w:rPr>
                <w:rFonts w:ascii="Arial" w:cs="Arial" w:eastAsia="Arial" w:hAnsi="Arial"/>
                <w:color w:val="2B2B2B"/>
                <w:sz w:val="21"/>
                <w:szCs w:val="21"/>
              </w:rPr>
              <w:t xml:space="preserve">It is the lot name uppercased with non-alphanumerics stripped, so "Lot 15" becomes "LOT15"; any other spelling silently drops the lot from its page.</w:t>
            </w:r>
          </w:p>
          <w:p>
            <w:pPr>
              <w:spacing w:after="120"/>
            </w:pPr>
            <w:r>
              <w:rPr>
                <w:rFonts w:ascii="Arial" w:cs="Arial" w:eastAsia="Arial" w:hAnsi="Arial"/>
                <w:color w:val="2B2B2B"/>
                <w:sz w:val="21"/>
                <w:szCs w:val="21"/>
              </w:rPr>
              <w:t xml:space="preserve">Verify against the live services rather than trusting the configuration: </w:t>
            </w:r>
            <w:r>
              <w:rPr>
                <w:rFonts w:ascii="Consolas" w:cs="Consolas" w:eastAsia="Consolas" w:hAnsi="Consolas"/>
                <w:color w:val="2B2B2B"/>
                <w:sz w:val="19"/>
                <w:szCs w:val="19"/>
              </w:rPr>
              <w:t xml:space="preserve">node scripts/verify-permit-pages.mjs</w:t>
            </w:r>
            <w:r>
              <w:rPr>
                <w:rFonts w:ascii="Arial" w:cs="Arial" w:eastAsia="Arial" w:hAnsi="Arial"/>
                <w:color w:val="2B2B2B"/>
                <w:sz w:val="21"/>
                <w:szCs w:val="21"/>
              </w:rPr>
              <w:t xml:space="preserve"> confirms every listed lot resolves and returns rules.</w:t>
            </w:r>
          </w:p>
        </w:tc>
      </w:tr>
    </w:tbl>
    <w:p>
      <w:pPr>
        <w:spacing w:after="120"/>
      </w:pPr>
    </w:p>
    <w:p>
      <w:pPr>
        <w:pStyle w:val="Heading2"/>
        <w:spacing w:after="100" w:before="280"/>
      </w:pPr>
      <w:r>
        <w:rPr>
          <w:rFonts w:ascii="Arial" w:cs="Arial" w:eastAsia="Arial" w:hAnsi="Arial"/>
          <w:b/>
          <w:bCs/>
          <w:color w:val="0E7C66"/>
          <w:sz w:val="23"/>
          <w:szCs w:val="23"/>
        </w:rPr>
        <w:t xml:space="preserve">8.7 — Publish / republish log</w:t>
      </w:r>
    </w:p>
    <w:p>
      <w:pPr>
        <w:spacing w:after="120"/>
      </w:pPr>
      <w:r>
        <w:rPr>
          <w:rFonts w:ascii="Arial" w:cs="Arial" w:eastAsia="Arial" w:hAnsi="Arial"/>
          <w:color w:val="2B2B2B"/>
          <w:sz w:val="21"/>
          <w:szCs w:val="21"/>
        </w:rPr>
        <w:t xml:space="preserve">Complete one row every time the hosted service is overwritten or republished: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pct" w:w="34%"/>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What changed</w:t>
            </w:r>
          </w:p>
        </w:tc>
        <w:tc>
          <w:tcPr>
            <w:tcW w:type="pct" w:w="18%"/>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Republished by</w:t>
            </w:r>
          </w:p>
        </w:tc>
        <w:tc>
          <w:tcPr>
            <w:tcW w:type="pct" w:w="18%"/>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Re-shared Public? (Y/N)</w:t>
            </w:r>
          </w:p>
        </w:tc>
        <w:tc>
          <w:tcPr>
            <w:tcW w:type="pct" w:w="18%"/>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rial" w:cs="Arial" w:eastAsia="Arial" w:hAnsi="Arial"/>
                <w:b/>
                <w:bCs/>
                <w:color w:val="FFFFFF"/>
                <w:sz w:val="20"/>
                <w:szCs w:val="20"/>
              </w:rPr>
              <w:t xml:space="preserve">Anonymous query verified? (Y/N)</w:t>
            </w:r>
          </w:p>
        </w:tc>
      </w:tr>
      <w:tr>
        <w:tc>
          <w:tcPr>
            <w:tcW w:type="pct" w:w="1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c>
          <w:tcPr>
            <w:tcW w:type="pct" w:w="34%"/>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r>
      <w:tr>
        <w:tc>
          <w:tcPr>
            <w:tcW w:type="pct" w:w="1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 </w:t>
            </w:r>
          </w:p>
        </w:tc>
        <w:tc>
          <w:tcPr>
            <w:tcW w:type="pct" w:w="34%"/>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 </w:t>
            </w:r>
          </w:p>
        </w:tc>
      </w:tr>
      <w:tr>
        <w:tc>
          <w:tcPr>
            <w:tcW w:type="pct" w:w="1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c>
          <w:tcPr>
            <w:tcW w:type="pct" w:w="34%"/>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r>
      <w:tr>
        <w:tc>
          <w:tcPr>
            <w:tcW w:type="pct" w:w="1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 </w:t>
            </w:r>
          </w:p>
        </w:tc>
        <w:tc>
          <w:tcPr>
            <w:tcW w:type="pct" w:w="34%"/>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rial" w:cs="Arial" w:eastAsia="Arial" w:hAnsi="Arial"/>
                <w:color w:val="2B2B2B"/>
                <w:sz w:val="20"/>
                <w:szCs w:val="20"/>
              </w:rPr>
              <w:t xml:space="preserve"> </w:t>
            </w:r>
          </w:p>
        </w:tc>
      </w:tr>
      <w:tr>
        <w:tc>
          <w:tcPr>
            <w:tcW w:type="pct" w:w="1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c>
          <w:tcPr>
            <w:tcW w:type="pct" w:w="34%"/>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rial" w:cs="Arial" w:eastAsia="Arial" w:hAnsi="Arial"/>
                <w:color w:val="2B2B2B"/>
                <w:sz w:val="20"/>
                <w:szCs w:val="20"/>
              </w:rPr>
              <w:t xml:space="preserve"> </w:t>
            </w:r>
          </w:p>
        </w:tc>
      </w:tr>
    </w:tbl>
    <w:sectPr>
      <w:footerReference w:type="default" r:id="rId7"/>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MGP Inc. — La Grange Parking Apps (Developer Guide) | Page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hlw_oj9icpved9-4xerd" Type="http://schemas.openxmlformats.org/officeDocument/2006/relationships/hyperlink" Target="https://mango-cliff-087d26410.7.azurestaticapps.net" TargetMode="External"/><Relationship Id="rIdouoiiflkj0iqnnq3foad9" Type="http://schemas.openxmlformats.org/officeDocument/2006/relationships/hyperlink" Target="https://ashy-mud-0b906db10.7.azurestaticapps.net" TargetMode="External"/><Relationship Id="rId1tjas0cnfsv_vd484_ss9" Type="http://schemas.openxmlformats.org/officeDocument/2006/relationships/hyperlink" Target="https://mango-cliff-087d26410.7.azurestaticapps.net" TargetMode="External"/><Relationship Id="rId1dvs0y1cr6qk-6ddpl4tp" Type="http://schemas.openxmlformats.org/officeDocument/2006/relationships/hyperlink" Target="https://ashy-mud-0b906db10.7.azurestaticapps.net" TargetMode="External"/><Relationship Id="rIdz6frf5doliqhure0c9es4" Type="http://schemas.openxmlformats.org/officeDocument/2006/relationships/hyperlink" Target="https://mango-cliff-087d26410.7.azurestaticapps.net" TargetMode="External"/><Relationship Id="rIdcqq1-q7hd-c5ywumq-r-v" Type="http://schemas.openxmlformats.org/officeDocument/2006/relationships/hyperlink" Target="https://ashy-mud-0b906db10.7.azurestaticapps.net" TargetMode="External"/><Relationship Id="rIdmkx1iyoadm3myte5rocwv" Type="http://schemas.openxmlformats.org/officeDocument/2006/relationships/hyperlink" Target="https://github.com/mgp-inc/lagrange-parking" TargetMode="External"/><Relationship Id="rId8" Type="http://schemas.openxmlformats.org/officeDocument/2006/relationships/image" Target="media/594ca5fa9e220dea308cbf278a5b8e9747710222.png"/><Relationship Id="rId9" Type="http://schemas.openxmlformats.org/officeDocument/2006/relationships/image" Target="media/e889c8bcebf1152af7eb1cfd99d8166fd7e1ca26.png"/><Relationship Id="rId10" Type="http://schemas.openxmlformats.org/officeDocument/2006/relationships/image" Target="media/c42b96f81779f5054555cf3a51d4cbd6778446c1.png"/><Relationship Id="rId11" Type="http://schemas.openxmlformats.org/officeDocument/2006/relationships/image" Target="media/54ded6c5bbd12ec605cc48a4b0b8d75f876a39e9.png"/><Relationship Id="rId12" Type="http://schemas.openxmlformats.org/officeDocument/2006/relationships/image" Target="media/39ebc6f87f27bae169845e6b3199ba3f95869a6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2026-09-02T18:16:09.989Z</dcterms:created>
  <dcterms:modified xsi:type="dcterms:W3CDTF">2026-09-02T18:16:09.989Z</dcterms:modified>
</cp:coreProperties>
</file>

<file path=docProps/custom.xml><?xml version="1.0" encoding="utf-8"?>
<Properties xmlns="http://schemas.openxmlformats.org/officeDocument/2006/custom-properties" xmlns:vt="http://schemas.openxmlformats.org/officeDocument/2006/docPropsVTypes"/>
</file>