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MGP Inc. — GIS &amp; Web Applications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La Grange Parking Apps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95959"/>
          <w:sz w:val="30"/>
          <w:szCs w:val="30"/>
        </w:rPr>
        <w:t xml:space="preserve">Developer Guide</w:t>
      </w:r>
    </w:p>
    <w:p>
      <w:pPr>
        <w:spacing w:after="300"/>
        <w:jc w:val="center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What the two parking maps are, where every piece of content lives, and how to edit, verify, and deploy safely.</w:t>
      </w:r>
    </w:p>
    <w:p>
      <w:pPr>
        <w:spacing w:after="80"/>
        <w:jc w:val="center"/>
      </w:pPr>
      <w:hyperlink w:history="1" r:id="rIdo5zgnxclnwwbr1iu0hdhf">
        <w:r>
          <w:rPr>
            <w:rFonts w:ascii="Arial" w:cs="Arial" w:eastAsia="Arial" w:hAnsi="Arial"/>
            <w:color w:val="2E74B5"/>
            <w:sz w:val="21"/>
            <w:szCs w:val="21"/>
            <w:u w:val="single"/>
          </w:rPr>
          <w:t xml:space="preserve">Permit app — mango-cliff-087d26410.7.azurestaticapps.net</w:t>
        </w:r>
      </w:hyperlink>
    </w:p>
    <w:p>
      <w:pPr>
        <w:jc w:val="center"/>
      </w:pPr>
      <w:hyperlink w:history="1" r:id="rIdbwubmj8mimedeniumyeq3">
        <w:r>
          <w:rPr>
            <w:rFonts w:ascii="Arial" w:cs="Arial" w:eastAsia="Arial" w:hAnsi="Arial"/>
            <w:color w:val="2E74B5"/>
            <w:sz w:val="21"/>
            <w:szCs w:val="21"/>
            <w:u w:val="single"/>
          </w:rPr>
          <w:t xml:space="preserve">Public app — ashy-mud-0b906db10.7.azurestaticapps.net</w:t>
        </w:r>
      </w:hyperlink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If page numbers are missing, right-click the table and choose "Update Field".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Quick Reference — 90% of the job on one page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Quick Reference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2E74B5" w:val="clear"/>
              <w:spacing w:after="8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▶  Run it locally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install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dev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→ permit app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dev:public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→ public app</w:t>
            </w:r>
          </w:p>
          <w:p>
            <w:pPr>
              <w:spacing w:after="60"/>
              <w:ind w:left="140" w:right="1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 .env needed — a fresh clone just runs.</w:t>
            </w:r>
          </w:p>
        </w:tc>
        <w:tc>
          <w:tcPr>
            <w:tcW w:type="pct" w:w="50%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2E74B5" w:val="clear"/>
              <w:spacing w:after="8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✎  Edit content</w:t>
            </w:r>
          </w:p>
          <w:p>
            <w:pPr>
              <w:spacing w:after="40"/>
              <w:ind w:left="140" w:right="1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Nearly everything is JSON, not code: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public/profiles/lagrange-permit.json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public/profiles/lagrange-public.json</w:t>
            </w:r>
          </w:p>
          <w:p>
            <w:pPr>
              <w:spacing w:after="60"/>
              <w:ind w:left="140" w:right="1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Property reference: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src/config/types.ts</w:t>
            </w:r>
          </w:p>
        </w:tc>
      </w:tr>
      <w:tr>
        <w:tc>
          <w:tcPr>
            <w:tcW w:type="pct" w:w="50%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2E74B5" w:val="clear"/>
              <w:spacing w:after="8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✓  Verify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 scripts/verify-permit-pages.mjs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 scripts/verify-basemaps.mjs</w:t>
            </w:r>
          </w:p>
          <w:p>
            <w:pPr>
              <w:spacing w:after="60"/>
              <w:ind w:left="140" w:right="1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Then click through the pages you touched.</w:t>
            </w:r>
          </w:p>
        </w:tc>
        <w:tc>
          <w:tcPr>
            <w:tcW w:type="pct" w:w="50%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2E74B5" w:val="clear"/>
              <w:spacing w:after="8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⇪  Deploy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build</w:t>
            </w:r>
          </w:p>
          <w:p>
            <w:pPr>
              <w:spacing w:after="40"/>
              <w:ind w:left="140" w:right="10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push origin master:main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← not plain push!</w:t>
            </w:r>
          </w:p>
          <w:p>
            <w:pPr>
              <w:spacing w:after="60"/>
              <w:ind w:left="140" w:right="1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SWA deploy — see Chapter 7.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538135" w:sz="6"/>
              <w:left w:val="single" w:color="538135" w:sz="6"/>
              <w:bottom w:val="single" w:color="538135" w:sz="6"/>
              <w:right w:val="single" w:color="538135" w:sz="6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23"/>
                <w:szCs w:val="23"/>
              </w:rPr>
              <w:t xml:space="preserve">✓  DO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Edit profiles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*.json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) for content changes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Keep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tab.areaIds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exactly as the Village lists lots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docs/BACKLOG.md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before "fixing" a bug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Run the verify scripts before showing the Village</w:t>
            </w:r>
          </w:p>
        </w:tc>
        <w:tc>
          <w:tcPr>
            <w:tcW w:type="pct" w:w="50%"/>
            <w:tcBorders>
              <w:top w:val="single" w:color="C00000" w:sz="6"/>
              <w:left w:val="single" w:color="C00000" w:sz="6"/>
              <w:bottom w:val="single" w:color="C00000" w:sz="6"/>
              <w:right w:val="single" w:color="C00000" w:sz="6"/>
            </w:tcBorders>
            <w:shd w:fill="FBE4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23"/>
                <w:szCs w:val="23"/>
              </w:rPr>
              <w:t xml:space="preserve">✗  DON'T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Show pricing anywhere (RATE_TEXT exists — never surface it)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Use the word "decal" in user-visible text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Hardcode field names, lot ids, or copy in components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Add a landing page / layout chooser (removed on purpose)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1. The Two Apps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The Two Apps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One codebase, two static apps — no server, no login. What is deployed is the reference for "how it should look": keep a live site open next to your dev server.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</w:t>
            </w:r>
          </w:p>
        </w:tc>
        <w:tc>
          <w:tcPr>
            <w:tcW w:type="pct" w:w="32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it serves</w:t>
            </w:r>
          </w:p>
        </w:tc>
        <w:tc>
          <w:tcPr>
            <w:tcW w:type="pct" w:w="26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Runs with</w:t>
            </w:r>
          </w:p>
        </w:tc>
        <w:tc>
          <w:tcPr>
            <w:tcW w:type="pct" w:w="30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Live site</w:t>
            </w:r>
          </w:p>
        </w:tc>
      </w:tr>
      <w:tr>
        <w:tc>
          <w:tcPr>
            <w:tcW w:type="pct" w:w="1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Permit</w:t>
            </w:r>
          </w:p>
        </w:tc>
        <w:tc>
          <w:tcPr>
            <w:tcW w:type="pct" w:w="3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permit-type pages</w:t>
            </w:r>
          </w:p>
        </w:tc>
        <w:tc>
          <w:tcPr>
            <w:tcW w:type="pct" w:w="2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dev</w:t>
            </w:r>
          </w:p>
        </w:tc>
        <w:tc>
          <w:tcPr>
            <w:tcW w:type="pct" w:w="3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hyperlink w:history="1" r:id="rIdyauvr1qj9rmhqfpj9pcv7">
              <w:r>
                <w:rPr>
                  <w:rFonts w:ascii="Arial" w:cs="Arial" w:eastAsia="Arial" w:hAnsi="Arial"/>
                  <w:color w:val="2E74B5"/>
                  <w:sz w:val="21"/>
                  <w:szCs w:val="21"/>
                  <w:u w:val="single"/>
                </w:rPr>
                <w:t xml:space="preserve">mango-cliff-087d26410…</w:t>
              </w:r>
            </w:hyperlink>
          </w:p>
        </w:tc>
      </w:tr>
      <w:tr>
        <w:tc>
          <w:tcPr>
            <w:tcW w:type="pct" w:w="1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  <w:tc>
          <w:tcPr>
            <w:tcW w:type="pct" w:w="3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Visitors — time-based parking</w:t>
            </w:r>
          </w:p>
        </w:tc>
        <w:tc>
          <w:tcPr>
            <w:tcW w:type="pct" w:w="26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dev:public</w:t>
            </w:r>
          </w:p>
        </w:tc>
        <w:tc>
          <w:tcPr>
            <w:tcW w:type="pct" w:w="3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hyperlink w:history="1" r:id="rIdc6iofmbl2ydv1lggb-anh">
              <w:r>
                <w:rPr>
                  <w:rFonts w:ascii="Arial" w:cs="Arial" w:eastAsia="Arial" w:hAnsi="Arial"/>
                  <w:color w:val="2E74B5"/>
                  <w:sz w:val="21"/>
                  <w:szCs w:val="21"/>
                  <w:u w:val="single"/>
                </w:rPr>
                <w:t xml:space="preserve">ashy-mud-0b906db10…</w:t>
              </w:r>
            </w:hyperlink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The permit app — the visitor picks a permit type, then sees only that page’s lots and rules (the "Guided Finder").</w:t>
      </w:r>
    </w:p>
    <w:p>
      <w:pPr>
        <w:spacing w:after="6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The public app — legend categories, consolidated on-street row, and the lot 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Stack: </w:t>
      </w:r>
      <w:r>
        <w:rPr>
          <w:rFonts w:ascii="Arial" w:cs="Arial" w:eastAsia="Arial" w:hAnsi="Arial"/>
          <w:sz w:val="21"/>
          <w:szCs w:val="21"/>
        </w:rPr>
        <w:t xml:space="preserve">React 19 · TypeScript · Vite 7 · ArcGIS JS SDK v5 — hooks only, no state library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Everything is profile-driven: </w:t>
      </w:r>
      <w:r>
        <w:rPr>
          <w:rFonts w:ascii="Arial" w:cs="Arial" w:eastAsia="Arial" w:hAnsi="Arial"/>
          <w:sz w:val="21"/>
          <w:szCs w:val="21"/>
        </w:rPr>
        <w:t xml:space="preserve">layer URLs, tabs, lots, rules, all sidebar text, colors — in </w:t>
      </w:r>
      <w:r>
        <w:rPr>
          <w:rFonts w:ascii="Consolas" w:cs="Consolas" w:eastAsia="Consolas" w:hAnsi="Consolas"/>
          <w:sz w:val="19"/>
          <w:szCs w:val="19"/>
        </w:rPr>
        <w:t xml:space="preserve">public/profiles/</w:t>
      </w:r>
      <w:r>
        <w:rPr>
          <w:rFonts w:ascii="Arial" w:cs="Arial" w:eastAsia="Arial" w:hAnsi="Arial"/>
          <w:sz w:val="21"/>
          <w:szCs w:val="21"/>
        </w:rPr>
        <w:t xml:space="preserve"> JSON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Hidden layouts: </w:t>
      </w:r>
      <w:r>
        <w:rPr>
          <w:rFonts w:ascii="Consolas" w:cs="Consolas" w:eastAsia="Consolas" w:hAnsi="Consolas"/>
          <w:sz w:val="19"/>
          <w:szCs w:val="19"/>
        </w:rPr>
        <w:t xml:space="preserve">#/explorer</w:t>
      </w:r>
      <w:r>
        <w:rPr>
          <w:rFonts w:ascii="Arial" w:cs="Arial" w:eastAsia="Arial" w:hAnsi="Arial"/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#/directory</w:t>
      </w:r>
      <w:r>
        <w:rPr>
          <w:rFonts w:ascii="Arial" w:cs="Arial" w:eastAsia="Arial" w:hAnsi="Arial"/>
          <w:sz w:val="21"/>
          <w:szCs w:val="21"/>
        </w:rPr>
        <w:t xml:space="preserve"> exist for internal comparison only — nothing links to them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Stale copy: </w:t>
      </w:r>
      <w:r>
        <w:rPr>
          <w:rFonts w:ascii="Arial" w:cs="Arial" w:eastAsia="Arial" w:hAnsi="Arial"/>
          <w:sz w:val="21"/>
          <w:szCs w:val="21"/>
        </w:rPr>
        <w:t xml:space="preserve">the nested </w:t>
      </w:r>
      <w:r>
        <w:rPr>
          <w:rFonts w:ascii="Consolas" w:cs="Consolas" w:eastAsia="Consolas" w:hAnsi="Consolas"/>
          <w:sz w:val="19"/>
          <w:szCs w:val="19"/>
        </w:rPr>
        <w:t xml:space="preserve">lagrange-parking/</w:t>
      </w:r>
      <w:r>
        <w:rPr>
          <w:rFonts w:ascii="Arial" w:cs="Arial" w:eastAsia="Arial" w:hAnsi="Arial"/>
          <w:sz w:val="21"/>
          <w:szCs w:val="21"/>
        </w:rPr>
        <w:t xml:space="preserve"> folder is an old duplicate — never touch it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this…</w:t>
            </w:r>
          </w:p>
        </w:tc>
        <w:tc>
          <w:tcPr>
            <w:tcW w:type="pct" w:w="65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…when you need</w:t>
            </w:r>
          </w:p>
        </w:tc>
      </w:tr>
      <w:tr>
        <w:tc>
          <w:tcPr>
            <w:tcW w:type="pct" w:w="3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docs/PROJECT-CONTEXT.md</w:t>
            </w:r>
          </w:p>
        </w:tc>
        <w:tc>
          <w:tcPr>
            <w:tcW w:type="pct" w:w="6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 the client is, content rules, dated "Current state" block</w:t>
            </w:r>
          </w:p>
        </w:tc>
      </w:tr>
      <w:tr>
        <w:tc>
          <w:tcPr>
            <w:tcW w:type="pct" w:w="3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docs/DATA.md</w:t>
            </w:r>
          </w:p>
        </w:tc>
        <w:tc>
          <w:tcPr>
            <w:tcW w:type="pct" w:w="6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pipeline + every known data defect the app works around</w:t>
            </w:r>
          </w:p>
        </w:tc>
      </w:tr>
      <w:tr>
        <w:tc>
          <w:tcPr>
            <w:tcW w:type="pct" w:w="3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docs/BACKLOG.md</w:t>
            </w:r>
          </w:p>
        </w:tc>
        <w:tc>
          <w:tcPr>
            <w:tcW w:type="pct" w:w="6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items — check before changing behaviour</w:t>
            </w:r>
          </w:p>
        </w:tc>
      </w:tr>
      <w:tr>
        <w:tc>
          <w:tcPr>
            <w:tcW w:type="pct" w:w="3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· 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DEPLOY.md</w:t>
            </w:r>
          </w:p>
        </w:tc>
        <w:tc>
          <w:tcPr>
            <w:tcW w:type="pct" w:w="6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Condensed working notes · deploy runbook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2. Content Rules — Non-Negotiable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Content Rules — Non-Negotiable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From the Village stakeholder (Charity). Easy to violate by accident — check every change against this table.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538135" w:sz="6"/>
              <w:left w:val="single" w:color="538135" w:sz="6"/>
              <w:bottom w:val="single" w:color="538135" w:sz="6"/>
              <w:right w:val="single" w:color="538135" w:sz="6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23"/>
                <w:szCs w:val="23"/>
              </w:rPr>
              <w:t xml:space="preserve">✓  DO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Plain-language guidance: "where you may park"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Treat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tab.areaIds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as the Village’s verbatim, binding lot list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Keep per-lot cards minimal — the sidebar "What you need to know" is the star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Get stakeholder sign-off before adding attribute rows back</w:t>
            </w:r>
          </w:p>
        </w:tc>
        <w:tc>
          <w:tcPr>
            <w:tcW w:type="pct" w:w="50%"/>
            <w:tcBorders>
              <w:top w:val="single" w:color="C00000" w:sz="6"/>
              <w:left w:val="single" w:color="C00000" w:sz="6"/>
              <w:bottom w:val="single" w:color="C00000" w:sz="6"/>
              <w:right w:val="single" w:color="C00000" w:sz="6"/>
            </w:tcBorders>
            <w:shd w:fill="FBE4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23"/>
                <w:szCs w:val="23"/>
              </w:rPr>
              <w:t xml:space="preserve">✗  DON'T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Pricing — RATE_TEXT / RATE_MONTHLY are populated but banned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"Decal" — survives only as internal RULETYPE codes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Ordinance / legalese text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Data-derived lot lists replacing the Village’s list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FB2D9" w:sz="6"/>
              <w:left w:val="single" w:color="7FB2D9" w:sz="6"/>
              <w:bottom w:val="single" w:color="7FB2D9" w:sz="6"/>
              <w:right w:val="single" w:color="7FB2D9" w:sz="6"/>
            </w:tcBorders>
            <w:shd w:fill="EAF3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Several "bugs" are decisions, not bugs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Lots with empty detail cards, 5 lint errors on main, odd RULETYPE values — all known, with decisions recorded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docs/BACKLOG.md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Read it before changing behaviour.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3. Common Edits — Recipes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Common Edits — Recipes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Every recipe is a JSON edit — no component changes. Dev: save + hard-reload. Production: deploy (Chapter 7). Property reference: </w:t>
      </w:r>
      <w:r>
        <w:rPr>
          <w:rFonts w:ascii="Consolas" w:cs="Consolas" w:eastAsia="Consolas" w:hAnsi="Consolas"/>
          <w:sz w:val="19"/>
          <w:szCs w:val="19"/>
        </w:rPr>
        <w:t xml:space="preserve">src/config/types.ts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3.1 — Change sidebar text on a permit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lagrange-permit.json</w:t>
            </w:r>
          </w:p>
        </w:tc>
      </w:tr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Edit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Find the tab by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→ edit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guide.sections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bullets (support nested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items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links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)</w:t>
            </w:r>
          </w:p>
        </w:tc>
      </w:tr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Verify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Hard-reload, read the page</w:t>
            </w:r>
          </w:p>
        </w:tc>
      </w:tr>
    </w:tbl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Example: adding "Effective October 1st, …" to two resident bullets was a one-line edit each.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3.2 — Add / remove a lot on a permit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lagrange-permit.json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→  the tab’s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areaIds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array</w:t>
            </w:r>
          </w:p>
        </w:tc>
      </w:tr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Also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Update guide text if it names lots ("valid anywhere within Lot 2 and Lot 4")</w:t>
            </w:r>
          </w:p>
        </w:tc>
      </w:tr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Verify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 scripts/verify-permit-pages.mjs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every id must resolve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FB2D9" w:sz="6"/>
              <w:left w:val="single" w:color="7FB2D9" w:sz="6"/>
              <w:bottom w:val="single" w:color="7FB2D9" w:sz="6"/>
              <w:right w:val="single" w:color="7FB2D9" w:sz="6"/>
            </w:tcBorders>
            <w:shd w:fill="EAF3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The lot must also pass the layer baseWhere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Permit app filter: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USERCLASS = 'PERMIT'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A VISITOR-class lot will be listed but never draw — check with an anonymous query first (Chapter 4).</w:t>
            </w:r>
          </w:p>
        </w:tc>
      </w:tr>
    </w:tbl>
    <w:p>
      <w:pPr>
        <w:spacing w:after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3.3 — Rename a lot / add a note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Rename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profile.nameOverrides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keyed by AREAID — 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"VILLAGEHALLPARKINGSTRUCTURE": "VH Garage"</w:t>
            </w:r>
          </w:p>
        </w:tc>
      </w:tr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Note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tab.note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(every card)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tab.lotNotes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(per lot)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tab.lotSubzoneNotes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(green callout style)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3.4 — Designated spaces inside a lot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Two mechanisms — same lot can use either, per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Mechanism</w:t>
            </w:r>
          </w:p>
        </w:tc>
        <w:tc>
          <w:tcPr>
            <w:tcW w:type="pct" w:w="45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draws</w:t>
            </w:r>
          </w:p>
        </w:tc>
        <w:tc>
          <w:tcPr>
            <w:tcW w:type="pct" w:w="35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Turned on by</w:t>
            </w:r>
          </w:p>
        </w:tc>
      </w:tr>
      <w:tr>
        <w:tc>
          <w:tcPr>
            <w:tcW w:type="pct" w:w="2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Subzones</w:t>
            </w:r>
          </w:p>
        </w:tc>
        <w:tc>
          <w:tcPr>
            <w:tcW w:type="pct" w:w="4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Resident overnight bands (hosted subzone layer)</w:t>
            </w:r>
          </w:p>
        </w:tc>
        <w:tc>
          <w:tcPr>
            <w:tcW w:type="pct" w:w="3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tab.showSubzones: true</w:t>
            </w:r>
          </w:p>
        </w:tc>
      </w:tr>
      <w:tr>
        <w:tc>
          <w:tcPr>
            <w:tcW w:type="pct" w:w="2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Overlay layers</w:t>
            </w:r>
          </w:p>
        </w:tc>
        <w:tc>
          <w:tcPr>
            <w:tcW w:type="pct" w:w="4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filtered polygon (e.g. Lot 5 CBD employee rows)</w:t>
            </w:r>
          </w:p>
        </w:tc>
        <w:tc>
          <w:tcPr>
            <w:tcW w:type="pct" w:w="35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overlayLayers[]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showForAreaId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showForTabIds</w:t>
            </w:r>
          </w:p>
        </w:tc>
      </w:tr>
    </w:tbl>
    <w:p>
      <w:pPr>
        <w:spacing w:after="60"/>
      </w:pPr>
    </w:p>
    <w:p>
      <w:pPr>
        <w:spacing w:after="6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Same lot, page 1: Resident Overnight — green subzone bands mark the only spaces valid overnight.</w:t>
      </w:r>
    </w:p>
    <w:p>
      <w:pPr>
        <w:spacing w:after="6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Same lot, page 2: Employees — the CBD rows overlay draws instead (showForTabIds: ["employees"]).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FB2D9" w:sz="6"/>
              <w:left w:val="single" w:color="7FB2D9" w:sz="6"/>
              <w:bottom w:val="single" w:color="7FB2D9" w:sz="6"/>
              <w:right w:val="single" w:color="7FB2D9" w:sz="6"/>
            </w:tcBorders>
            <w:shd w:fill="EAF3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Absence of green is ambiguous — and it fails quiet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Only permitted areas were digitized: "no bands" can mean "not permitted" or "not drawn yet" (VH Garage, Lot 15)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 "park only in the highlighted areas" sentence must stay gated by useSubzoneAreaIds — never show it unconditionally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If the subzone service stops answering anonymously, every band and note silently disappears (docs/DATA.md §3.6)</w:t>
            </w:r>
          </w:p>
        </w:tc>
      </w:tr>
    </w:tbl>
    <w:p>
      <w:pPr>
        <w:spacing w:after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3.5 — Public map "Availability / Time limit" text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lagrange-public.json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→ 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areaInfo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(per-AREAID overrides — NOT the GIS rules)</w:t>
            </w:r>
          </w:p>
        </w:tc>
      </w:tr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Edit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Change 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timeLimit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availability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strings</w:t>
            </w:r>
          </w:p>
        </w:tc>
      </w:tr>
      <w:tr>
        <w:tc>
          <w:tcPr>
            <w:tcW w:type="pct" w:w="14%"/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Flag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Check whether the hosted ParkingRule table needs the same change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Village Hall Surface Lot — these two lines come from profile.areaInfo (e.g. the 3 hr → 4 hr fix, Sept 2026).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4. The Data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The Data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Both apps read public ArcGIS Online services anonymously. Full model + defects: docs/DATA.md.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 (services2.arcgis.com/FwavjPsU0K1YB1vX)</w:t>
            </w:r>
          </w:p>
        </w:tc>
        <w:tc>
          <w:tcPr>
            <w:tcW w:type="pct" w:w="50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Contains</w:t>
            </w:r>
          </w:p>
        </w:tc>
      </w:tr>
      <w:tr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LaGrange_Parking_Permits/FeatureServer/2</w:t>
            </w:r>
          </w:p>
        </w:tc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ParkingArea polygons — AREAID, AREANAME, USERCLASS, HAS* flags</w:t>
            </w:r>
          </w:p>
        </w:tc>
      </w:tr>
      <w:tr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LaGrange_Parking_Permits/FeatureServer/3</w:t>
            </w:r>
          </w:p>
        </w:tc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ParkingRule table — RULETYPE, ENFORCE_TEXT, MAXDURATION</w:t>
            </w:r>
          </w:p>
        </w:tc>
      </w:tr>
      <w:tr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LaGrange_Overnight_Resident_Subzones/…/0</w:t>
            </w:r>
          </w:p>
        </w:tc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Designated overnight bands (YES-only digitization)</w:t>
            </w:r>
          </w:p>
        </w:tc>
      </w:tr>
      <w:tr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LaGrangeImportantPlaces_ParkingContext_/…/0</w:t>
            </w:r>
          </w:p>
        </w:tc>
        <w:tc>
          <w:tcPr>
            <w:tcW w:type="pct" w:w="50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 polygons — parks, civic, Metra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0000" w:sz="6"/>
              <w:left w:val="single" w:color="C00000" w:sz="6"/>
              <w:bottom w:val="single" w:color="C00000" w:sz="6"/>
              <w:right w:val="single" w:color="C00000" w:sz="6"/>
            </w:tcBorders>
            <w:shd w:fill="FBE4E4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 xml:space="preserve">⚠ Republishing the service breaks both apps — every time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Republishing resets AGOL sharing to org-only → both apps fail with {"code":499, "Token Required"}. After ANY republish: re-share Public, then confirm an untokened query returns a count:</w:t>
            </w:r>
          </w:p>
          <w:p>
            <w:pPr>
              <w:shd w:fill="F2F2F2" w:val="clear"/>
              <w:spacing w:after="120"/>
              <w:ind w:left="288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…/FeatureServer/2/query?where=1=1&amp;returnCountOnly=true&amp;f=json</w:t>
            </w:r>
          </w:p>
        </w:tc>
      </w:tr>
    </w:tbl>
    <w:p>
      <w:pPr>
        <w:spacing w:after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Check the data before you edit a profile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node -e 'fetch("https://services2.arcgis.com/FwavjPsU0K1YB1vX/arcgis/rest/services/" +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"LaGrange_Parking_Permits/FeatureServer/2/query?where=AREAID=%27LOT4%27" +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"&amp;outFields=AREAID,USERCLASS,HASCBD&amp;returnGeometry=false&amp;f=json")</w:t>
      </w:r>
    </w:p>
    <w:p>
      <w:pPr>
        <w:shd w:fill="F2F2F2" w:val="clear"/>
        <w:spacing w:after="12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.then(r=&gt;r.json()).then(j=&gt;console.log(JSON.stringify(j.features)))'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5. Verify Before You Show Anyone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Verify Before You Show Anyone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Command</w:t>
            </w:r>
          </w:p>
        </w:tc>
        <w:tc>
          <w:tcPr>
            <w:tcW w:type="pct" w:w="58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Proves</w:t>
            </w:r>
          </w:p>
        </w:tc>
      </w:tr>
      <w:tr>
        <w:tc>
          <w:tcPr>
            <w:tcW w:type="pct" w:w="4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 scripts/verify-permit-pages.mjs</w:t>
            </w:r>
          </w:p>
        </w:tc>
        <w:tc>
          <w:tcPr>
            <w:tcW w:type="pct" w:w="5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lot on every permit page resolves + returns rules (NO RULES warnings = known upstream mislabels)</w:t>
            </w:r>
          </w:p>
        </w:tc>
      </w:tr>
      <w:tr>
        <w:tc>
          <w:tcPr>
            <w:tcW w:type="pct" w:w="4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 scripts/verify-basemaps.mjs</w:t>
            </w:r>
          </w:p>
        </w:tc>
        <w:tc>
          <w:tcPr>
            <w:tcW w:type="pct" w:w="5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basemap serves a real tile over La Grange (metadata alone lies)</w:t>
            </w:r>
          </w:p>
        </w:tc>
      </w:tr>
      <w:tr>
        <w:tc>
          <w:tcPr>
            <w:tcW w:type="pct" w:w="4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 scripts/inspect-service.mjs</w:t>
            </w:r>
          </w:p>
        </w:tc>
        <w:tc>
          <w:tcPr>
            <w:tcW w:type="pct" w:w="5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+ value distributions</w:t>
            </w:r>
          </w:p>
        </w:tc>
      </w:tr>
      <w:tr>
        <w:tc>
          <w:tcPr>
            <w:tcW w:type="pct" w:w="4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lint</w:t>
            </w:r>
          </w:p>
        </w:tc>
        <w:tc>
          <w:tcPr>
            <w:tcW w:type="pct" w:w="5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NEW errors matter — 5 are pre-existing on main</w:t>
            </w:r>
          </w:p>
        </w:tc>
      </w:tr>
    </w:tbl>
    <w:p>
      <w:pPr>
        <w:spacing w:after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2-minute browser pass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Permit app — open all four pages, click one lot on each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Lot 5 twice: Resident Overnight → green bands · Employees → CBD rows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Public app — click 2–3 lots, sanity-check Availability / Time limit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FB2D9" w:sz="6"/>
              <w:left w:val="single" w:color="7FB2D9" w:sz="6"/>
              <w:bottom w:val="single" w:color="7FB2D9" w:sz="6"/>
              <w:right w:val="single" w:color="7FB2D9" w:sz="6"/>
            </w:tcBorders>
            <w:shd w:fill="EAF3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Expected noise — ignore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Esri console deprecation warnings (Home/Locate widgets, Polygon.centroid)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 RULES on Lot 13 (commuter) and Lot 2 / VH Garage (employees) — upstream; those pages hide rules anyway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6. Ship It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Ship It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Build: 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rPr>
          <w:rFonts w:ascii="Arial" w:cs="Arial" w:eastAsia="Arial" w:hAnsi="Arial"/>
          <w:sz w:val="21"/>
          <w:szCs w:val="21"/>
        </w:rPr>
        <w:t xml:space="preserve">   → dist/permit + dist/public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Push:  </w:t>
      </w:r>
      <w:r>
        <w:rPr>
          <w:rFonts w:ascii="Consolas" w:cs="Consolas" w:eastAsia="Consolas" w:hAnsi="Consolas"/>
          <w:sz w:val="19"/>
          <w:szCs w:val="19"/>
        </w:rPr>
        <w:t xml:space="preserve">git push origin master:main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Deploy both SWAs</w:t>
      </w:r>
      <w:r>
        <w:rPr>
          <w:rFonts w:ascii="Arial" w:cs="Arial" w:eastAsia="Arial" w:hAnsi="Arial"/>
          <w:sz w:val="21"/>
          <w:szCs w:val="21"/>
        </w:rPr>
        <w:t xml:space="preserve"> (PowerShell, verified 2026-09-01):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$TOKEN = az staticwebapp secrets list -n lagrange-parking-permit -g rg-lagrange-parking `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         --query "properties.apiKey" -o tsv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npx -y "@azure/static-web-apps-cli" deploy ./dist/permit --deployment-token $TOKEN --env production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$TOKEN = az staticwebapp secrets list -n lagrange-parking-public -g rg-lagrange-parking `</w:t>
      </w:r>
    </w:p>
    <w:p>
      <w:pPr>
        <w:shd w:fill="F2F2F2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         --query "properties.apiKey" -o tsv</w:t>
      </w:r>
    </w:p>
    <w:p>
      <w:pPr>
        <w:shd w:fill="F2F2F2" w:val="clear"/>
        <w:spacing w:after="12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npx -y "@azure/static-web-apps-cli" deploy ./dist/public --deployment-token $TOKEN --env production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Smoke test:  </w:t>
      </w:r>
      <w:r>
        <w:rPr>
          <w:rFonts w:ascii="Arial" w:cs="Arial" w:eastAsia="Arial" w:hAnsi="Arial"/>
          <w:sz w:val="21"/>
          <w:szCs w:val="21"/>
        </w:rPr>
        <w:t xml:space="preserve">fetch each site’s </w:t>
      </w:r>
      <w:r>
        <w:rPr>
          <w:rFonts w:ascii="Consolas" w:cs="Consolas" w:eastAsia="Consolas" w:hAnsi="Consolas"/>
          <w:sz w:val="19"/>
          <w:szCs w:val="19"/>
        </w:rPr>
        <w:t xml:space="preserve">/profiles/*.json</w:t>
      </w:r>
      <w:r>
        <w:rPr>
          <w:rFonts w:ascii="Arial" w:cs="Arial" w:eastAsia="Arial" w:hAnsi="Arial"/>
          <w:sz w:val="21"/>
          <w:szCs w:val="21"/>
        </w:rPr>
        <w:t xml:space="preserve"> and confirm your edits are live, then click through once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FB2D9" w:sz="6"/>
              <w:left w:val="single" w:color="7FB2D9" w:sz="6"/>
              <w:bottom w:val="single" w:color="7FB2D9" w:sz="6"/>
              <w:right w:val="single" w:color="7FB2D9" w:sz="6"/>
            </w:tcBorders>
            <w:shd w:fill="EAF3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Branch gotcha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Local branch is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master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; GitHub default is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A plain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 push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creates a stray remote branch — always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master:main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Azure: tenant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Spark by MGP</w:t>
      </w:r>
      <w:r>
        <w:rPr>
          <w:rFonts w:ascii="Arial" w:cs="Arial" w:eastAsia="Arial" w:hAnsi="Arial"/>
          <w:sz w:val="21"/>
          <w:szCs w:val="21"/>
        </w:rPr>
        <w:t xml:space="preserve"> · subscription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Microsoft Azure Sponsorship</w:t>
      </w:r>
      <w:r>
        <w:rPr>
          <w:rFonts w:ascii="Arial" w:cs="Arial" w:eastAsia="Arial" w:hAnsi="Arial"/>
          <w:sz w:val="21"/>
          <w:szCs w:val="21"/>
        </w:rPr>
        <w:t xml:space="preserve"> · resource group </w:t>
      </w:r>
      <w:r>
        <w:rPr>
          <w:rFonts w:ascii="Consolas" w:cs="Consolas" w:eastAsia="Consolas" w:hAnsi="Consolas"/>
          <w:sz w:val="19"/>
          <w:szCs w:val="19"/>
        </w:rPr>
        <w:t xml:space="preserve">rg-lagrange-parking</w:t>
      </w:r>
      <w:r>
        <w:rPr>
          <w:rFonts w:ascii="Arial" w:cs="Arial" w:eastAsia="Arial" w:hAnsi="Arial"/>
          <w:sz w:val="21"/>
          <w:szCs w:val="21"/>
        </w:rPr>
        <w:t xml:space="preserve">. Recreate-from-scratch commands: </w:t>
      </w:r>
      <w:r>
        <w:rPr>
          <w:rFonts w:ascii="Consolas" w:cs="Consolas" w:eastAsia="Consolas" w:hAnsi="Consolas"/>
          <w:sz w:val="19"/>
          <w:szCs w:val="19"/>
        </w:rPr>
        <w:t xml:space="preserve">DEPLOY.md</w:t>
      </w:r>
      <w:r>
        <w:rPr>
          <w:rFonts w:ascii="Arial" w:cs="Arial" w:eastAsia="Arial" w:hAnsi="Arial"/>
          <w:sz w:val="21"/>
          <w:szCs w:val="21"/>
        </w:rPr>
        <w:t xml:space="preserve">. CI builds but does not deploy.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7. When Something Looks Broken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7. When Something Looks Broken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pct" w:w="62%"/>
            <w:shd w:fill="DEEAF6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Cause → fix</w:t>
            </w:r>
          </w:p>
        </w:tc>
      </w:tr>
      <w:tr>
        <w:tc>
          <w:tcPr>
            <w:tcW w:type="pct" w:w="3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parking data, console shows {"code":499}</w:t>
            </w:r>
          </w:p>
        </w:tc>
        <w:tc>
          <w:tcPr>
            <w:tcW w:type="pct" w:w="6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was republished; sharing reset → re-share Public in AGOL (Ch. 4)</w:t>
            </w:r>
          </w:p>
        </w:tc>
      </w:tr>
      <w:tr>
        <w:tc>
          <w:tcPr>
            <w:tcW w:type="pct" w:w="3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Basemap / aerial blank</w:t>
            </w:r>
          </w:p>
        </w:tc>
        <w:tc>
          <w:tcPr>
            <w:tcW w:type="pct" w:w="6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verify-basemaps.mjs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GISC_IMAGERY_* 404s over La Grange — use COUNTY_IMAGERY_COOK_2025_Project</w:t>
            </w:r>
          </w:p>
        </w:tc>
      </w:tr>
      <w:tr>
        <w:tc>
          <w:tcPr>
            <w:tcW w:type="pct" w:w="3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green bands + notes vanished</w:t>
            </w:r>
          </w:p>
        </w:tc>
        <w:tc>
          <w:tcPr>
            <w:tcW w:type="pct" w:w="6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Subzone service stopped answering anonymously — fails quiet (DATA.md §3.6)</w:t>
            </w:r>
          </w:p>
        </w:tc>
      </w:tr>
      <w:tr>
        <w:tc>
          <w:tcPr>
            <w:tcW w:type="pct" w:w="3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Lot draws, card is empty</w:t>
            </w:r>
          </w:p>
        </w:tc>
        <w:tc>
          <w:tcPr>
            <w:tcW w:type="pct" w:w="6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Upstream RULETYPE mislabel — known, see BACKLOG.md</w:t>
            </w:r>
          </w:p>
        </w:tc>
      </w:tr>
      <w:tr>
        <w:tc>
          <w:tcPr>
            <w:tcW w:type="pct" w:w="3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Lot in areaIds never draws</w:t>
            </w:r>
          </w:p>
        </w:tc>
        <w:tc>
          <w:tcPr>
            <w:tcW w:type="pct" w:w="6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Fails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baseWhere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(e.g. USERCLASS=VISITOR on permit app) — query it</w:t>
            </w:r>
          </w:p>
        </w:tc>
      </w:tr>
      <w:tr>
        <w:tc>
          <w:tcPr>
            <w:tcW w:type="pct" w:w="3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profile.branding change does nothing</w:t>
            </w:r>
          </w:p>
        </w:tc>
        <w:tc>
          <w:tcPr>
            <w:tcW w:type="pct" w:w="6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Branding applies only inside the internal Explorer; live look = hardcoded CSS defaults</w:t>
            </w:r>
          </w:p>
        </w:tc>
      </w:tr>
      <w:tr>
        <w:tc>
          <w:tcPr>
            <w:tcW w:type="pct" w:w="38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lint errors</w:t>
            </w:r>
          </w:p>
        </w:tc>
        <w:tc>
          <w:tcPr>
            <w:tcW w:type="pct" w:w="62%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Pre-existing — only chase NEW ones</w:t>
            </w:r>
          </w:p>
        </w:tc>
      </w:tr>
    </w:tbl>
    <w:sectPr>
      <w:footerReference w:type="default" r:id="rId7"/>
      <w:pgSz w:w="11906" w:h="16838" w:orient="portrait"/>
      <w:pgMar w:top="1080" w:right="1240" w:bottom="108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7"/>
        <w:szCs w:val="17"/>
      </w:rPr>
      <w:t xml:space="preserve">MGP Inc. — La Grange Parking Apps (Developer Guide) | Page </w:t>
    </w:r>
    <w:r>
      <w:rPr>
        <w:rFonts w:ascii="Arial" w:cs="Arial" w:eastAsia="Arial" w:hAnsi="Arial"/>
        <w:color w:val="8080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5zgnxclnwwbr1iu0hdhf" Type="http://schemas.openxmlformats.org/officeDocument/2006/relationships/hyperlink" Target="https://mango-cliff-087d26410.7.azurestaticapps.net" TargetMode="External"/><Relationship Id="rIdbwubmj8mimedeniumyeq3" Type="http://schemas.openxmlformats.org/officeDocument/2006/relationships/hyperlink" Target="https://ashy-mud-0b906db10.7.azurestaticapps.net" TargetMode="External"/><Relationship Id="rIdyauvr1qj9rmhqfpj9pcv7" Type="http://schemas.openxmlformats.org/officeDocument/2006/relationships/hyperlink" Target="https://mango-cliff-087d26410.7.azurestaticapps.net" TargetMode="External"/><Relationship Id="rIdc6iofmbl2ydv1lggb-anh" Type="http://schemas.openxmlformats.org/officeDocument/2006/relationships/hyperlink" Target="https://ashy-mud-0b906db10.7.azurestaticapps.net" TargetMode="External"/><Relationship Id="rId8" Type="http://schemas.openxmlformats.org/officeDocument/2006/relationships/image" Target="media/594ca5fa9e220dea308cbf278a5b8e9747710222.png"/><Relationship Id="rId9" Type="http://schemas.openxmlformats.org/officeDocument/2006/relationships/image" Target="media/e889c8bcebf1152af7eb1cfd99d8166fd7e1ca26.png"/><Relationship Id="rId10" Type="http://schemas.openxmlformats.org/officeDocument/2006/relationships/image" Target="media/c42b96f81779f5054555cf3a51d4cbd6778446c1.png"/><Relationship Id="rId11" Type="http://schemas.openxmlformats.org/officeDocument/2006/relationships/image" Target="media/54ded6c5bbd12ec605cc48a4b0b8d75f876a39e9.png"/><Relationship Id="rId12" Type="http://schemas.openxmlformats.org/officeDocument/2006/relationships/image" Target="media/39ebc6f87f27bae169845e6b3199ba3f95869a6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2026-09-02T16:15:29.782Z</dcterms:created>
  <dcterms:modified xsi:type="dcterms:W3CDTF">2026-09-02T16:15:29.783Z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