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015" w:rsidRPr="00126C55" w:rsidRDefault="00BD0015">
      <w:pPr>
        <w:pStyle w:val="PreformattedText"/>
        <w:rPr>
          <w:rFonts w:ascii="Times New Roman" w:hAnsi="Times New Roman" w:cs="Times New Roman"/>
        </w:rPr>
      </w:pPr>
    </w:p>
    <w:p w:rsidR="00BD0015" w:rsidRPr="00126C55" w:rsidRDefault="00BD0015">
      <w:pPr>
        <w:pStyle w:val="PreformattedText"/>
        <w:rPr>
          <w:rFonts w:ascii="Times New Roman" w:hAnsi="Times New Roman" w:cs="Times New Roman"/>
        </w:rPr>
      </w:pPr>
    </w:p>
    <w:p w:rsidR="00BD0015" w:rsidRPr="00784CC7" w:rsidRDefault="00126C55">
      <w:pPr>
        <w:pStyle w:val="1"/>
        <w:spacing w:before="0" w:after="0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bookmarkStart w:id="0" w:name="exercise-00--%25D1%2582%25D0%25B5%25D1%2"/>
      <w:bookmarkEnd w:id="0"/>
      <w:r w:rsidRPr="00784CC7">
        <w:rPr>
          <w:rFonts w:ascii="Times New Roman" w:hAnsi="Times New Roman" w:cs="Times New Roman"/>
          <w:color w:val="000000"/>
          <w:sz w:val="20"/>
          <w:szCs w:val="20"/>
        </w:rPr>
        <w:t>Exercise</w:t>
      </w:r>
      <w:r w:rsidRPr="00784CC7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00 — Терминология</w:t>
      </w:r>
    </w:p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360" w:after="240" w:line="300" w:lineRule="auto"/>
        <w:rPr>
          <w:rFonts w:ascii="Times New Roman" w:hAnsi="Times New Roman" w:cs="Times New Roman"/>
          <w:b w:val="0"/>
          <w:color w:val="000000"/>
          <w:sz w:val="20"/>
          <w:szCs w:val="20"/>
          <w:lang w:val="ru-RU"/>
        </w:rPr>
      </w:pPr>
      <w:bookmarkStart w:id="1" w:name="%25D1%2581%25D0%25BE%25D0%25BF%25D0%25BE"/>
      <w:bookmarkEnd w:id="1"/>
      <w:r w:rsidRPr="00126C55">
        <w:rPr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Сопоставление терминов и определений</w:t>
      </w:r>
    </w:p>
    <w:tbl>
      <w:tblPr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0"/>
        <w:gridCol w:w="7545"/>
      </w:tblGrid>
      <w:tr w:rsidR="00BD0015" w:rsidRPr="00126C55" w:rsidTr="00383987">
        <w:trPr>
          <w:tblHeader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BD0015" w:rsidRPr="00126C55" w:rsidRDefault="00126C55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Термин</w:t>
            </w:r>
            <w:proofErr w:type="spellEnd"/>
          </w:p>
        </w:tc>
        <w:tc>
          <w:tcPr>
            <w:tcW w:w="7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BFD" w:themeFill="accent4" w:themeFillTint="33"/>
            <w:vAlign w:val="center"/>
          </w:tcPr>
          <w:p w:rsidR="00BD0015" w:rsidRPr="00126C55" w:rsidRDefault="00126C55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Определение</w:t>
            </w:r>
            <w:proofErr w:type="spellEnd"/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Разъяснение</w:t>
            </w:r>
            <w:proofErr w:type="spellEnd"/>
          </w:p>
        </w:tc>
      </w:tr>
      <w:tr w:rsidR="00BD0015" w:rsidRPr="00383987" w:rsidTr="0038398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1. REST</w:t>
            </w:r>
          </w:p>
        </w:tc>
        <w:tc>
          <w:tcPr>
            <w:tcW w:w="7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BFD" w:themeFill="accent4" w:themeFillTint="33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3.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Архитектурный стиль взаимодействия компонентов распределенного приложения в сети</w:t>
            </w:r>
          </w:p>
        </w:tc>
      </w:tr>
      <w:tr w:rsidR="00BD0015" w:rsidRPr="00383987" w:rsidTr="0038398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Кеширование</w:t>
            </w:r>
            <w:proofErr w:type="spellEnd"/>
          </w:p>
        </w:tc>
        <w:tc>
          <w:tcPr>
            <w:tcW w:w="7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BFD" w:themeFill="accent4" w:themeFillTint="33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8.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Увеличение производительности веб-приложений за счёт использования сохранённых ранее данных</w:t>
            </w:r>
          </w:p>
        </w:tc>
      </w:tr>
      <w:tr w:rsidR="00BD0015" w:rsidRPr="00383987" w:rsidTr="0038398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Масштабируемость</w:t>
            </w:r>
            <w:proofErr w:type="spellEnd"/>
          </w:p>
        </w:tc>
        <w:tc>
          <w:tcPr>
            <w:tcW w:w="7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BFD" w:themeFill="accent4" w:themeFillTint="33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5.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Способность системы, сети или процесса увеличивать свою производительность при добавлении ресурсов</w:t>
            </w:r>
          </w:p>
        </w:tc>
      </w:tr>
      <w:tr w:rsidR="00BD0015" w:rsidRPr="00383987" w:rsidTr="00383987"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Асинхронность</w:t>
            </w:r>
            <w:proofErr w:type="spellEnd"/>
          </w:p>
        </w:tc>
        <w:tc>
          <w:tcPr>
            <w:tcW w:w="7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BFD" w:themeFill="accent4" w:themeFillTint="33"/>
            <w:vAlign w:val="center"/>
          </w:tcPr>
          <w:p w:rsidR="00BD0015" w:rsidRPr="00126C55" w:rsidRDefault="00126C55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126C55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1.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126C55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Несовпадение, несогласованность с чем-либо во времени; неодномоментность, неодновременность</w:t>
            </w:r>
          </w:p>
        </w:tc>
      </w:tr>
    </w:tbl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360" w:after="24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%25D0%25BE%25D0%25B1%25D0%25BE%25D1%2581"/>
      <w:bookmarkEnd w:id="2"/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Обоснование:</w:t>
      </w:r>
    </w:p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lang w:val="ru-RU"/>
        </w:rPr>
      </w:pPr>
      <w:r w:rsidRPr="00383987">
        <w:rPr>
          <w:rStyle w:val="a4"/>
          <w:rFonts w:ascii="Times New Roman" w:hAnsi="Times New Roman" w:cs="Times New Roman"/>
          <w:b/>
          <w:bCs/>
          <w:color w:val="000000"/>
          <w:sz w:val="24"/>
          <w:szCs w:val="24"/>
        </w:rPr>
        <w:t>REST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</w:rPr>
        <w:t> 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 xml:space="preserve">— это именно архитектурный стиль, а не протокол (вариант 4 неточен, так как 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</w:rPr>
        <w:t>REST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 xml:space="preserve"> предложен как архитектурный стиль)</w:t>
      </w:r>
    </w:p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lang w:val="ru-RU"/>
        </w:rPr>
      </w:pPr>
      <w:r w:rsidRPr="00383987">
        <w:rPr>
          <w:rStyle w:val="a4"/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Кеширование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</w:rPr>
        <w:t> 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— классическое определение механизма повышения производит</w:t>
      </w:r>
      <w:bookmarkStart w:id="3" w:name="_GoBack"/>
      <w:bookmarkEnd w:id="3"/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ельности через сохранение данных</w:t>
      </w:r>
    </w:p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lang w:val="ru-RU"/>
        </w:rPr>
      </w:pPr>
      <w:r w:rsidRPr="00383987">
        <w:rPr>
          <w:rStyle w:val="a4"/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Масштабируемость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</w:rPr>
        <w:t> 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— способность системы расти с добавлением ресурсов (горизонтальное масштабирование)</w:t>
      </w:r>
    </w:p>
    <w:p w:rsidR="00BD0015" w:rsidRPr="00126C55" w:rsidRDefault="00126C5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lang w:val="ru-RU"/>
        </w:rPr>
      </w:pPr>
      <w:r w:rsidRPr="00383987">
        <w:rPr>
          <w:rStyle w:val="a4"/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Асинхронность</w:t>
      </w:r>
      <w:r w:rsidRPr="00383987">
        <w:rPr>
          <w:rFonts w:ascii="Times New Roman" w:hAnsi="Times New Roman" w:cs="Times New Roman"/>
          <w:b w:val="0"/>
          <w:color w:val="000000"/>
          <w:sz w:val="24"/>
          <w:szCs w:val="24"/>
        </w:rPr>
        <w:t> </w:t>
      </w:r>
      <w:r w:rsidRPr="00126C55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— несинхронность во времени, противоположность синхронности</w:t>
      </w:r>
    </w:p>
    <w:p w:rsidR="00BD0015" w:rsidRPr="00126C55" w:rsidRDefault="00BD0015">
      <w:pPr>
        <w:pStyle w:val="PreformattedText"/>
        <w:rPr>
          <w:rFonts w:ascii="Times New Roman" w:hAnsi="Times New Roman" w:cs="Times New Roman"/>
          <w:lang w:val="ru-RU"/>
        </w:rPr>
      </w:pPr>
    </w:p>
    <w:sectPr w:rsidR="00BD0015" w:rsidRPr="00126C55">
      <w:pgSz w:w="12240" w:h="15840"/>
      <w:pgMar w:top="1134" w:right="1131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Source Han Serif CN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auto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BD0015"/>
    <w:rsid w:val="00126C55"/>
    <w:rsid w:val="00383987"/>
    <w:rsid w:val="00784CC7"/>
    <w:rsid w:val="00BD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Noto Serif CJK SC" w:hAnsi="Liberation Serif" w:cs="Noto Sans Devanagari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Noto Serif CJK SC" w:hAnsi="Liberation Serif" w:cs="Noto Sans Devanagar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809</Characters>
  <Application>Microsoft Office Word</Application>
  <DocSecurity>0</DocSecurity>
  <Lines>6</Lines>
  <Paragraphs>1</Paragraphs>
  <ScaleCrop>false</ScaleCrop>
  <Company>SPecialiST RePack</Company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6</cp:revision>
  <dcterms:created xsi:type="dcterms:W3CDTF">2025-10-29T23:35:00Z</dcterms:created>
  <dcterms:modified xsi:type="dcterms:W3CDTF">2025-10-29T23:39:00Z</dcterms:modified>
  <dc:language>en-US</dc:language>
</cp:coreProperties>
</file>