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37"/>
          <w:szCs w:val="37"/>
        </w:rPr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 ¿ Qué es un grupo?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Es un conjunto de personas que poseen un interés común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 ¿ Qué es un equipo?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Es un conjunto de personas que realizan un trabajo de manera conjunta y coordinada.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 Antes de empezar a trabajar como equipo ¿ Qué necesitamos?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Un plan de trabajo y un miembro que coordine todas las tareas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 ¿ Cuáles son las principales diferencias?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Las principales diferencias son: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En un grupo no es necesario definir unos roles, en cambio, para que un equipo funcione bien, los roles de trabajo tienen que estar bien definidos.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En un equipo, hay siempre un objetivo común y todo el equipo trabaja en sinfonía para lograrlo, mientras que en un grupo los objetivos pueden no ser en común.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En un grupo, los miembros no tienen dependencia hacia los demás miembros. En un equipo, cada miembro tiene su trabajo, por lo que dependen del trabajo que haga cada uno.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 ¿ Cuáles son las principales semejanzas?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Todos los miembros del grupo comparten un interés en común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Apoyo mutuo entre miembros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Evolución de cualidades de manera coordinada entre todos los miembros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Todos los miembros comparten las mismas responsabilidades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 Roles y tareas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5"/>
          <w:szCs w:val="25"/>
          <w:rtl w:val="0"/>
        </w:rPr>
        <w:t xml:space="preserve">Líder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, se encargará de coordinar al resto de miembros del equipo para que el trabajo sea lo más efectivo posible.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5"/>
          <w:szCs w:val="25"/>
          <w:rtl w:val="0"/>
        </w:rPr>
        <w:t xml:space="preserve">Revisor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, se encargará de revisar que las tareas se completen en el periodo de tiempo establecido y cumplan con lo acordado previamente.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5"/>
          <w:szCs w:val="25"/>
          <w:rtl w:val="0"/>
        </w:rPr>
        <w:t xml:space="preserve">Portavoz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, aquel miembro encargado de comunicarse con otros equipos o personas superiores para la resolución de conflictos.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-Herramientas colaborativas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WhatsApp: La usaremos para comunicarnos mientras no estemos en clase.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Discord: La usaremos para hacer videoconferencias con el fin de hacer reuniones o trabajar desde casa.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373a3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-Herramienta de planificación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373a3c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5"/>
          <w:szCs w:val="25"/>
          <w:rtl w:val="0"/>
        </w:rPr>
        <w:t xml:space="preserve">Trello: Usaremos trello, una herramienta que usa la metodología kanban.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shd w:fill="ffffff" w:val="clear"/>
      <w:spacing w:after="240" w:lineRule="auto"/>
      <w:ind w:left="1440" w:firstLine="72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