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</w:t>
      </w:r>
      <w:r>
        <w:rPr>
          <w:color w:val="000000"/>
          <w:rFonts w:ascii="宋体" w:hAnsi="宋体" w:cs="宋体" w:eastAsia="宋体"/>
          <w:sz w:val="24"/>
          <w:b w:val="on"/>
          <w:i w:val="off"/>
        </w:rPr>
        <w:t>Hello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yellow"/>
        </w:rPr>
        <w:t>Content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</w:t>
      </w:r>
      <w:r>
        <w:rPr>
          <w:color w:val="000000"/>
          <w:rFonts w:ascii="宋体" w:hAnsi="宋体" w:cs="宋体" w:eastAsia="宋体"/>
          <w:sz w:val="24"/>
          <w:b w:val="on"/>
          <w:i w:val="off"/>
        </w:rPr>
        <w:t>模型探究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如图...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3</w:t>
      </w:r>
      <w:r>
        <w:rPr>
          <w:color w:val="000000"/>
          <w:rFonts w:ascii="宋体" w:hAnsi="宋体" w:cs="宋体" w:eastAsia="宋体"/>
          <w:sz w:val="24"/>
          <w:b w:val="on"/>
          <w:i w:val="off"/>
        </w:rPr>
        <w:t>模型应用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解决下列问题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4</w:t>
      </w:r>
      <w:r>
        <w:rPr>
          <w:color w:val="000000"/>
          <w:rFonts w:ascii="宋体" w:hAnsi="宋体" w:cs="宋体" w:eastAsia="宋体"/>
          <w:sz w:val="24"/>
          <w:b w:val="on"/>
          <w:i w:val="off"/>
        </w:rPr>
        <w:t>模型拓展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证明如下</w:t>
      </w:r>
      <w:r>
        <w:rPr>
          <w:color w:val="FF0000"/>
          <w:rFonts w:ascii="宋体" w:hAnsi="宋体" w:cs="宋体" w:eastAsia="宋体"/>
          <w:sz w:val="24"/>
          <w:b w:val="off"/>
          <w:i w:val="off"/>
        </w:rPr>
        <w:t>定理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2022-07-04T03:27:47Z</dcterms:created>
  <dc:creator>Apache POI</dc:creator>
</cp:coreProperties>
</file>