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36DDC" w14:textId="77777777" w:rsidR="00682EA7" w:rsidRDefault="00D32EA9">
      <w:pPr>
        <w:pStyle w:val="berschrift1"/>
      </w:pPr>
      <w:bookmarkStart w:id="0" w:name="_Hlk44933646"/>
      <w:bookmarkEnd w:id="0"/>
      <w:r>
        <w:t xml:space="preserve">Derivation of typical invertebrate assemblages </w:t>
      </w:r>
    </w:p>
    <w:p w14:paraId="601A4ED0" w14:textId="39D7CFC8" w:rsidR="00682EA7" w:rsidRDefault="00D32EA9">
      <w:r>
        <w:t>25.08.20</w:t>
      </w:r>
    </w:p>
    <w:p w14:paraId="6C4E5CBF" w14:textId="77777777" w:rsidR="00682EA7" w:rsidRDefault="00D32EA9">
      <w:r>
        <w:t xml:space="preserve">Jonathan Jupke </w:t>
      </w:r>
    </w:p>
    <w:p w14:paraId="15490DC4" w14:textId="77777777" w:rsidR="00682EA7" w:rsidRDefault="00D32EA9">
      <w:pPr>
        <w:pStyle w:val="berschrift2"/>
      </w:pPr>
      <w:r>
        <w:t xml:space="preserve">What is the optimal taxonomical level? </w:t>
      </w:r>
    </w:p>
    <w:p w14:paraId="2EA1CDC7" w14:textId="77777777" w:rsidR="00682EA7" w:rsidRDefault="00D32EA9">
      <w:pPr>
        <w:spacing w:line="360" w:lineRule="auto"/>
        <w:jc w:val="both"/>
      </w:pPr>
      <w:r>
        <w:t xml:space="preserve">One result of the last progress review was that the taxa that make up the typical assemblages (TA) could be on different taxonomic levels (species, genus, family, …). We should include taxa that are typically represented at higher taxonomical levels at those levels (e.g. </w:t>
      </w:r>
      <w:r>
        <w:rPr>
          <w:i/>
          <w:iCs/>
        </w:rPr>
        <w:t>Oligochaetes</w:t>
      </w:r>
      <w:r>
        <w:t xml:space="preserve"> at subclass level) and taxa whose taxonomy is usually highly resolved at higher levels. Thus, the question arises: given a dataset, what is the optimal taxonomical level to represent a specific taxon?  </w:t>
      </w:r>
    </w:p>
    <w:p w14:paraId="10602044" w14:textId="77777777" w:rsidR="00682EA7" w:rsidRDefault="00D32EA9">
      <w:pPr>
        <w:spacing w:line="360" w:lineRule="auto"/>
        <w:jc w:val="both"/>
      </w:pPr>
      <w:r>
        <w:t xml:space="preserve">To establish the optimal level, we used a hierarchical approach. First, we removed all observations from Phyla and Classes that were not present in all data sets. We assumed that these represented differences in sampling rather than in communities. That left us with the classes Clitellata (Annelida), Insecta, Malacostraca (Arthropoda), Bivalvia and Gastropoda (Mollusca). </w:t>
      </w:r>
    </w:p>
    <w:p w14:paraId="52C2836E" w14:textId="478E70F0" w:rsidR="00682EA7" w:rsidRDefault="00D32EA9">
      <w:pPr>
        <w:spacing w:line="360" w:lineRule="auto"/>
        <w:jc w:val="both"/>
      </w:pPr>
      <w:r>
        <w:t xml:space="preserve">In the following higher taxonomic level refers to levels that are resolved more highly, i.e. species is the highest taxonomic level and kingdom the lowest. We inspected each higher level (subclass, order, family, genus) and calculated the percentage of observations that are represented at each level. For example, 4.12% of observations from the order </w:t>
      </w:r>
      <w:r>
        <w:rPr>
          <w:i/>
          <w:iCs/>
        </w:rPr>
        <w:t xml:space="preserve">Lepidoptera </w:t>
      </w:r>
      <w:r>
        <w:t xml:space="preserve">are at the species level, 74.77% at the genus level, 7.75% at the family level, and 13,35% at the order level. Now given a threshold X which is to be determined, we would call a taxon optimally represented at a certain taxonomical level if less than X% are represented by higher levels. For example, </w:t>
      </w:r>
      <w:r>
        <w:rPr>
          <w:i/>
          <w:iCs/>
        </w:rPr>
        <w:t>Lepidoptera</w:t>
      </w:r>
      <w:r>
        <w:t xml:space="preserve"> would be </w:t>
      </w:r>
      <w:r w:rsidR="00B76767">
        <w:t>represented</w:t>
      </w:r>
      <w:r>
        <w:t xml:space="preserve"> on order level if X &gt; 4,12 + 74,77 + 7,75 = 86,64%. As there are no theoretical grounds on which to base such a threshold value we searched for noticeable patterns in the data (</w:t>
      </w:r>
      <w:r>
        <w:fldChar w:fldCharType="begin"/>
      </w:r>
      <w:r>
        <w:instrText>REF _Ref48900873 \h</w:instrText>
      </w:r>
      <w:r>
        <w:fldChar w:fldCharType="separate"/>
      </w:r>
      <w:r>
        <w:t>Figure 1</w:t>
      </w:r>
      <w:r>
        <w:fldChar w:fldCharType="end"/>
      </w:r>
      <w:r>
        <w:t xml:space="preserve">). The most noticeable jump occurs between 85 and 86%. It occurs because for X &gt; 86 </w:t>
      </w:r>
      <w:r>
        <w:rPr>
          <w:i/>
          <w:iCs/>
        </w:rPr>
        <w:t>Chironomidae</w:t>
      </w:r>
      <w:r>
        <w:t xml:space="preserve"> are represented at the family level. Hence, we used 85% as threshold. Observations that </w:t>
      </w:r>
      <w:r w:rsidR="00B76767">
        <w:t xml:space="preserve">were </w:t>
      </w:r>
      <w:r>
        <w:t xml:space="preserve">missed by this procedure, </w:t>
      </w:r>
      <w:r>
        <w:rPr>
          <w:i/>
          <w:iCs/>
        </w:rPr>
        <w:t>e.g.</w:t>
      </w:r>
      <w:r>
        <w:t xml:space="preserve"> observations of </w:t>
      </w:r>
      <w:r>
        <w:rPr>
          <w:i/>
          <w:iCs/>
        </w:rPr>
        <w:t>Chironomidae</w:t>
      </w:r>
      <w:r>
        <w:t xml:space="preserve"> at the family level, were included at their respective level.    </w:t>
      </w:r>
    </w:p>
    <w:p w14:paraId="0B38EBAE" w14:textId="77777777" w:rsidR="00682EA7" w:rsidRDefault="00D32EA9">
      <w:pPr>
        <w:keepNext/>
      </w:pPr>
      <w:r>
        <w:rPr>
          <w:noProof/>
        </w:rPr>
        <w:lastRenderedPageBreak/>
        <w:drawing>
          <wp:inline distT="0" distB="0" distL="0" distR="0" wp14:anchorId="6B8DAAC8" wp14:editId="34DDA5BB">
            <wp:extent cx="5762625"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62625" cy="3267075"/>
                    </a:xfrm>
                    <a:prstGeom prst="rect">
                      <a:avLst/>
                    </a:prstGeom>
                    <a:noFill/>
                    <a:ln w="9525">
                      <a:noFill/>
                      <a:miter lim="800000"/>
                      <a:headEnd/>
                      <a:tailEnd/>
                    </a:ln>
                  </pic:spPr>
                </pic:pic>
              </a:graphicData>
            </a:graphic>
          </wp:inline>
        </w:drawing>
      </w:r>
    </w:p>
    <w:p w14:paraId="21B62816" w14:textId="77777777" w:rsidR="00682EA7" w:rsidRDefault="00D32EA9">
      <w:pPr>
        <w:pStyle w:val="Caption"/>
      </w:pPr>
      <w:bookmarkStart w:id="1" w:name="_Ref48900873"/>
      <w:r>
        <w:t xml:space="preserve">Figure </w:t>
      </w:r>
      <w:r>
        <w:fldChar w:fldCharType="begin"/>
      </w:r>
      <w:r>
        <w:instrText>SEQ Figure \* ARABIC</w:instrText>
      </w:r>
      <w:r>
        <w:fldChar w:fldCharType="separate"/>
      </w:r>
      <w:r>
        <w:t>1</w:t>
      </w:r>
      <w:r>
        <w:fldChar w:fldCharType="end"/>
      </w:r>
      <w:bookmarkEnd w:id="1"/>
      <w:r>
        <w:t xml:space="preserve">: Number of observations at the different taxonomical resolutions as a function of the threshold value </w:t>
      </w:r>
    </w:p>
    <w:p w14:paraId="642C9E78" w14:textId="77777777" w:rsidR="00682EA7" w:rsidRDefault="00682EA7"/>
    <w:p w14:paraId="1EC85091" w14:textId="77777777" w:rsidR="00682EA7" w:rsidRDefault="00D32EA9">
      <w:pPr>
        <w:pStyle w:val="berschrift2"/>
      </w:pPr>
      <w:r>
        <w:t xml:space="preserve">Can we represent the stream types with those samples? </w:t>
      </w:r>
    </w:p>
    <w:p w14:paraId="05C77E88" w14:textId="068F85A0" w:rsidR="00682EA7" w:rsidRDefault="00D32EA9">
      <w:pPr>
        <w:spacing w:line="360" w:lineRule="auto"/>
        <w:jc w:val="both"/>
      </w:pPr>
      <w:r>
        <w:t xml:space="preserve">Whether a stream type is sufficiently sampled to derive meaningful TA was determined visually. Maps with all streams that belong to one stream type and all associated sampling sites are uploaded to the </w:t>
      </w:r>
      <w:hyperlink r:id="rId7">
        <w:r>
          <w:rPr>
            <w:rStyle w:val="Internetlink"/>
          </w:rPr>
          <w:t>Get Real Drive</w:t>
        </w:r>
      </w:hyperlink>
      <w:r>
        <w:t>. The representativeness was graded in a three-tier system: good, medium, bad.</w:t>
      </w:r>
      <w:r w:rsidR="00B76767">
        <w:t xml:space="preserve"> </w:t>
      </w:r>
      <w:bookmarkStart w:id="2" w:name="_Hlk49234561"/>
      <w:r w:rsidR="00B76767">
        <w:t>Good representativeness indicates, that we have ample sampling locations, which are distributed evenly across the instances of a stream type that fall within the countries considered in GetReal. Bad representativeness indicates the opposite, i.e. few sites, and those are clustered spatially. A medium rating implies that we either have many sampling sites, but these only extend over parts of the countries or few sites that extend over most of the countries.</w:t>
      </w:r>
      <w:bookmarkEnd w:id="2"/>
      <w:r w:rsidR="00B76767">
        <w:t xml:space="preserve"> </w:t>
      </w:r>
      <w:r>
        <w:t xml:space="preserve">Further analyses were conducted for all stream types with good and good or medium representation. More information on the river types is available in the </w:t>
      </w:r>
      <w:hyperlink r:id="rId8">
        <w:r>
          <w:rPr>
            <w:rStyle w:val="Internetlink"/>
          </w:rPr>
          <w:t>accompanying publication</w:t>
        </w:r>
      </w:hyperlink>
      <w:r>
        <w:t>.</w:t>
      </w:r>
    </w:p>
    <w:p w14:paraId="514DCF31" w14:textId="77777777" w:rsidR="00682EA7" w:rsidRDefault="00D32EA9">
      <w:pPr>
        <w:spacing w:line="360" w:lineRule="auto"/>
        <w:jc w:val="both"/>
      </w:pPr>
      <w:r>
        <w:t xml:space="preserve">Good [n = 8]: 4,5,9,10,11,12,13,16 </w:t>
      </w:r>
    </w:p>
    <w:p w14:paraId="311275F3" w14:textId="77777777" w:rsidR="00682EA7" w:rsidRDefault="00D32EA9">
      <w:pPr>
        <w:spacing w:line="360" w:lineRule="auto"/>
        <w:jc w:val="both"/>
      </w:pPr>
      <w:r>
        <w:t>Medium [n = 7]: 1,2,3,8,14,15,18</w:t>
      </w:r>
    </w:p>
    <w:p w14:paraId="2C43BB61" w14:textId="77777777" w:rsidR="00682EA7" w:rsidRDefault="00D32EA9">
      <w:pPr>
        <w:spacing w:line="360" w:lineRule="auto"/>
        <w:jc w:val="both"/>
      </w:pPr>
      <w:r>
        <w:t>Bad [n = 5]: 6,7,17,19,20</w:t>
      </w:r>
    </w:p>
    <w:p w14:paraId="3D783262" w14:textId="77777777" w:rsidR="00682EA7" w:rsidRDefault="00D32EA9">
      <w:pPr>
        <w:pStyle w:val="berschrift2"/>
      </w:pPr>
      <w:r>
        <w:t>What is a typical assemblage?</w:t>
      </w:r>
    </w:p>
    <w:p w14:paraId="4731B1A4" w14:textId="77777777" w:rsidR="00682EA7" w:rsidRDefault="00D32EA9">
      <w:r>
        <w:t xml:space="preserve">As before TAs were derived based on a rule that considered </w:t>
      </w:r>
    </w:p>
    <w:p w14:paraId="5878CAD3" w14:textId="77777777" w:rsidR="00682EA7" w:rsidRDefault="00D32EA9">
      <w:pPr>
        <w:pStyle w:val="ListParagraph"/>
        <w:numPr>
          <w:ilvl w:val="0"/>
          <w:numId w:val="1"/>
        </w:numPr>
      </w:pPr>
      <w:r>
        <w:t xml:space="preserve">The probability of site </w:t>
      </w:r>
      <w:r>
        <w:rPr>
          <w:i/>
          <w:iCs/>
        </w:rPr>
        <w:t>x</w:t>
      </w:r>
      <w:r>
        <w:t xml:space="preserve"> belonging to stream type </w:t>
      </w:r>
      <w:r>
        <w:rPr>
          <w:i/>
          <w:iCs/>
        </w:rPr>
        <w:t>z</w:t>
      </w:r>
      <w:r>
        <w:t xml:space="preserve"> given species </w:t>
      </w:r>
      <w:r>
        <w:rPr>
          <w:i/>
          <w:iCs/>
        </w:rPr>
        <w:t>y</w:t>
      </w:r>
      <w:r>
        <w:t xml:space="preserve"> is present (a measure of specificity, henceforth </w:t>
      </w:r>
      <w:r>
        <w:rPr>
          <w:b/>
          <w:bCs/>
        </w:rPr>
        <w:t>A</w:t>
      </w:r>
      <w:r>
        <w:t xml:space="preserve">) </w:t>
      </w:r>
    </w:p>
    <w:p w14:paraId="2D09F039" w14:textId="77777777" w:rsidR="00682EA7" w:rsidRDefault="00D32EA9">
      <w:pPr>
        <w:pStyle w:val="ListParagraph"/>
        <w:numPr>
          <w:ilvl w:val="0"/>
          <w:numId w:val="1"/>
        </w:numPr>
      </w:pPr>
      <w:r>
        <w:lastRenderedPageBreak/>
        <w:t xml:space="preserve">The probability of species </w:t>
      </w:r>
      <w:r>
        <w:rPr>
          <w:i/>
          <w:iCs/>
        </w:rPr>
        <w:t>y</w:t>
      </w:r>
      <w:r>
        <w:t xml:space="preserve"> being present given that site </w:t>
      </w:r>
      <w:r>
        <w:rPr>
          <w:i/>
          <w:iCs/>
        </w:rPr>
        <w:t>x</w:t>
      </w:r>
      <w:r>
        <w:t xml:space="preserve"> belongs to stream type </w:t>
      </w:r>
      <w:r>
        <w:rPr>
          <w:i/>
          <w:iCs/>
        </w:rPr>
        <w:t>z</w:t>
      </w:r>
      <w:r>
        <w:t xml:space="preserve"> (a measure of commonness, henceforth </w:t>
      </w:r>
      <w:r>
        <w:rPr>
          <w:b/>
          <w:bCs/>
        </w:rPr>
        <w:t>B</w:t>
      </w:r>
      <w:r>
        <w:t>)</w:t>
      </w:r>
    </w:p>
    <w:p w14:paraId="71517FF0" w14:textId="77777777" w:rsidR="00682EA7" w:rsidRDefault="00D32EA9">
      <w:pPr>
        <w:pStyle w:val="NormalWeb"/>
        <w:numPr>
          <w:ilvl w:val="0"/>
          <w:numId w:val="1"/>
        </w:numPr>
        <w:spacing w:beforeAutospacing="0" w:afterAutospacing="0"/>
        <w:textAlignment w:val="baseline"/>
        <w:rPr>
          <w:rFonts w:ascii="Calibri" w:hAnsi="Calibri" w:cs="Calibri"/>
          <w:color w:val="000000"/>
          <w:sz w:val="22"/>
          <w:szCs w:val="22"/>
        </w:rPr>
      </w:pPr>
      <w:r>
        <w:rPr>
          <w:rFonts w:ascii="Calibri" w:hAnsi="Calibri" w:cs="Calibri"/>
          <w:color w:val="000000"/>
          <w:sz w:val="22"/>
          <w:szCs w:val="22"/>
        </w:rPr>
        <w:t>The Species Indicator Value </w:t>
      </w:r>
    </w:p>
    <w:p w14:paraId="5EA61418" w14:textId="4C3B4955" w:rsidR="00682EA7" w:rsidRPr="00E8374B" w:rsidRDefault="00D32EA9">
      <w:pPr>
        <w:spacing w:line="360" w:lineRule="auto"/>
        <w:jc w:val="both"/>
        <w:rPr>
          <w:rFonts w:eastAsia="Times New Roman" w:cs="Calibri"/>
          <w:color w:val="000000"/>
        </w:rPr>
      </w:pPr>
      <w:r>
        <w:rPr>
          <w:rFonts w:eastAsia="Times New Roman" w:cs="Calibri"/>
          <w:color w:val="000000"/>
        </w:rPr>
        <w:t>The Species Indicator Value</w:t>
      </w:r>
      <w:r w:rsidR="00E8374B">
        <w:rPr>
          <w:rFonts w:eastAsia="Times New Roman" w:cs="Calibri"/>
          <w:color w:val="000000"/>
        </w:rPr>
        <w:t xml:space="preserve"> </w:t>
      </w:r>
      <w:r>
        <w:rPr>
          <w:rFonts w:eastAsia="Times New Roman" w:cs="Calibri"/>
          <w:color w:val="000000"/>
        </w:rPr>
        <w:t xml:space="preserve"> </w:t>
      </w:r>
      <w:sdt>
        <w:sdtPr>
          <w:id w:val="563412783"/>
        </w:sdtPr>
        <w:sdtEndPr/>
        <w:sdtContent>
          <w:sdt>
            <w:sdtPr>
              <w:rPr>
                <w:rFonts w:eastAsia="Times New Roman"/>
                <w:color w:val="000000"/>
              </w:rPr>
              <w:tag w:val="MENDELEY_CITATION_c7242a2b-f76e-4db9-83d6-46fd7c9bfebb"/>
              <w:id w:val="588280918"/>
              <w:placeholder>
                <w:docPart w:val="DefaultPlaceholder_-1854013440"/>
              </w:placeholder>
            </w:sdtPr>
            <w:sdtEndPr/>
            <w:sdtContent>
              <w:r w:rsidR="00E8374B">
                <w:rPr>
                  <w:rFonts w:eastAsia="Times New Roman"/>
                </w:rPr>
                <w:t>(Cáceres &amp; Legendre, 2009; Dufrêne &amp; Legendre, 1997)</w:t>
              </w:r>
            </w:sdtContent>
          </w:sdt>
          <w:r>
            <w:rPr>
              <w:rFonts w:eastAsia="Times New Roman"/>
              <w:color w:val="000000"/>
            </w:rPr>
            <w:t xml:space="preserve"> </w:t>
          </w:r>
        </w:sdtContent>
      </w:sdt>
      <w:r>
        <w:rPr>
          <w:rFonts w:eastAsia="Times New Roman" w:cs="Calibri"/>
          <w:color w:val="000000"/>
        </w:rPr>
        <w:t xml:space="preserve"> is the weighted product of </w:t>
      </w:r>
      <w:r>
        <w:rPr>
          <w:rFonts w:eastAsia="Times New Roman" w:cs="Calibri"/>
          <w:b/>
          <w:bCs/>
          <w:color w:val="000000"/>
        </w:rPr>
        <w:t>A</w:t>
      </w:r>
      <w:r>
        <w:rPr>
          <w:rFonts w:eastAsia="Times New Roman" w:cs="Calibri"/>
          <w:color w:val="000000"/>
        </w:rPr>
        <w:t xml:space="preserve"> and </w:t>
      </w:r>
      <w:r>
        <w:rPr>
          <w:rFonts w:eastAsia="Times New Roman" w:cs="Calibri"/>
          <w:b/>
          <w:bCs/>
          <w:color w:val="000000"/>
        </w:rPr>
        <w:t>B</w:t>
      </w:r>
      <w:r>
        <w:rPr>
          <w:rFonts w:eastAsia="Times New Roman" w:cs="Calibri"/>
          <w:color w:val="000000"/>
        </w:rPr>
        <w:t xml:space="preserve"> (Eqn. 1) </w:t>
      </w:r>
    </w:p>
    <w:p w14:paraId="245DCAF1" w14:textId="77777777" w:rsidR="00682EA7" w:rsidRDefault="002D0BF9">
      <w:pPr>
        <w:spacing w:line="240" w:lineRule="auto"/>
      </w:pPr>
      <m:oMath>
        <m:rad>
          <m:radPr>
            <m:degHide m:val="1"/>
            <m:ctrlPr>
              <w:rPr>
                <w:rFonts w:ascii="Cambria Math" w:hAnsi="Cambria Math"/>
                <w:sz w:val="32"/>
                <w:szCs w:val="32"/>
              </w:rPr>
            </m:ctrlPr>
          </m:radPr>
          <m:deg/>
          <m:e>
            <m:r>
              <w:rPr>
                <w:rFonts w:ascii="Cambria Math" w:hAnsi="Cambria Math"/>
                <w:sz w:val="32"/>
                <w:szCs w:val="32"/>
              </w:rPr>
              <m:t>IndVal</m:t>
            </m:r>
          </m:e>
        </m:rad>
        <w:bookmarkStart w:id="3" w:name="_Hlk49234645"/>
        <m:r>
          <w:rPr>
            <w:rFonts w:ascii="Cambria Math" w:hAnsi="Cambria Math"/>
            <w:sz w:val="32"/>
            <w:szCs w:val="32"/>
          </w:rPr>
          <m:t>=</m:t>
        </m:r>
        <m:rad>
          <m:radPr>
            <m:degHide m:val="1"/>
            <m:ctrlPr>
              <w:rPr>
                <w:rFonts w:ascii="Cambria Math" w:hAnsi="Cambria Math"/>
                <w:sz w:val="32"/>
                <w:szCs w:val="32"/>
              </w:rPr>
            </m:ctrlPr>
          </m:radPr>
          <m:deg/>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g</m:t>
                </m:r>
              </m:sub>
            </m:sSub>
            <m:r>
              <w:rPr>
                <w:rFonts w:ascii="Cambria Math" w:hAnsi="Cambria Math"/>
                <w:sz w:val="32"/>
                <w:szCs w:val="32"/>
              </w:rPr>
              <m:t>×B</m:t>
            </m:r>
          </m:e>
        </m:rad>
        <m:r>
          <w:rPr>
            <w:rFonts w:ascii="Cambria Math" w:hAnsi="Cambria Math"/>
            <w:sz w:val="32"/>
            <w:szCs w:val="32"/>
          </w:rPr>
          <m:t>=</m:t>
        </m:r>
        <m:rad>
          <m:radPr>
            <m:degHide m:val="1"/>
            <m:ctrlPr>
              <w:rPr>
                <w:rFonts w:ascii="Cambria Math" w:hAnsi="Cambria Math"/>
                <w:sz w:val="32"/>
                <w:szCs w:val="32"/>
              </w:rPr>
            </m:ctrlPr>
          </m:radPr>
          <m:deg/>
          <m:e>
            <m:f>
              <m:fPr>
                <m:ctrlPr>
                  <w:rPr>
                    <w:rFonts w:ascii="Cambria Math" w:hAnsi="Cambria Math"/>
                    <w:sz w:val="32"/>
                    <w:szCs w:val="32"/>
                  </w:rPr>
                </m:ctrlPr>
              </m:fPr>
              <m:num>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p</m:t>
                        </m:r>
                      </m:sub>
                    </m:sSub>
                  </m:num>
                  <m:den>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p</m:t>
                        </m:r>
                      </m:sub>
                    </m:sSub>
                  </m:den>
                </m:f>
              </m:num>
              <m:den>
                <m:sSubSup>
                  <m:sSubSupPr>
                    <m:ctrlPr>
                      <w:rPr>
                        <w:rFonts w:ascii="Cambria Math" w:hAnsi="Cambria Math"/>
                        <w:sz w:val="32"/>
                        <w:szCs w:val="32"/>
                      </w:rPr>
                    </m:ctrlPr>
                  </m:sSubSupPr>
                  <m:e>
                    <m:r>
                      <w:rPr>
                        <w:rFonts w:ascii="Cambria Math" w:hAnsi="Cambria Math"/>
                        <w:sz w:val="32"/>
                        <w:szCs w:val="32"/>
                      </w:rPr>
                      <m:t>Σ</m:t>
                    </m:r>
                  </m:e>
                  <m:sub>
                    <m:r>
                      <w:rPr>
                        <w:rFonts w:ascii="Cambria Math" w:hAnsi="Cambria Math"/>
                        <w:sz w:val="32"/>
                        <w:szCs w:val="32"/>
                      </w:rPr>
                      <m:t>k=1</m:t>
                    </m:r>
                  </m:sub>
                  <m:sup>
                    <m:r>
                      <w:rPr>
                        <w:rFonts w:ascii="Cambria Math" w:hAnsi="Cambria Math"/>
                        <w:sz w:val="32"/>
                        <w:szCs w:val="32"/>
                      </w:rPr>
                      <m:t>K</m:t>
                    </m:r>
                  </m:sup>
                </m:sSubSup>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k</m:t>
                        </m:r>
                      </m:sub>
                    </m:sSub>
                  </m:num>
                  <m:den>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k</m:t>
                        </m:r>
                      </m:sub>
                    </m:sSub>
                  </m:den>
                </m:f>
              </m:den>
            </m:f>
            <m: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p</m:t>
                    </m:r>
                  </m:sub>
                </m:sSub>
              </m:num>
              <m:den>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p</m:t>
                    </m:r>
                  </m:sub>
                </m:sSub>
              </m:den>
            </m:f>
          </m:e>
        </m:rad>
      </m:oMath>
      <w:r w:rsidR="00D32EA9">
        <w:rPr>
          <w:rFonts w:eastAsia="Times New Roman" w:cs="Calibri"/>
          <w:color w:val="000000"/>
        </w:rPr>
        <w:tab/>
      </w:r>
      <w:r w:rsidR="00D32EA9">
        <w:rPr>
          <w:rFonts w:eastAsia="Times New Roman" w:cs="Calibri"/>
          <w:color w:val="000000"/>
        </w:rPr>
        <w:tab/>
      </w:r>
      <w:r w:rsidR="00D32EA9">
        <w:rPr>
          <w:rFonts w:eastAsia="Times New Roman" w:cs="Calibri"/>
          <w:color w:val="000000"/>
        </w:rPr>
        <w:tab/>
      </w:r>
      <w:r w:rsidR="00D32EA9">
        <w:rPr>
          <w:rFonts w:eastAsia="Times New Roman" w:cs="Calibri"/>
          <w:color w:val="000000"/>
        </w:rPr>
        <w:tab/>
      </w:r>
      <w:r w:rsidR="00D32EA9">
        <w:rPr>
          <w:rFonts w:eastAsia="Times New Roman" w:cs="Calibri"/>
          <w:color w:val="000000"/>
        </w:rPr>
        <w:tab/>
        <w:t>Equation 1</w:t>
      </w:r>
    </w:p>
    <w:bookmarkEnd w:id="3"/>
    <w:p w14:paraId="3D3F3A72" w14:textId="577489A7" w:rsidR="00682EA7" w:rsidRDefault="00D32EA9">
      <w:pPr>
        <w:spacing w:line="360" w:lineRule="auto"/>
        <w:jc w:val="both"/>
      </w:pPr>
      <w:r>
        <w:rPr>
          <w:rFonts w:eastAsia="Times New Roman" w:cs="Calibri"/>
          <w:color w:val="000000"/>
        </w:rPr>
        <w:t>where N</w:t>
      </w:r>
      <w:r>
        <w:rPr>
          <w:rFonts w:eastAsia="Times New Roman" w:cs="Calibri"/>
          <w:color w:val="000000"/>
          <w:vertAlign w:val="subscript"/>
        </w:rPr>
        <w:t>p</w:t>
      </w:r>
      <w:r>
        <w:rPr>
          <w:rFonts w:eastAsia="Times New Roman" w:cs="Calibri"/>
          <w:color w:val="000000"/>
        </w:rPr>
        <w:t xml:space="preserve"> is the number of sites that belong to stream type p and n</w:t>
      </w:r>
      <w:r>
        <w:rPr>
          <w:rFonts w:eastAsia="Times New Roman" w:cs="Calibri"/>
          <w:color w:val="000000"/>
          <w:vertAlign w:val="subscript"/>
        </w:rPr>
        <w:t>p</w:t>
      </w:r>
      <w:r>
        <w:rPr>
          <w:rFonts w:eastAsia="Times New Roman" w:cs="Calibri"/>
          <w:color w:val="000000"/>
        </w:rPr>
        <w:t xml:space="preserve"> the number of occurrences of the focal species in sites of type p. K is the number of stream types. </w:t>
      </w:r>
      <w:r>
        <w:rPr>
          <w:rFonts w:eastAsia="Times New Roman" w:cs="Calibri"/>
          <w:b/>
          <w:bCs/>
          <w:color w:val="000000"/>
        </w:rPr>
        <w:t>A</w:t>
      </w:r>
      <w:r>
        <w:rPr>
          <w:rFonts w:eastAsia="Times New Roman" w:cs="Calibri"/>
          <w:color w:val="000000"/>
        </w:rPr>
        <w:t xml:space="preserve"> is weighted by the total number of occurrences to account for unequal sample sizes. The statistical significance of the Indicator Value can be assessed with permutation-based pseudo-</w:t>
      </w:r>
      <w:r>
        <w:rPr>
          <w:rFonts w:eastAsia="Times New Roman" w:cs="Calibri"/>
          <w:i/>
          <w:iCs/>
          <w:color w:val="000000"/>
        </w:rPr>
        <w:t>p</w:t>
      </w:r>
      <w:r>
        <w:rPr>
          <w:rFonts w:eastAsia="Times New Roman" w:cs="Calibri"/>
          <w:color w:val="000000"/>
        </w:rPr>
        <w:t>-values, which we did with 999 permutations.</w:t>
      </w:r>
    </w:p>
    <w:p w14:paraId="3DB1F869" w14:textId="3AA4563E" w:rsidR="00682EA7" w:rsidRDefault="00D32EA9">
      <w:pPr>
        <w:pStyle w:val="berschrift2"/>
        <w:spacing w:line="360" w:lineRule="auto"/>
        <w:jc w:val="both"/>
        <w:rPr>
          <w:sz w:val="22"/>
          <w:szCs w:val="22"/>
        </w:rPr>
      </w:pPr>
      <w:r>
        <w:rPr>
          <w:rFonts w:ascii="Calibri" w:eastAsia="Times New Roman" w:hAnsi="Calibri" w:cs="Calibri"/>
          <w:color w:val="000000"/>
          <w:sz w:val="22"/>
          <w:szCs w:val="22"/>
        </w:rPr>
        <w:t> Here, we are not interested in indicator species for each community, but TAs. Hence, simply continuing with those species that have a pseudo-</w:t>
      </w:r>
      <w:r>
        <w:rPr>
          <w:rFonts w:ascii="Calibri" w:eastAsia="Times New Roman" w:hAnsi="Calibri" w:cs="Calibri"/>
          <w:i/>
          <w:iCs/>
          <w:color w:val="000000"/>
          <w:sz w:val="22"/>
          <w:szCs w:val="22"/>
        </w:rPr>
        <w:t>p-value</w:t>
      </w:r>
      <w:r>
        <w:rPr>
          <w:rFonts w:ascii="Calibri" w:eastAsia="Times New Roman" w:hAnsi="Calibri" w:cs="Calibri"/>
          <w:color w:val="000000"/>
          <w:sz w:val="22"/>
          <w:szCs w:val="22"/>
        </w:rPr>
        <w:t xml:space="preserve"> below some significance level would not serve our purpose. A species that occurs at each site, across all stream types, highlights the difference: while it would not be indicative of any stream type (low specificity) it should be part of each TA. Hence, we need additional criteria to derive the TAs which can be based on </w:t>
      </w:r>
      <w:r>
        <w:rPr>
          <w:rFonts w:ascii="Calibri" w:eastAsia="Times New Roman" w:hAnsi="Calibri" w:cs="Calibri"/>
          <w:b/>
          <w:bCs/>
          <w:color w:val="000000"/>
          <w:sz w:val="22"/>
          <w:szCs w:val="22"/>
        </w:rPr>
        <w:t>A</w:t>
      </w:r>
      <w:r>
        <w:rPr>
          <w:rFonts w:ascii="Calibri" w:eastAsia="Times New Roman" w:hAnsi="Calibri" w:cs="Calibri"/>
          <w:color w:val="000000"/>
          <w:sz w:val="22"/>
          <w:szCs w:val="22"/>
        </w:rPr>
        <w:t xml:space="preserve">, </w:t>
      </w:r>
      <w:r>
        <w:rPr>
          <w:rFonts w:ascii="Calibri" w:eastAsia="Times New Roman" w:hAnsi="Calibri" w:cs="Calibri"/>
          <w:b/>
          <w:bCs/>
          <w:color w:val="000000"/>
          <w:sz w:val="22"/>
          <w:szCs w:val="22"/>
        </w:rPr>
        <w:t>B</w:t>
      </w:r>
      <w:r>
        <w:rPr>
          <w:rFonts w:ascii="Calibri" w:eastAsia="Times New Roman" w:hAnsi="Calibri" w:cs="Calibri"/>
          <w:color w:val="000000"/>
          <w:sz w:val="22"/>
          <w:szCs w:val="22"/>
        </w:rPr>
        <w:t>, and the pseudo</w:t>
      </w:r>
      <w:r w:rsidR="00B76767">
        <w:rPr>
          <w:rFonts w:ascii="Calibri" w:eastAsia="Times New Roman" w:hAnsi="Calibri" w:cs="Calibri"/>
          <w:color w:val="000000"/>
          <w:sz w:val="22"/>
          <w:szCs w:val="22"/>
        </w:rPr>
        <w:t>-</w:t>
      </w:r>
      <w:r>
        <w:rPr>
          <w:rFonts w:ascii="Calibri" w:eastAsia="Times New Roman" w:hAnsi="Calibri" w:cs="Calibri"/>
          <w:i/>
          <w:iCs/>
          <w:color w:val="000000"/>
          <w:sz w:val="22"/>
          <w:szCs w:val="22"/>
        </w:rPr>
        <w:t>p-value</w:t>
      </w:r>
      <w:r>
        <w:rPr>
          <w:rFonts w:ascii="Calibri" w:eastAsia="Times New Roman" w:hAnsi="Calibri" w:cs="Calibri"/>
          <w:color w:val="000000"/>
          <w:sz w:val="22"/>
          <w:szCs w:val="22"/>
        </w:rPr>
        <w:t xml:space="preserve"> of the indicator value. We used the following rules:</w:t>
      </w:r>
      <w:r>
        <w:rPr>
          <w:sz w:val="22"/>
          <w:szCs w:val="22"/>
        </w:rPr>
        <w:t xml:space="preserve"> </w:t>
      </w:r>
    </w:p>
    <w:p w14:paraId="6F93BB8B" w14:textId="77777777" w:rsidR="00682EA7" w:rsidRDefault="00682EA7"/>
    <w:p w14:paraId="118EB6D0" w14:textId="46463AD9" w:rsidR="00682EA7" w:rsidRDefault="00D32EA9">
      <w:pPr>
        <w:ind w:left="360"/>
      </w:pPr>
      <w:r>
        <w:t xml:space="preserve">Species were considered typical if B &gt; 0.25 or B &gt; 0.2 and p &lt; 0.05 or A &gt; 0.8 </w:t>
      </w:r>
    </w:p>
    <w:p w14:paraId="2B081205" w14:textId="0F4C6D74" w:rsidR="00682EA7" w:rsidRDefault="00D32EA9">
      <w:pPr>
        <w:ind w:left="360"/>
      </w:pPr>
      <w:r>
        <w:t xml:space="preserve">Genera were considered typical if B &gt; 0.5 or B &gt; 0.33 and p &lt; 0.05 or A &gt; 0.95 </w:t>
      </w:r>
    </w:p>
    <w:p w14:paraId="6FA81617" w14:textId="020FADB9" w:rsidR="00682EA7" w:rsidRDefault="00D32EA9">
      <w:pPr>
        <w:ind w:left="360"/>
      </w:pPr>
      <w:r>
        <w:t>Families were considered typical if B &gt; 0.95 or B &gt; 0.8 and p &lt; 0.01 or A &gt; 0.99</w:t>
      </w:r>
    </w:p>
    <w:p w14:paraId="1E646D1D" w14:textId="77777777" w:rsidR="00682EA7" w:rsidRDefault="00682EA7">
      <w:pPr>
        <w:ind w:left="360"/>
      </w:pPr>
    </w:p>
    <w:p w14:paraId="0DBAB5A6" w14:textId="2B0B7635" w:rsidR="00682EA7" w:rsidRDefault="00D32EA9">
      <w:pPr>
        <w:spacing w:line="360" w:lineRule="auto"/>
        <w:jc w:val="both"/>
        <w:rPr>
          <w:rFonts w:ascii="Calibri" w:eastAsia="Times New Roman" w:hAnsi="Calibri" w:cs="Calibri"/>
          <w:color w:val="000000"/>
        </w:rPr>
      </w:pPr>
      <w:bookmarkStart w:id="4" w:name="_Hlk49235840"/>
      <w:r>
        <w:rPr>
          <w:rFonts w:eastAsia="Times New Roman" w:cs="Calibri"/>
          <w:color w:val="000000"/>
        </w:rPr>
        <w:t>Note that there was no systematic optimization used to define these thresholds. Such procedures would require optimization criteria, but we are not aware of a criterion that would work in this context. We acknowledged that typical assemblages could be (i) very similar in composition or (ii) harbor strongly differing numbers of taxa.</w:t>
      </w:r>
      <w:r w:rsidR="00B76767">
        <w:rPr>
          <w:rFonts w:eastAsia="Times New Roman" w:cs="Calibri"/>
          <w:color w:val="000000"/>
        </w:rPr>
        <w:t xml:space="preserve"> </w:t>
      </w:r>
      <w:r>
        <w:rPr>
          <w:rFonts w:eastAsia="Times New Roman" w:cs="Calibri"/>
          <w:color w:val="000000"/>
        </w:rPr>
        <w:t>Thus,</w:t>
      </w:r>
      <w:r w:rsidR="00B76767">
        <w:rPr>
          <w:rFonts w:eastAsia="Times New Roman" w:cs="Calibri"/>
          <w:color w:val="000000"/>
        </w:rPr>
        <w:t xml:space="preserve"> parametrizing the rules in a way that would (i) maximize dissimilarity between assemblages or (ii) maximize the mean assemblage richness would not lead to what we consider a typical assemblage.</w:t>
      </w:r>
      <w:r>
        <w:rPr>
          <w:rFonts w:eastAsia="Times New Roman" w:cs="Calibri"/>
          <w:color w:val="000000"/>
        </w:rPr>
        <w:t xml:space="preserve"> It would be possible to try a cross-validation-type approach where each taxon is scored based on the number of random-site-subsets it is included in</w:t>
      </w:r>
      <w:r w:rsidR="00B76767">
        <w:rPr>
          <w:rFonts w:eastAsia="Times New Roman" w:cs="Calibri"/>
          <w:color w:val="000000"/>
        </w:rPr>
        <w:t>,</w:t>
      </w:r>
      <w:r>
        <w:rPr>
          <w:rFonts w:eastAsia="Times New Roman" w:cs="Calibri"/>
          <w:color w:val="000000"/>
        </w:rPr>
        <w:t xml:space="preserve"> but such an approach would also entail making essentially arbitrary numerical assumptions. We think the use of subjectively defined thresholds is justified, as long as they are clearly and openly communicated, to be what we define as “typical assemblages”. </w:t>
      </w:r>
    </w:p>
    <w:bookmarkEnd w:id="4"/>
    <w:p w14:paraId="4ED7590D" w14:textId="1AAD7093" w:rsidR="00682EA7" w:rsidRPr="00B87089" w:rsidRDefault="00D32EA9">
      <w:pPr>
        <w:spacing w:line="360" w:lineRule="auto"/>
        <w:jc w:val="both"/>
      </w:pPr>
      <w:r>
        <w:lastRenderedPageBreak/>
        <w:t xml:space="preserve">However, we conducted a sensitivity analysis to see how much varying the parameters of the rules would alter the results. </w:t>
      </w:r>
      <w:bookmarkStart w:id="5" w:name="_Hlk49235882"/>
      <w:r>
        <w:t xml:space="preserve">We altered the threshold values of A and B. </w:t>
      </w:r>
      <w:bookmarkStart w:id="6" w:name="_Hlk49235899"/>
      <w:bookmarkEnd w:id="5"/>
      <w:r w:rsidR="00711056">
        <w:t xml:space="preserve">The rules above contain two distinct B Threshold: </w:t>
      </w:r>
      <w:r w:rsidR="00B87089">
        <w:t>B</w:t>
      </w:r>
      <w:r w:rsidR="00B87089">
        <w:rPr>
          <w:vertAlign w:val="subscript"/>
        </w:rPr>
        <w:t>1</w:t>
      </w:r>
      <w:r w:rsidR="00711056">
        <w:t xml:space="preserve"> </w:t>
      </w:r>
      <w:r w:rsidR="00B87089">
        <w:t>which does</w:t>
      </w:r>
      <w:r w:rsidR="00711056">
        <w:t xml:space="preserve"> </w:t>
      </w:r>
      <w:r w:rsidR="00B87089">
        <w:t xml:space="preserve">not </w:t>
      </w:r>
      <w:r w:rsidR="00711056">
        <w:t>consider the pseudo-</w:t>
      </w:r>
      <w:r w:rsidR="00711056">
        <w:rPr>
          <w:i/>
          <w:iCs/>
        </w:rPr>
        <w:t>p</w:t>
      </w:r>
      <w:r w:rsidR="00711056">
        <w:rPr>
          <w:i/>
          <w:iCs/>
        </w:rPr>
        <w:softHyphen/>
      </w:r>
      <w:r w:rsidR="00711056">
        <w:t>-value (</w:t>
      </w:r>
      <w:r w:rsidR="00B87089">
        <w:t xml:space="preserve">B &gt; </w:t>
      </w:r>
      <w:r w:rsidR="00711056">
        <w:t xml:space="preserve">0.25 for species) and </w:t>
      </w:r>
      <w:r w:rsidR="00B87089">
        <w:t>B</w:t>
      </w:r>
      <w:r w:rsidR="00B87089">
        <w:rPr>
          <w:vertAlign w:val="subscript"/>
        </w:rPr>
        <w:t>2</w:t>
      </w:r>
      <w:r w:rsidR="00711056">
        <w:t xml:space="preserve"> </w:t>
      </w:r>
      <w:r w:rsidR="00B87089">
        <w:t xml:space="preserve">which does </w:t>
      </w:r>
      <w:r w:rsidR="00711056">
        <w:t>tak</w:t>
      </w:r>
      <w:r w:rsidR="00B87089">
        <w:t>e</w:t>
      </w:r>
      <w:r w:rsidR="00711056">
        <w:t xml:space="preserve"> the pseudo-</w:t>
      </w:r>
      <w:r w:rsidR="00711056">
        <w:rPr>
          <w:i/>
          <w:iCs/>
        </w:rPr>
        <w:t>p</w:t>
      </w:r>
      <w:r w:rsidR="00711056">
        <w:rPr>
          <w:i/>
          <w:iCs/>
        </w:rPr>
        <w:softHyphen/>
      </w:r>
      <w:r w:rsidR="00711056">
        <w:softHyphen/>
        <w:t>-val</w:t>
      </w:r>
      <w:r w:rsidR="00B87089">
        <w:t>u</w:t>
      </w:r>
      <w:r w:rsidR="00711056">
        <w:t xml:space="preserve">e into account (B &gt; 0.2 and p &lt; 0.05). </w:t>
      </w:r>
      <w:r w:rsidR="00B87089">
        <w:t>In the following simulations, the B</w:t>
      </w:r>
      <w:r w:rsidR="00B87089">
        <w:rPr>
          <w:vertAlign w:val="subscript"/>
        </w:rPr>
        <w:t>2</w:t>
      </w:r>
      <w:r w:rsidR="00B87089">
        <w:t xml:space="preserve"> was always taken to be 25% below B</w:t>
      </w:r>
      <w:r w:rsidR="00B87089">
        <w:rPr>
          <w:vertAlign w:val="subscript"/>
        </w:rPr>
        <w:t>1</w:t>
      </w:r>
      <w:r w:rsidR="00B87089">
        <w:t>. Henceforth, when referring to the threshold</w:t>
      </w:r>
      <w:r>
        <w:t xml:space="preserve"> for B</w:t>
      </w:r>
      <w:r w:rsidR="00B87089">
        <w:t>, we refer to B</w:t>
      </w:r>
      <w:r w:rsidR="00B87089">
        <w:rPr>
          <w:vertAlign w:val="subscript"/>
        </w:rPr>
        <w:t>1</w:t>
      </w:r>
      <w:r>
        <w:t>.</w:t>
      </w:r>
      <w:bookmarkEnd w:id="6"/>
      <w:r>
        <w:t xml:space="preserve"> </w:t>
      </w:r>
      <w:r w:rsidR="00B87089">
        <w:t>For species, w</w:t>
      </w:r>
      <w:r>
        <w:t xml:space="preserve">e varied </w:t>
      </w:r>
      <w:r w:rsidR="00B87089">
        <w:t xml:space="preserve">the </w:t>
      </w:r>
      <w:r>
        <w:t xml:space="preserve">threshold for B in ten steps between 0.10 and 0.75 and that for A in ten steps between 0.5 and 1.0. </w:t>
      </w:r>
      <w:r w:rsidR="00B87089">
        <w:t xml:space="preserve">For lower taxonomic levels these thresholds were raised. For genera, the threshold values of A and B were raised by a factor of 1.25 and 2 respectively. All levels above and including families were grouped in </w:t>
      </w:r>
      <w:r>
        <w:t>“</w:t>
      </w:r>
      <w:r w:rsidR="00B87089">
        <w:t>families or lower</w:t>
      </w:r>
      <w:r>
        <w:t>”</w:t>
      </w:r>
      <w:r w:rsidR="00B87089">
        <w:t xml:space="preserve"> (fol). For fol, the thresholds were raised by factors of 1.5 and 3 respectively. The taxon</w:t>
      </w:r>
      <w:r>
        <w:t xml:space="preserve"> richness and uniqueness scores of each TA were computed for all 100 combinations of these parameters</w:t>
      </w:r>
      <w:r w:rsidR="00B87089">
        <w:t xml:space="preserve"> and each taxonomic level</w:t>
      </w:r>
      <w:r>
        <w:t xml:space="preserve">. </w:t>
      </w:r>
    </w:p>
    <w:p w14:paraId="368026F5" w14:textId="77777777" w:rsidR="00682EA7" w:rsidRDefault="00D32EA9">
      <w:pPr>
        <w:spacing w:line="360" w:lineRule="auto"/>
        <w:jc w:val="both"/>
      </w:pPr>
      <w:r>
        <w:t>Please note that results are only shown and discussed for the non-redundant TAs (see the next section). Taxa richness decreased with increasing A and B threshold (</w:t>
      </w:r>
      <w:r>
        <w:fldChar w:fldCharType="begin"/>
      </w:r>
      <w:r>
        <w:instrText>REF _Ref48911030 \h</w:instrText>
      </w:r>
      <w:r>
        <w:fldChar w:fldCharType="separate"/>
      </w:r>
      <w:r>
        <w:t>Figure 2</w:t>
      </w:r>
      <w:r>
        <w:fldChar w:fldCharType="end"/>
      </w:r>
      <w:r>
        <w:t>), while the uniqueness scores increased with B thresholds but decreased with A thresholds (</w:t>
      </w:r>
      <w:r>
        <w:fldChar w:fldCharType="begin"/>
      </w:r>
      <w:r>
        <w:instrText>REF _Ref48911055 \h</w:instrText>
      </w:r>
      <w:r>
        <w:fldChar w:fldCharType="separate"/>
      </w:r>
      <w:r>
        <w:t>Figure 3</w:t>
      </w:r>
      <w:r>
        <w:fldChar w:fldCharType="end"/>
      </w:r>
      <w:r>
        <w:t xml:space="preserve">). Uniqueness scores decreased noticeably with very high A thresholds (&gt; 0.9), indicating that taxa that are specific to certain river types are an important driver of TA differentiation. Note that graphs are only shown for all taxa levels combined. Plots for each taxon level separately are available in the </w:t>
      </w:r>
      <w:hyperlink r:id="rId9">
        <w:r>
          <w:rPr>
            <w:rStyle w:val="Internetlink"/>
          </w:rPr>
          <w:t>GetReal Drive</w:t>
        </w:r>
      </w:hyperlink>
      <w:r>
        <w:t xml:space="preserve">. However, the general patterns visible in </w:t>
      </w:r>
      <w:r>
        <w:fldChar w:fldCharType="begin"/>
      </w:r>
      <w:r>
        <w:instrText>REF _Ref48911030 \h</w:instrText>
      </w:r>
      <w:r>
        <w:fldChar w:fldCharType="separate"/>
      </w:r>
      <w:r>
        <w:t>Figure 2</w:t>
      </w:r>
      <w:r>
        <w:fldChar w:fldCharType="end"/>
      </w:r>
      <w:r>
        <w:t xml:space="preserve"> and </w:t>
      </w:r>
      <w:r>
        <w:fldChar w:fldCharType="begin"/>
      </w:r>
      <w:r>
        <w:instrText>REF _Ref48911055 \h</w:instrText>
      </w:r>
      <w:r>
        <w:fldChar w:fldCharType="separate"/>
      </w:r>
      <w:r>
        <w:t>Figure 3</w:t>
      </w:r>
      <w:r>
        <w:fldChar w:fldCharType="end"/>
      </w:r>
      <w:r>
        <w:t xml:space="preserve">, hold for them as well. </w:t>
      </w:r>
    </w:p>
    <w:p w14:paraId="6D6359AC" w14:textId="77777777" w:rsidR="00682EA7" w:rsidRDefault="00D32EA9">
      <w:pPr>
        <w:pStyle w:val="berschrift2"/>
      </w:pPr>
      <w:r>
        <w:t>Redundancy in typical assemblages</w:t>
      </w:r>
    </w:p>
    <w:p w14:paraId="1773FF11" w14:textId="2F1A89F3" w:rsidR="00682EA7" w:rsidRDefault="00D32EA9">
      <w:pPr>
        <w:spacing w:line="360" w:lineRule="auto"/>
        <w:jc w:val="both"/>
      </w:pPr>
      <w:r>
        <w:t>We assessed to which degree the different TAs overlap (</w:t>
      </w:r>
      <w:r>
        <w:fldChar w:fldCharType="begin"/>
      </w:r>
      <w:r>
        <w:instrText>REF _Ref48741555 \h</w:instrText>
      </w:r>
      <w:r>
        <w:fldChar w:fldCharType="separate"/>
      </w:r>
      <w:r>
        <w:t>Table 1</w:t>
      </w:r>
      <w:r>
        <w:fldChar w:fldCharType="end"/>
      </w:r>
      <w:r>
        <w:t>). The degree of overlap is the percentage</w:t>
      </w:r>
      <w:r w:rsidR="00B87089">
        <w:t xml:space="preserve"> </w:t>
      </w:r>
      <w:r>
        <w:t xml:space="preserve">of taxa in a TA that is also present in the most similar (largest overlap) TA. </w:t>
      </w:r>
    </w:p>
    <w:p w14:paraId="580CF216" w14:textId="77777777" w:rsidR="00682EA7" w:rsidRDefault="00D32EA9">
      <w:pPr>
        <w:pStyle w:val="Caption"/>
        <w:keepNext/>
      </w:pPr>
      <w:bookmarkStart w:id="7" w:name="_Ref48741555"/>
      <w:r>
        <w:t xml:space="preserve">Table </w:t>
      </w:r>
      <w:r>
        <w:fldChar w:fldCharType="begin"/>
      </w:r>
      <w:r>
        <w:instrText>SEQ Tabelle \* ARABIC</w:instrText>
      </w:r>
      <w:r>
        <w:fldChar w:fldCharType="separate"/>
      </w:r>
      <w:r>
        <w:t>1</w:t>
      </w:r>
      <w:r>
        <w:fldChar w:fldCharType="end"/>
      </w:r>
      <w:bookmarkEnd w:id="7"/>
      <w:r>
        <w:t>: Redundancy between TAs</w:t>
      </w:r>
    </w:p>
    <w:tbl>
      <w:tblPr>
        <w:tblStyle w:val="TableGrid"/>
        <w:tblW w:w="9062" w:type="dxa"/>
        <w:tblLook w:val="04A0" w:firstRow="1" w:lastRow="0" w:firstColumn="1" w:lastColumn="0" w:noHBand="0" w:noVBand="1"/>
      </w:tblPr>
      <w:tblGrid>
        <w:gridCol w:w="3020"/>
        <w:gridCol w:w="3021"/>
        <w:gridCol w:w="3021"/>
      </w:tblGrid>
      <w:tr w:rsidR="00682EA7" w14:paraId="57D7D80D" w14:textId="77777777">
        <w:tc>
          <w:tcPr>
            <w:tcW w:w="3020" w:type="dxa"/>
            <w:shd w:val="clear" w:color="auto" w:fill="auto"/>
            <w:tcMar>
              <w:left w:w="108" w:type="dxa"/>
            </w:tcMar>
          </w:tcPr>
          <w:p w14:paraId="03B017B4" w14:textId="77777777" w:rsidR="00682EA7" w:rsidRDefault="00D32EA9">
            <w:pPr>
              <w:spacing w:after="0"/>
            </w:pPr>
            <w:r>
              <w:t xml:space="preserve">River type </w:t>
            </w:r>
          </w:p>
        </w:tc>
        <w:tc>
          <w:tcPr>
            <w:tcW w:w="3021" w:type="dxa"/>
            <w:shd w:val="clear" w:color="auto" w:fill="auto"/>
            <w:tcMar>
              <w:left w:w="108" w:type="dxa"/>
            </w:tcMar>
          </w:tcPr>
          <w:p w14:paraId="158A0279" w14:textId="77777777" w:rsidR="00682EA7" w:rsidRDefault="00D32EA9">
            <w:pPr>
              <w:spacing w:after="0"/>
            </w:pPr>
            <w:r>
              <w:t>Most similar river type(s)</w:t>
            </w:r>
          </w:p>
        </w:tc>
        <w:tc>
          <w:tcPr>
            <w:tcW w:w="3021" w:type="dxa"/>
            <w:shd w:val="clear" w:color="auto" w:fill="auto"/>
            <w:tcMar>
              <w:left w:w="108" w:type="dxa"/>
            </w:tcMar>
          </w:tcPr>
          <w:p w14:paraId="6A8DAAA1" w14:textId="77777777" w:rsidR="00682EA7" w:rsidRDefault="00D32EA9">
            <w:pPr>
              <w:spacing w:after="0"/>
            </w:pPr>
            <w:r>
              <w:t xml:space="preserve">Degree of overlap </w:t>
            </w:r>
          </w:p>
        </w:tc>
      </w:tr>
      <w:tr w:rsidR="00682EA7" w14:paraId="4D3221CE" w14:textId="77777777">
        <w:tc>
          <w:tcPr>
            <w:tcW w:w="3020" w:type="dxa"/>
            <w:shd w:val="clear" w:color="auto" w:fill="auto"/>
            <w:tcMar>
              <w:left w:w="108" w:type="dxa"/>
            </w:tcMar>
          </w:tcPr>
          <w:p w14:paraId="0E884457" w14:textId="77777777" w:rsidR="00682EA7" w:rsidRDefault="00D32EA9">
            <w:pPr>
              <w:spacing w:after="0"/>
            </w:pPr>
            <w:r>
              <w:t xml:space="preserve">RT01: Very Large Rivers </w:t>
            </w:r>
          </w:p>
        </w:tc>
        <w:tc>
          <w:tcPr>
            <w:tcW w:w="3021" w:type="dxa"/>
            <w:shd w:val="clear" w:color="auto" w:fill="auto"/>
            <w:tcMar>
              <w:left w:w="108" w:type="dxa"/>
            </w:tcMar>
          </w:tcPr>
          <w:p w14:paraId="1CB27A60" w14:textId="1B267AEE" w:rsidR="00682EA7" w:rsidRDefault="00D32EA9">
            <w:pPr>
              <w:spacing w:after="0"/>
            </w:pPr>
            <w:r>
              <w:t>RT2+4</w:t>
            </w:r>
          </w:p>
        </w:tc>
        <w:tc>
          <w:tcPr>
            <w:tcW w:w="3021" w:type="dxa"/>
            <w:shd w:val="clear" w:color="auto" w:fill="auto"/>
            <w:tcMar>
              <w:left w:w="108" w:type="dxa"/>
            </w:tcMar>
          </w:tcPr>
          <w:p w14:paraId="060D7445" w14:textId="3E2E6AEB" w:rsidR="00682EA7" w:rsidRDefault="00802F71">
            <w:pPr>
              <w:spacing w:after="0"/>
            </w:pPr>
            <w:r>
              <w:t xml:space="preserve">25 </w:t>
            </w:r>
            <w:r w:rsidR="00D32EA9">
              <w:t>%</w:t>
            </w:r>
          </w:p>
        </w:tc>
      </w:tr>
      <w:tr w:rsidR="00682EA7" w14:paraId="0F173674" w14:textId="77777777">
        <w:tc>
          <w:tcPr>
            <w:tcW w:w="3020" w:type="dxa"/>
            <w:shd w:val="clear" w:color="auto" w:fill="auto"/>
            <w:tcMar>
              <w:left w:w="108" w:type="dxa"/>
            </w:tcMar>
          </w:tcPr>
          <w:p w14:paraId="1747B228" w14:textId="77777777" w:rsidR="00682EA7" w:rsidRDefault="00D32EA9">
            <w:pPr>
              <w:spacing w:after="0"/>
            </w:pPr>
            <w:r>
              <w:t>RT02: Lowland, siliceous, medium-large</w:t>
            </w:r>
          </w:p>
        </w:tc>
        <w:tc>
          <w:tcPr>
            <w:tcW w:w="3021" w:type="dxa"/>
            <w:shd w:val="clear" w:color="auto" w:fill="auto"/>
            <w:tcMar>
              <w:left w:w="108" w:type="dxa"/>
            </w:tcMar>
          </w:tcPr>
          <w:p w14:paraId="348A6599" w14:textId="77777777" w:rsidR="00682EA7" w:rsidRDefault="00D32EA9">
            <w:pPr>
              <w:spacing w:after="0"/>
            </w:pPr>
            <w:r>
              <w:t xml:space="preserve">RT3 </w:t>
            </w:r>
          </w:p>
        </w:tc>
        <w:tc>
          <w:tcPr>
            <w:tcW w:w="3021" w:type="dxa"/>
            <w:shd w:val="clear" w:color="auto" w:fill="auto"/>
            <w:tcMar>
              <w:left w:w="108" w:type="dxa"/>
            </w:tcMar>
          </w:tcPr>
          <w:p w14:paraId="3C6879D8" w14:textId="7047647D" w:rsidR="00682EA7" w:rsidRDefault="00D32EA9">
            <w:pPr>
              <w:spacing w:after="0"/>
            </w:pPr>
            <w:r>
              <w:t>88.</w:t>
            </w:r>
            <w:r w:rsidR="00802F71">
              <w:t>2</w:t>
            </w:r>
            <w:r>
              <w:t xml:space="preserve"> %</w:t>
            </w:r>
          </w:p>
        </w:tc>
      </w:tr>
      <w:tr w:rsidR="00682EA7" w14:paraId="2781B837" w14:textId="77777777">
        <w:tc>
          <w:tcPr>
            <w:tcW w:w="3020" w:type="dxa"/>
            <w:shd w:val="clear" w:color="auto" w:fill="auto"/>
            <w:tcMar>
              <w:left w:w="108" w:type="dxa"/>
            </w:tcMar>
          </w:tcPr>
          <w:p w14:paraId="0890B199" w14:textId="77777777" w:rsidR="00682EA7" w:rsidRDefault="00D32EA9">
            <w:pPr>
              <w:spacing w:after="0"/>
            </w:pPr>
            <w:r>
              <w:t>RT03: Lowland, siliceous, very small-small</w:t>
            </w:r>
          </w:p>
        </w:tc>
        <w:tc>
          <w:tcPr>
            <w:tcW w:w="3021" w:type="dxa"/>
            <w:shd w:val="clear" w:color="auto" w:fill="auto"/>
            <w:tcMar>
              <w:left w:w="108" w:type="dxa"/>
            </w:tcMar>
          </w:tcPr>
          <w:p w14:paraId="31F9E990" w14:textId="77777777" w:rsidR="00682EA7" w:rsidRDefault="00D32EA9">
            <w:pPr>
              <w:spacing w:after="0"/>
            </w:pPr>
            <w:r>
              <w:t>RT2</w:t>
            </w:r>
          </w:p>
        </w:tc>
        <w:tc>
          <w:tcPr>
            <w:tcW w:w="3021" w:type="dxa"/>
            <w:shd w:val="clear" w:color="auto" w:fill="auto"/>
            <w:tcMar>
              <w:left w:w="108" w:type="dxa"/>
            </w:tcMar>
          </w:tcPr>
          <w:p w14:paraId="5B820EE1" w14:textId="15D1B8BB" w:rsidR="00682EA7" w:rsidRDefault="00D32EA9">
            <w:pPr>
              <w:spacing w:after="0"/>
            </w:pPr>
            <w:r>
              <w:t>6</w:t>
            </w:r>
            <w:r w:rsidR="00802F71">
              <w:t>8</w:t>
            </w:r>
            <w:r>
              <w:t>.</w:t>
            </w:r>
            <w:r w:rsidR="00802F71">
              <w:t>2</w:t>
            </w:r>
            <w:r>
              <w:t xml:space="preserve"> % </w:t>
            </w:r>
          </w:p>
        </w:tc>
      </w:tr>
      <w:tr w:rsidR="00682EA7" w14:paraId="67956E71" w14:textId="77777777">
        <w:tc>
          <w:tcPr>
            <w:tcW w:w="3020" w:type="dxa"/>
            <w:shd w:val="clear" w:color="auto" w:fill="auto"/>
            <w:tcMar>
              <w:left w:w="108" w:type="dxa"/>
            </w:tcMar>
          </w:tcPr>
          <w:p w14:paraId="3684CDBA" w14:textId="77777777" w:rsidR="00682EA7" w:rsidRDefault="00D32EA9">
            <w:pPr>
              <w:spacing w:after="0"/>
            </w:pPr>
            <w:r>
              <w:t>RT04: Lowland, calcareous or mixed, medium-large</w:t>
            </w:r>
          </w:p>
        </w:tc>
        <w:tc>
          <w:tcPr>
            <w:tcW w:w="3021" w:type="dxa"/>
            <w:shd w:val="clear" w:color="auto" w:fill="auto"/>
            <w:tcMar>
              <w:left w:w="108" w:type="dxa"/>
            </w:tcMar>
          </w:tcPr>
          <w:p w14:paraId="1FD537CE" w14:textId="56236D57" w:rsidR="00682EA7" w:rsidRDefault="00D32EA9">
            <w:pPr>
              <w:spacing w:after="0"/>
            </w:pPr>
            <w:r>
              <w:t>RT3</w:t>
            </w:r>
          </w:p>
        </w:tc>
        <w:tc>
          <w:tcPr>
            <w:tcW w:w="3021" w:type="dxa"/>
            <w:shd w:val="clear" w:color="auto" w:fill="auto"/>
            <w:tcMar>
              <w:left w:w="108" w:type="dxa"/>
            </w:tcMar>
          </w:tcPr>
          <w:p w14:paraId="51CAAE81" w14:textId="77777777" w:rsidR="00682EA7" w:rsidRDefault="00D32EA9">
            <w:pPr>
              <w:spacing w:after="0"/>
            </w:pPr>
            <w:r>
              <w:t>45.8 %</w:t>
            </w:r>
          </w:p>
        </w:tc>
      </w:tr>
      <w:tr w:rsidR="00682EA7" w14:paraId="7AFD4F9E" w14:textId="77777777">
        <w:tc>
          <w:tcPr>
            <w:tcW w:w="3020" w:type="dxa"/>
            <w:shd w:val="clear" w:color="auto" w:fill="auto"/>
            <w:tcMar>
              <w:left w:w="108" w:type="dxa"/>
            </w:tcMar>
          </w:tcPr>
          <w:p w14:paraId="6ABACE3F" w14:textId="77777777" w:rsidR="00682EA7" w:rsidRDefault="00D32EA9">
            <w:pPr>
              <w:spacing w:after="0"/>
            </w:pPr>
            <w:r>
              <w:t>RT05: Lowland, calcareous or mixed, very small-small</w:t>
            </w:r>
          </w:p>
        </w:tc>
        <w:tc>
          <w:tcPr>
            <w:tcW w:w="3021" w:type="dxa"/>
            <w:shd w:val="clear" w:color="auto" w:fill="auto"/>
            <w:tcMar>
              <w:left w:w="108" w:type="dxa"/>
            </w:tcMar>
          </w:tcPr>
          <w:p w14:paraId="1B8747FE" w14:textId="77777777" w:rsidR="00682EA7" w:rsidRDefault="00D32EA9">
            <w:pPr>
              <w:spacing w:after="0"/>
            </w:pPr>
            <w:r>
              <w:t>RT4</w:t>
            </w:r>
          </w:p>
        </w:tc>
        <w:tc>
          <w:tcPr>
            <w:tcW w:w="3021" w:type="dxa"/>
            <w:shd w:val="clear" w:color="auto" w:fill="auto"/>
            <w:tcMar>
              <w:left w:w="108" w:type="dxa"/>
            </w:tcMar>
          </w:tcPr>
          <w:p w14:paraId="2FE18D7A" w14:textId="262749D9" w:rsidR="00682EA7" w:rsidRDefault="00D32EA9">
            <w:pPr>
              <w:spacing w:after="0"/>
            </w:pPr>
            <w:r>
              <w:t>8</w:t>
            </w:r>
            <w:r w:rsidR="00802F71">
              <w:t>3</w:t>
            </w:r>
            <w:r>
              <w:t>.</w:t>
            </w:r>
            <w:r w:rsidR="00802F71">
              <w:t>3</w:t>
            </w:r>
            <w:r>
              <w:t xml:space="preserve"> %</w:t>
            </w:r>
          </w:p>
        </w:tc>
      </w:tr>
      <w:tr w:rsidR="00682EA7" w14:paraId="4DB7AB7F" w14:textId="77777777">
        <w:tc>
          <w:tcPr>
            <w:tcW w:w="3020" w:type="dxa"/>
            <w:shd w:val="clear" w:color="auto" w:fill="auto"/>
            <w:tcMar>
              <w:left w:w="108" w:type="dxa"/>
            </w:tcMar>
          </w:tcPr>
          <w:p w14:paraId="62E4597B" w14:textId="77777777" w:rsidR="00682EA7" w:rsidRDefault="00D32EA9">
            <w:pPr>
              <w:spacing w:after="0"/>
            </w:pPr>
            <w:r>
              <w:t>RT08: Mid-altitude, siliceous, medium-large</w:t>
            </w:r>
          </w:p>
        </w:tc>
        <w:tc>
          <w:tcPr>
            <w:tcW w:w="3021" w:type="dxa"/>
            <w:shd w:val="clear" w:color="auto" w:fill="auto"/>
            <w:tcMar>
              <w:left w:w="108" w:type="dxa"/>
            </w:tcMar>
          </w:tcPr>
          <w:p w14:paraId="6D49B1E7" w14:textId="1D3F321E" w:rsidR="00682EA7" w:rsidRDefault="00D32EA9">
            <w:pPr>
              <w:spacing w:after="0"/>
            </w:pPr>
            <w:r>
              <w:t>RT</w:t>
            </w:r>
            <w:r w:rsidR="00802F71">
              <w:t>10</w:t>
            </w:r>
          </w:p>
        </w:tc>
        <w:tc>
          <w:tcPr>
            <w:tcW w:w="3021" w:type="dxa"/>
            <w:shd w:val="clear" w:color="auto" w:fill="auto"/>
            <w:tcMar>
              <w:left w:w="108" w:type="dxa"/>
            </w:tcMar>
          </w:tcPr>
          <w:p w14:paraId="3F3ACC2D" w14:textId="2691B316" w:rsidR="00682EA7" w:rsidRDefault="00802F71">
            <w:pPr>
              <w:spacing w:after="0"/>
            </w:pPr>
            <w:r>
              <w:t>77.8</w:t>
            </w:r>
            <w:r w:rsidR="00D32EA9">
              <w:t>%</w:t>
            </w:r>
          </w:p>
        </w:tc>
      </w:tr>
      <w:tr w:rsidR="00682EA7" w14:paraId="19EC2316" w14:textId="77777777">
        <w:tc>
          <w:tcPr>
            <w:tcW w:w="3020" w:type="dxa"/>
            <w:shd w:val="clear" w:color="auto" w:fill="auto"/>
            <w:tcMar>
              <w:left w:w="108" w:type="dxa"/>
            </w:tcMar>
          </w:tcPr>
          <w:p w14:paraId="1A3AF61D" w14:textId="77777777" w:rsidR="00682EA7" w:rsidRDefault="00D32EA9">
            <w:pPr>
              <w:spacing w:after="0"/>
            </w:pPr>
            <w:r>
              <w:t>RT09: Mid-altitude, siliceous, very small-small</w:t>
            </w:r>
          </w:p>
        </w:tc>
        <w:tc>
          <w:tcPr>
            <w:tcW w:w="3021" w:type="dxa"/>
            <w:shd w:val="clear" w:color="auto" w:fill="auto"/>
            <w:tcMar>
              <w:left w:w="108" w:type="dxa"/>
            </w:tcMar>
          </w:tcPr>
          <w:p w14:paraId="63007B3E" w14:textId="77777777" w:rsidR="00682EA7" w:rsidRDefault="00D32EA9">
            <w:pPr>
              <w:spacing w:after="0"/>
            </w:pPr>
            <w:r>
              <w:t>RT8</w:t>
            </w:r>
          </w:p>
        </w:tc>
        <w:tc>
          <w:tcPr>
            <w:tcW w:w="3021" w:type="dxa"/>
            <w:shd w:val="clear" w:color="auto" w:fill="auto"/>
            <w:tcMar>
              <w:left w:w="108" w:type="dxa"/>
            </w:tcMar>
          </w:tcPr>
          <w:p w14:paraId="2484E905" w14:textId="5E8D3C22" w:rsidR="00682EA7" w:rsidRDefault="00D32EA9">
            <w:pPr>
              <w:spacing w:after="0"/>
            </w:pPr>
            <w:r>
              <w:t>7</w:t>
            </w:r>
            <w:r w:rsidR="00802F71">
              <w:t>6</w:t>
            </w:r>
            <w:r>
              <w:t>.</w:t>
            </w:r>
            <w:r w:rsidR="00802F71">
              <w:t>5</w:t>
            </w:r>
            <w:r>
              <w:t xml:space="preserve"> %</w:t>
            </w:r>
          </w:p>
        </w:tc>
      </w:tr>
      <w:tr w:rsidR="00682EA7" w14:paraId="39337610" w14:textId="77777777">
        <w:tc>
          <w:tcPr>
            <w:tcW w:w="3020" w:type="dxa"/>
            <w:shd w:val="clear" w:color="auto" w:fill="auto"/>
            <w:tcMar>
              <w:left w:w="108" w:type="dxa"/>
            </w:tcMar>
          </w:tcPr>
          <w:p w14:paraId="130AB44C" w14:textId="77777777" w:rsidR="00682EA7" w:rsidRDefault="00D32EA9">
            <w:pPr>
              <w:spacing w:after="0"/>
            </w:pPr>
            <w:r>
              <w:t>RT10: Mid-altitude, calcareous or mixed, medium-large</w:t>
            </w:r>
          </w:p>
        </w:tc>
        <w:tc>
          <w:tcPr>
            <w:tcW w:w="3021" w:type="dxa"/>
            <w:shd w:val="clear" w:color="auto" w:fill="auto"/>
            <w:tcMar>
              <w:left w:w="108" w:type="dxa"/>
            </w:tcMar>
          </w:tcPr>
          <w:p w14:paraId="1CB38F05" w14:textId="77777777" w:rsidR="00682EA7" w:rsidRDefault="00D32EA9">
            <w:pPr>
              <w:spacing w:after="0"/>
            </w:pPr>
            <w:r>
              <w:t>RT11+18</w:t>
            </w:r>
          </w:p>
        </w:tc>
        <w:tc>
          <w:tcPr>
            <w:tcW w:w="3021" w:type="dxa"/>
            <w:shd w:val="clear" w:color="auto" w:fill="auto"/>
            <w:tcMar>
              <w:left w:w="108" w:type="dxa"/>
            </w:tcMar>
          </w:tcPr>
          <w:p w14:paraId="2F826A44" w14:textId="0B73FB94" w:rsidR="00682EA7" w:rsidRDefault="00D32EA9">
            <w:pPr>
              <w:spacing w:after="0"/>
            </w:pPr>
            <w:r>
              <w:t>6</w:t>
            </w:r>
            <w:r w:rsidR="00802F71">
              <w:t>5</w:t>
            </w:r>
            <w:r>
              <w:t>.</w:t>
            </w:r>
            <w:r w:rsidR="00802F71">
              <w:t>2</w:t>
            </w:r>
            <w:r>
              <w:t xml:space="preserve"> %</w:t>
            </w:r>
          </w:p>
        </w:tc>
      </w:tr>
      <w:tr w:rsidR="00682EA7" w14:paraId="2B59967B" w14:textId="77777777">
        <w:tc>
          <w:tcPr>
            <w:tcW w:w="3020" w:type="dxa"/>
            <w:shd w:val="clear" w:color="auto" w:fill="auto"/>
            <w:tcMar>
              <w:left w:w="108" w:type="dxa"/>
            </w:tcMar>
          </w:tcPr>
          <w:p w14:paraId="064528F8" w14:textId="77777777" w:rsidR="00682EA7" w:rsidRDefault="00D32EA9">
            <w:pPr>
              <w:spacing w:after="0"/>
            </w:pPr>
            <w:r>
              <w:t>RT11: Mid-altitude, calcareous or mixed, very small-small</w:t>
            </w:r>
          </w:p>
        </w:tc>
        <w:tc>
          <w:tcPr>
            <w:tcW w:w="3021" w:type="dxa"/>
            <w:shd w:val="clear" w:color="auto" w:fill="auto"/>
            <w:tcMar>
              <w:left w:w="108" w:type="dxa"/>
            </w:tcMar>
          </w:tcPr>
          <w:p w14:paraId="26416DD0" w14:textId="77777777" w:rsidR="00682EA7" w:rsidRDefault="00D32EA9">
            <w:pPr>
              <w:spacing w:after="0"/>
            </w:pPr>
            <w:r>
              <w:t>RT10</w:t>
            </w:r>
          </w:p>
        </w:tc>
        <w:tc>
          <w:tcPr>
            <w:tcW w:w="3021" w:type="dxa"/>
            <w:shd w:val="clear" w:color="auto" w:fill="auto"/>
            <w:tcMar>
              <w:left w:w="108" w:type="dxa"/>
            </w:tcMar>
          </w:tcPr>
          <w:p w14:paraId="371E957C" w14:textId="6358B114" w:rsidR="00682EA7" w:rsidRDefault="00D32EA9">
            <w:pPr>
              <w:spacing w:after="0"/>
            </w:pPr>
            <w:r>
              <w:t>8</w:t>
            </w:r>
            <w:r w:rsidR="00802F71">
              <w:t>8</w:t>
            </w:r>
            <w:r>
              <w:t xml:space="preserve">.2 % </w:t>
            </w:r>
          </w:p>
        </w:tc>
      </w:tr>
      <w:tr w:rsidR="00682EA7" w14:paraId="0A81247F" w14:textId="77777777">
        <w:tc>
          <w:tcPr>
            <w:tcW w:w="3020" w:type="dxa"/>
            <w:shd w:val="clear" w:color="auto" w:fill="auto"/>
            <w:tcMar>
              <w:left w:w="108" w:type="dxa"/>
            </w:tcMar>
          </w:tcPr>
          <w:p w14:paraId="26EEBDC2" w14:textId="77777777" w:rsidR="00682EA7" w:rsidRDefault="00D32EA9">
            <w:pPr>
              <w:spacing w:after="0"/>
            </w:pPr>
            <w:r>
              <w:lastRenderedPageBreak/>
              <w:t>RT12: Mid-altitude, organic and siliceous, very small-large</w:t>
            </w:r>
          </w:p>
        </w:tc>
        <w:tc>
          <w:tcPr>
            <w:tcW w:w="3021" w:type="dxa"/>
            <w:shd w:val="clear" w:color="auto" w:fill="auto"/>
            <w:tcMar>
              <w:left w:w="108" w:type="dxa"/>
            </w:tcMar>
          </w:tcPr>
          <w:p w14:paraId="2FF2837C" w14:textId="77777777" w:rsidR="00682EA7" w:rsidRDefault="00D32EA9">
            <w:pPr>
              <w:spacing w:after="0"/>
            </w:pPr>
            <w:r>
              <w:t>RT9</w:t>
            </w:r>
          </w:p>
        </w:tc>
        <w:tc>
          <w:tcPr>
            <w:tcW w:w="3021" w:type="dxa"/>
            <w:shd w:val="clear" w:color="auto" w:fill="auto"/>
            <w:tcMar>
              <w:left w:w="108" w:type="dxa"/>
            </w:tcMar>
          </w:tcPr>
          <w:p w14:paraId="05AAF4E2" w14:textId="77777777" w:rsidR="00682EA7" w:rsidRDefault="00D32EA9">
            <w:pPr>
              <w:spacing w:after="0"/>
            </w:pPr>
            <w:r>
              <w:t xml:space="preserve">50.0 % </w:t>
            </w:r>
          </w:p>
        </w:tc>
      </w:tr>
      <w:tr w:rsidR="00682EA7" w14:paraId="259FC866" w14:textId="77777777">
        <w:tc>
          <w:tcPr>
            <w:tcW w:w="3020" w:type="dxa"/>
            <w:shd w:val="clear" w:color="auto" w:fill="auto"/>
            <w:tcMar>
              <w:left w:w="108" w:type="dxa"/>
            </w:tcMar>
          </w:tcPr>
          <w:p w14:paraId="1761DDED" w14:textId="77777777" w:rsidR="00682EA7" w:rsidRDefault="00D32EA9">
            <w:pPr>
              <w:spacing w:after="0"/>
            </w:pPr>
            <w:r>
              <w:t>RT13: Mid-altitude, organic and calcareous/mixed</w:t>
            </w:r>
          </w:p>
        </w:tc>
        <w:tc>
          <w:tcPr>
            <w:tcW w:w="3021" w:type="dxa"/>
            <w:shd w:val="clear" w:color="auto" w:fill="auto"/>
            <w:tcMar>
              <w:left w:w="108" w:type="dxa"/>
            </w:tcMar>
          </w:tcPr>
          <w:p w14:paraId="208B9302" w14:textId="0952D782" w:rsidR="00682EA7" w:rsidRDefault="00D32EA9">
            <w:pPr>
              <w:spacing w:after="0"/>
            </w:pPr>
            <w:r>
              <w:t>RT2</w:t>
            </w:r>
          </w:p>
        </w:tc>
        <w:tc>
          <w:tcPr>
            <w:tcW w:w="3021" w:type="dxa"/>
            <w:shd w:val="clear" w:color="auto" w:fill="auto"/>
            <w:tcMar>
              <w:left w:w="108" w:type="dxa"/>
            </w:tcMar>
          </w:tcPr>
          <w:p w14:paraId="25937943" w14:textId="77F9F7D6" w:rsidR="00682EA7" w:rsidRDefault="00D32EA9">
            <w:pPr>
              <w:spacing w:after="0"/>
            </w:pPr>
            <w:r>
              <w:t>8</w:t>
            </w:r>
            <w:r w:rsidR="00802F71">
              <w:t>7</w:t>
            </w:r>
            <w:r>
              <w:t>.</w:t>
            </w:r>
            <w:r w:rsidR="00802F71">
              <w:t>5</w:t>
            </w:r>
            <w:r>
              <w:t xml:space="preserve"> %</w:t>
            </w:r>
          </w:p>
        </w:tc>
      </w:tr>
      <w:tr w:rsidR="00682EA7" w14:paraId="683C8C77" w14:textId="77777777">
        <w:tc>
          <w:tcPr>
            <w:tcW w:w="3020" w:type="dxa"/>
            <w:shd w:val="clear" w:color="auto" w:fill="auto"/>
            <w:tcMar>
              <w:left w:w="108" w:type="dxa"/>
            </w:tcMar>
          </w:tcPr>
          <w:p w14:paraId="7DD7A859" w14:textId="77777777" w:rsidR="00682EA7" w:rsidRDefault="00D32EA9">
            <w:pPr>
              <w:spacing w:after="0"/>
            </w:pPr>
            <w:r>
              <w:t>RT14: Highland (all Europe), siliceous, incl. organic (humic)</w:t>
            </w:r>
          </w:p>
        </w:tc>
        <w:tc>
          <w:tcPr>
            <w:tcW w:w="3021" w:type="dxa"/>
            <w:shd w:val="clear" w:color="auto" w:fill="auto"/>
            <w:tcMar>
              <w:left w:w="108" w:type="dxa"/>
            </w:tcMar>
          </w:tcPr>
          <w:p w14:paraId="5562607B" w14:textId="77777777" w:rsidR="00682EA7" w:rsidRDefault="00D32EA9">
            <w:pPr>
              <w:spacing w:after="0"/>
            </w:pPr>
            <w:r>
              <w:t>RT16+18</w:t>
            </w:r>
          </w:p>
        </w:tc>
        <w:tc>
          <w:tcPr>
            <w:tcW w:w="3021" w:type="dxa"/>
            <w:shd w:val="clear" w:color="auto" w:fill="auto"/>
            <w:tcMar>
              <w:left w:w="108" w:type="dxa"/>
            </w:tcMar>
          </w:tcPr>
          <w:p w14:paraId="3A1C3C28" w14:textId="4AD9BF95" w:rsidR="00682EA7" w:rsidRDefault="00D32EA9">
            <w:pPr>
              <w:spacing w:after="0"/>
            </w:pPr>
            <w:r>
              <w:t>6</w:t>
            </w:r>
            <w:r w:rsidR="00802F71">
              <w:t>9</w:t>
            </w:r>
            <w:r>
              <w:t>.</w:t>
            </w:r>
            <w:r w:rsidR="00802F71">
              <w:t>2</w:t>
            </w:r>
            <w:r>
              <w:t xml:space="preserve"> %</w:t>
            </w:r>
          </w:p>
        </w:tc>
      </w:tr>
      <w:tr w:rsidR="00682EA7" w14:paraId="00F21A4B" w14:textId="77777777">
        <w:tc>
          <w:tcPr>
            <w:tcW w:w="3020" w:type="dxa"/>
            <w:shd w:val="clear" w:color="auto" w:fill="auto"/>
            <w:tcMar>
              <w:left w:w="108" w:type="dxa"/>
            </w:tcMar>
          </w:tcPr>
          <w:p w14:paraId="75E5AB6F" w14:textId="77777777" w:rsidR="00682EA7" w:rsidRDefault="00D32EA9">
            <w:pPr>
              <w:spacing w:after="0"/>
            </w:pPr>
            <w:r>
              <w:t>RT15: Highland (all Europe), calcareous/mixed</w:t>
            </w:r>
          </w:p>
        </w:tc>
        <w:tc>
          <w:tcPr>
            <w:tcW w:w="3021" w:type="dxa"/>
            <w:shd w:val="clear" w:color="auto" w:fill="auto"/>
            <w:tcMar>
              <w:left w:w="108" w:type="dxa"/>
            </w:tcMar>
          </w:tcPr>
          <w:p w14:paraId="06EECB59" w14:textId="7FDB18E9" w:rsidR="00682EA7" w:rsidRDefault="00D32EA9">
            <w:pPr>
              <w:spacing w:after="0"/>
            </w:pPr>
            <w:r>
              <w:t>RT16</w:t>
            </w:r>
          </w:p>
        </w:tc>
        <w:tc>
          <w:tcPr>
            <w:tcW w:w="3021" w:type="dxa"/>
            <w:shd w:val="clear" w:color="auto" w:fill="auto"/>
            <w:tcMar>
              <w:left w:w="108" w:type="dxa"/>
            </w:tcMar>
          </w:tcPr>
          <w:p w14:paraId="11FBB8ED" w14:textId="36293912" w:rsidR="00682EA7" w:rsidRDefault="00802F71">
            <w:pPr>
              <w:spacing w:after="0"/>
            </w:pPr>
            <w:r>
              <w:t>85.7</w:t>
            </w:r>
            <w:r w:rsidR="00D32EA9">
              <w:t xml:space="preserve"> %</w:t>
            </w:r>
          </w:p>
        </w:tc>
      </w:tr>
      <w:tr w:rsidR="00682EA7" w14:paraId="03A744B1" w14:textId="77777777">
        <w:tc>
          <w:tcPr>
            <w:tcW w:w="3020" w:type="dxa"/>
            <w:shd w:val="clear" w:color="auto" w:fill="auto"/>
            <w:tcMar>
              <w:left w:w="108" w:type="dxa"/>
            </w:tcMar>
          </w:tcPr>
          <w:p w14:paraId="62E75994" w14:textId="77777777" w:rsidR="00682EA7" w:rsidRDefault="00D32EA9">
            <w:pPr>
              <w:spacing w:after="0"/>
            </w:pPr>
            <w:r>
              <w:t>RT16: Glacial rivers (all Europe)</w:t>
            </w:r>
          </w:p>
        </w:tc>
        <w:tc>
          <w:tcPr>
            <w:tcW w:w="3021" w:type="dxa"/>
            <w:shd w:val="clear" w:color="auto" w:fill="auto"/>
            <w:tcMar>
              <w:left w:w="108" w:type="dxa"/>
            </w:tcMar>
          </w:tcPr>
          <w:p w14:paraId="606474A8" w14:textId="77777777" w:rsidR="00682EA7" w:rsidRDefault="00D32EA9">
            <w:pPr>
              <w:spacing w:after="0"/>
            </w:pPr>
            <w:r>
              <w:t>RT9+10+11+15</w:t>
            </w:r>
          </w:p>
        </w:tc>
        <w:tc>
          <w:tcPr>
            <w:tcW w:w="3021" w:type="dxa"/>
            <w:shd w:val="clear" w:color="auto" w:fill="auto"/>
            <w:tcMar>
              <w:left w:w="108" w:type="dxa"/>
            </w:tcMar>
          </w:tcPr>
          <w:p w14:paraId="08DC39EF" w14:textId="31A03E14" w:rsidR="00682EA7" w:rsidRDefault="00D32EA9">
            <w:pPr>
              <w:spacing w:after="0"/>
            </w:pPr>
            <w:r>
              <w:t>5</w:t>
            </w:r>
            <w:r w:rsidR="00802F71">
              <w:t>7</w:t>
            </w:r>
            <w:r>
              <w:t xml:space="preserve">.1 % </w:t>
            </w:r>
          </w:p>
        </w:tc>
      </w:tr>
      <w:tr w:rsidR="00682EA7" w14:paraId="5B87F1A6" w14:textId="77777777">
        <w:tc>
          <w:tcPr>
            <w:tcW w:w="3020" w:type="dxa"/>
            <w:shd w:val="clear" w:color="auto" w:fill="auto"/>
            <w:tcMar>
              <w:left w:w="108" w:type="dxa"/>
            </w:tcMar>
          </w:tcPr>
          <w:p w14:paraId="4302FCFD" w14:textId="77777777" w:rsidR="00682EA7" w:rsidRDefault="00D32EA9">
            <w:pPr>
              <w:spacing w:after="0"/>
            </w:pPr>
            <w:r>
              <w:t>RT18: Mediterranean, mid-altitude, medium-large</w:t>
            </w:r>
          </w:p>
        </w:tc>
        <w:tc>
          <w:tcPr>
            <w:tcW w:w="3021" w:type="dxa"/>
            <w:shd w:val="clear" w:color="auto" w:fill="auto"/>
            <w:tcMar>
              <w:left w:w="108" w:type="dxa"/>
            </w:tcMar>
          </w:tcPr>
          <w:p w14:paraId="64B042B6" w14:textId="77777777" w:rsidR="00682EA7" w:rsidRDefault="00D32EA9">
            <w:pPr>
              <w:spacing w:after="0"/>
            </w:pPr>
            <w:r>
              <w:t>RT10</w:t>
            </w:r>
          </w:p>
        </w:tc>
        <w:tc>
          <w:tcPr>
            <w:tcW w:w="3021" w:type="dxa"/>
            <w:shd w:val="clear" w:color="auto" w:fill="auto"/>
            <w:tcMar>
              <w:left w:w="108" w:type="dxa"/>
            </w:tcMar>
          </w:tcPr>
          <w:p w14:paraId="58FC20EC" w14:textId="0DD32E66" w:rsidR="00682EA7" w:rsidRDefault="00802F71">
            <w:pPr>
              <w:spacing w:after="0"/>
            </w:pPr>
            <w:r>
              <w:t xml:space="preserve">55.6 </w:t>
            </w:r>
            <w:r w:rsidR="00D32EA9">
              <w:t>%</w:t>
            </w:r>
          </w:p>
        </w:tc>
      </w:tr>
    </w:tbl>
    <w:p w14:paraId="094E4713" w14:textId="77777777" w:rsidR="00682EA7" w:rsidRDefault="00682EA7"/>
    <w:p w14:paraId="01771244" w14:textId="387CD49A" w:rsidR="00B87089" w:rsidRDefault="00D32EA9" w:rsidP="00B87089">
      <w:pPr>
        <w:spacing w:line="360" w:lineRule="auto"/>
        <w:jc w:val="both"/>
      </w:pPr>
      <w:r>
        <w:t>Again, choosing a threshold above which we consider two assemblages to be redundant is somewhat arbitrary. We proceeded with 75% but are open to other suggestions. This threshold lead</w:t>
      </w:r>
      <w:r w:rsidR="001A6396">
        <w:t>s</w:t>
      </w:r>
      <w:r>
        <w:t xml:space="preserve"> to five</w:t>
      </w:r>
      <w:r w:rsidR="00B87089">
        <w:t xml:space="preserve"> redundant assemblages. Most are two river types that only differ in river size: RT02 and 03, 04 and 05, 08 and 09, as well as 10 and 11. The only exception is the combination of RT15 and 16. Both are high altitude river types that occur mainly in southern Europe, which differentiates them from the northern high altitude rivers in RT14. RT13 is also redundant with RT02 and 03 however joining it with these two river types led to a drastically reduced number of taxa in the TA, when compared to that of the combined river type RT02_03. Since RT13 represents an exceedingly rare river type we decided to omit it from the analysis and proceed with RT02_03 instead of RT02_03_13. </w:t>
      </w:r>
    </w:p>
    <w:p w14:paraId="50047153" w14:textId="69D3042F" w:rsidR="00B87089" w:rsidRDefault="00B87089" w:rsidP="00B87089">
      <w:pPr>
        <w:spacing w:line="360" w:lineRule="auto"/>
        <w:jc w:val="both"/>
      </w:pPr>
      <w:r>
        <w:t xml:space="preserve">The new TAs resulted in overall lower degrees of overlap, none of which exceeds the 75% threshold. The largest overlaps were between RT8_9 and RT10_11, </w:t>
      </w:r>
      <w:r w:rsidR="00BC6712">
        <w:t>with</w:t>
      </w:r>
      <w:r>
        <w:t xml:space="preserve"> </w:t>
      </w:r>
      <w:r w:rsidR="00BC6712">
        <w:t>70</w:t>
      </w:r>
      <w:r>
        <w:t xml:space="preserve">%. </w:t>
      </w:r>
    </w:p>
    <w:p w14:paraId="1B09483F" w14:textId="557C66F4" w:rsidR="00682EA7" w:rsidRDefault="00682EA7">
      <w:pPr>
        <w:spacing w:line="360" w:lineRule="auto"/>
        <w:jc w:val="both"/>
        <w:sectPr w:rsidR="00682EA7">
          <w:pgSz w:w="11906" w:h="16838"/>
          <w:pgMar w:top="1417" w:right="1417" w:bottom="1134" w:left="1417" w:header="0" w:footer="0" w:gutter="0"/>
          <w:cols w:space="720"/>
          <w:formProt w:val="0"/>
          <w:docGrid w:linePitch="360" w:charSpace="-2049"/>
        </w:sectPr>
      </w:pPr>
    </w:p>
    <w:p w14:paraId="4E255009" w14:textId="77777777" w:rsidR="00682EA7" w:rsidRDefault="00D32EA9">
      <w:pPr>
        <w:keepNext/>
        <w:spacing w:line="360" w:lineRule="auto"/>
        <w:jc w:val="both"/>
      </w:pPr>
      <w:r>
        <w:rPr>
          <w:noProof/>
        </w:rPr>
        <w:lastRenderedPageBreak/>
        <w:drawing>
          <wp:inline distT="0" distB="0" distL="0" distR="0" wp14:anchorId="362BC024" wp14:editId="40BB7EF8">
            <wp:extent cx="7581900" cy="5360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581900" cy="5360988"/>
                    </a:xfrm>
                    <a:prstGeom prst="rect">
                      <a:avLst/>
                    </a:prstGeom>
                    <a:noFill/>
                    <a:ln w="9525">
                      <a:noFill/>
                      <a:miter lim="800000"/>
                      <a:headEnd/>
                      <a:tailEnd/>
                    </a:ln>
                  </pic:spPr>
                </pic:pic>
              </a:graphicData>
            </a:graphic>
          </wp:inline>
        </w:drawing>
      </w:r>
    </w:p>
    <w:p w14:paraId="087C3720" w14:textId="77777777" w:rsidR="00682EA7" w:rsidRDefault="00D32EA9">
      <w:pPr>
        <w:pStyle w:val="Caption"/>
        <w:jc w:val="both"/>
      </w:pPr>
      <w:bookmarkStart w:id="8" w:name="_Ref48911030"/>
      <w:r>
        <w:t xml:space="preserve">Figure </w:t>
      </w:r>
      <w:r>
        <w:fldChar w:fldCharType="begin"/>
      </w:r>
      <w:r>
        <w:instrText>SEQ Figure \* ARABIC</w:instrText>
      </w:r>
      <w:r>
        <w:fldChar w:fldCharType="separate"/>
      </w:r>
      <w:r>
        <w:t>2</w:t>
      </w:r>
      <w:r>
        <w:fldChar w:fldCharType="end"/>
      </w:r>
      <w:bookmarkEnd w:id="8"/>
      <w:r>
        <w:t>: Changes in taxa richness along a changing B threshold. Line color indicates the employed A threshold</w:t>
      </w:r>
    </w:p>
    <w:p w14:paraId="205B6F8A" w14:textId="77777777" w:rsidR="00682EA7" w:rsidRDefault="00D32EA9">
      <w:pPr>
        <w:keepNext/>
        <w:spacing w:line="360" w:lineRule="auto"/>
        <w:jc w:val="both"/>
      </w:pPr>
      <w:r>
        <w:rPr>
          <w:noProof/>
        </w:rPr>
        <w:lastRenderedPageBreak/>
        <w:drawing>
          <wp:inline distT="0" distB="0" distL="0" distR="0" wp14:anchorId="3807D29C" wp14:editId="272128FE">
            <wp:extent cx="7475855" cy="5286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475855" cy="5286006"/>
                    </a:xfrm>
                    <a:prstGeom prst="rect">
                      <a:avLst/>
                    </a:prstGeom>
                    <a:noFill/>
                    <a:ln w="9525">
                      <a:noFill/>
                      <a:miter lim="800000"/>
                      <a:headEnd/>
                      <a:tailEnd/>
                    </a:ln>
                  </pic:spPr>
                </pic:pic>
              </a:graphicData>
            </a:graphic>
          </wp:inline>
        </w:drawing>
      </w:r>
    </w:p>
    <w:p w14:paraId="6ED2BB59" w14:textId="77777777" w:rsidR="00682EA7" w:rsidRDefault="00D32EA9">
      <w:pPr>
        <w:pStyle w:val="Caption"/>
        <w:jc w:val="both"/>
        <w:sectPr w:rsidR="00682EA7">
          <w:pgSz w:w="16838" w:h="11906" w:orient="landscape"/>
          <w:pgMar w:top="1417" w:right="1417" w:bottom="1417" w:left="1134" w:header="0" w:footer="0" w:gutter="0"/>
          <w:cols w:space="720"/>
          <w:formProt w:val="0"/>
          <w:docGrid w:linePitch="360" w:charSpace="-2049"/>
        </w:sectPr>
      </w:pPr>
      <w:bookmarkStart w:id="9" w:name="_Ref48911055"/>
      <w:r>
        <w:t xml:space="preserve">Figure </w:t>
      </w:r>
      <w:r>
        <w:fldChar w:fldCharType="begin"/>
      </w:r>
      <w:r>
        <w:instrText>SEQ Figure \* ARABIC</w:instrText>
      </w:r>
      <w:r>
        <w:fldChar w:fldCharType="separate"/>
      </w:r>
      <w:r>
        <w:t>3</w:t>
      </w:r>
      <w:r>
        <w:fldChar w:fldCharType="end"/>
      </w:r>
      <w:bookmarkEnd w:id="9"/>
      <w:r>
        <w:t>: Changes in taxa uniqueness scores along a changing B threshold. Line color indicates the employed A threshold.</w:t>
      </w:r>
    </w:p>
    <w:p w14:paraId="72CCD4E5" w14:textId="77777777" w:rsidR="00682EA7" w:rsidRDefault="00682EA7">
      <w:pPr>
        <w:pStyle w:val="berschrift2"/>
      </w:pPr>
    </w:p>
    <w:p w14:paraId="37103D6B" w14:textId="77777777" w:rsidR="00682EA7" w:rsidRDefault="00D32EA9">
      <w:pPr>
        <w:pStyle w:val="berschrift2"/>
      </w:pPr>
      <w:r>
        <w:t>What do the typical assemblages look like?</w:t>
      </w:r>
      <w:r>
        <w:tab/>
      </w:r>
    </w:p>
    <w:p w14:paraId="0510FED4" w14:textId="7E3E70F5" w:rsidR="00682EA7" w:rsidRDefault="00D32EA9">
      <w:pPr>
        <w:spacing w:line="360" w:lineRule="auto"/>
        <w:jc w:val="both"/>
      </w:pPr>
      <w:r>
        <w:t>In all TAs, genus is the prevalent taxonomic level (</w:t>
      </w:r>
      <w:r>
        <w:fldChar w:fldCharType="begin"/>
      </w:r>
      <w:r>
        <w:instrText>REF _Ref49150568 \h</w:instrText>
      </w:r>
      <w:r>
        <w:fldChar w:fldCharType="separate"/>
      </w:r>
      <w:r>
        <w:t>Figure 4</w:t>
      </w:r>
      <w:r>
        <w:fldChar w:fldCharType="end"/>
      </w:r>
      <w:r>
        <w:t xml:space="preserve">). The numbers of species and fol are similar with both exceeding the other in four assemblages. The mean number of species was 3.2, mean number of genera 14.3, and the mean number of fol 2.4. </w:t>
      </w:r>
    </w:p>
    <w:p w14:paraId="780CAD08" w14:textId="77777777" w:rsidR="00682EA7" w:rsidRDefault="00D32EA9">
      <w:pPr>
        <w:keepNext/>
        <w:spacing w:line="360" w:lineRule="auto"/>
        <w:jc w:val="both"/>
      </w:pPr>
      <w:r>
        <w:t xml:space="preserve"> </w:t>
      </w:r>
      <w:r>
        <w:rPr>
          <w:noProof/>
        </w:rPr>
        <w:drawing>
          <wp:inline distT="0" distB="0" distL="0" distR="0" wp14:anchorId="475EA66E" wp14:editId="55654429">
            <wp:extent cx="5441948" cy="36264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41948" cy="3626430"/>
                    </a:xfrm>
                    <a:prstGeom prst="rect">
                      <a:avLst/>
                    </a:prstGeom>
                    <a:noFill/>
                    <a:ln w="9525">
                      <a:noFill/>
                      <a:miter lim="800000"/>
                      <a:headEnd/>
                      <a:tailEnd/>
                    </a:ln>
                  </pic:spPr>
                </pic:pic>
              </a:graphicData>
            </a:graphic>
          </wp:inline>
        </w:drawing>
      </w:r>
    </w:p>
    <w:p w14:paraId="1956F795" w14:textId="77777777" w:rsidR="00682EA7" w:rsidRDefault="00D32EA9">
      <w:pPr>
        <w:pStyle w:val="Caption"/>
        <w:jc w:val="both"/>
      </w:pPr>
      <w:bookmarkStart w:id="10" w:name="_Ref49150568"/>
      <w:r>
        <w:t xml:space="preserve">Figure </w:t>
      </w:r>
      <w:r>
        <w:fldChar w:fldCharType="begin"/>
      </w:r>
      <w:r>
        <w:instrText>SEQ Figure \* ARABIC</w:instrText>
      </w:r>
      <w:r>
        <w:fldChar w:fldCharType="separate"/>
      </w:r>
      <w:r>
        <w:t>4</w:t>
      </w:r>
      <w:r>
        <w:fldChar w:fldCharType="end"/>
      </w:r>
      <w:bookmarkEnd w:id="10"/>
      <w:r>
        <w:t>: Numbers of taxa on each taxonomical level for all typical assemblages</w:t>
      </w:r>
    </w:p>
    <w:p w14:paraId="3864C35B" w14:textId="3C807538" w:rsidR="00682EA7" w:rsidRDefault="00D32EA9">
      <w:pPr>
        <w:spacing w:line="360" w:lineRule="auto"/>
        <w:jc w:val="both"/>
      </w:pPr>
      <w:r>
        <w:t xml:space="preserve">We can express the uniqueness of a TA with the following score: Each taxon receives a taxon uniqueness score that is one divided by the number of TAs it occurs in. For each river type, we sum the taxon scores of all taxa up and divide it by the number of taxa in the river type’s TA. If all taxa in the TA are unique to that TA the score is one. If all species occur in one other TA the score is 0.5. The minimal score depends on the number of TAs, as it is 1 divided by that number and it signals that all species in that TA occur in all other TAs.  These scores are shown in </w:t>
      </w:r>
      <w:r>
        <w:fldChar w:fldCharType="begin"/>
      </w:r>
      <w:r>
        <w:instrText>REF _Ref49150641 \h</w:instrText>
      </w:r>
      <w:r>
        <w:fldChar w:fldCharType="separate"/>
      </w:r>
      <w:r>
        <w:t>Figure 5</w:t>
      </w:r>
      <w:r>
        <w:fldChar w:fldCharType="end"/>
      </w:r>
      <w:r>
        <w:t xml:space="preserve">. The dashed horizontal lines indicate the minimum score for each representation level. </w:t>
      </w:r>
    </w:p>
    <w:p w14:paraId="0CA744B1" w14:textId="77777777" w:rsidR="00682EA7" w:rsidRDefault="00682EA7">
      <w:pPr>
        <w:spacing w:line="360" w:lineRule="auto"/>
        <w:jc w:val="both"/>
      </w:pPr>
    </w:p>
    <w:p w14:paraId="0802EA7C" w14:textId="77777777" w:rsidR="00682EA7" w:rsidRDefault="00D32EA9">
      <w:pPr>
        <w:keepNext/>
        <w:spacing w:line="360" w:lineRule="auto"/>
        <w:jc w:val="both"/>
      </w:pPr>
      <w:r>
        <w:rPr>
          <w:noProof/>
        </w:rPr>
        <w:lastRenderedPageBreak/>
        <w:drawing>
          <wp:inline distT="0" distB="0" distL="0" distR="0" wp14:anchorId="129AA94C" wp14:editId="496DA86A">
            <wp:extent cx="5581155" cy="37191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581155" cy="3719195"/>
                    </a:xfrm>
                    <a:prstGeom prst="rect">
                      <a:avLst/>
                    </a:prstGeom>
                    <a:noFill/>
                    <a:ln w="9525">
                      <a:noFill/>
                      <a:miter lim="800000"/>
                      <a:headEnd/>
                      <a:tailEnd/>
                    </a:ln>
                  </pic:spPr>
                </pic:pic>
              </a:graphicData>
            </a:graphic>
          </wp:inline>
        </w:drawing>
      </w:r>
    </w:p>
    <w:p w14:paraId="72EA42A7" w14:textId="77777777" w:rsidR="00682EA7" w:rsidRDefault="00D32EA9">
      <w:pPr>
        <w:pStyle w:val="Caption"/>
        <w:jc w:val="both"/>
      </w:pPr>
      <w:bookmarkStart w:id="11" w:name="_Ref49150641"/>
      <w:r>
        <w:t xml:space="preserve">Figure </w:t>
      </w:r>
      <w:r>
        <w:fldChar w:fldCharType="begin"/>
      </w:r>
      <w:r>
        <w:instrText>SEQ Figure \* ARABIC</w:instrText>
      </w:r>
      <w:r>
        <w:fldChar w:fldCharType="separate"/>
      </w:r>
      <w:r>
        <w:t>5</w:t>
      </w:r>
      <w:r>
        <w:fldChar w:fldCharType="end"/>
      </w:r>
      <w:bookmarkEnd w:id="11"/>
      <w:r>
        <w:t>: Uniqueness scores of all typical assemblages.</w:t>
      </w:r>
    </w:p>
    <w:p w14:paraId="200BF5EF" w14:textId="77777777" w:rsidR="00682EA7" w:rsidRDefault="00D32EA9">
      <w:pPr>
        <w:spacing w:line="360" w:lineRule="auto"/>
        <w:jc w:val="both"/>
      </w:pPr>
      <w:r>
        <w:t>A Nonmetric multidimensional scaling (NMDS) of the data shows several plausible patterns (</w:t>
      </w:r>
      <w:r>
        <w:fldChar w:fldCharType="begin"/>
      </w:r>
      <w:r>
        <w:instrText>REF _Ref48911984 \h</w:instrText>
      </w:r>
      <w:r>
        <w:fldChar w:fldCharType="separate"/>
      </w:r>
      <w:r>
        <w:t>Figure 6</w:t>
      </w:r>
      <w:r>
        <w:fldChar w:fldCharType="end"/>
      </w:r>
      <w:r>
        <w:t xml:space="preserve">). It is based on a custom distance metric which is based on the degree of overlap between assemblages.  Most similar are RT10_11 and RT18, which have many close sites in southern France. The three assemblages RT2_3 (lowland siliceous), 8_9 (mid-altitude siliceous), and 15_16 (high altitude) are approximately as similar to each other, as they are to RT10_11 and RT18. Four assemblages are more distinct from this central cluster. RT1 (very large streams) has the least overlap with the other assemblages. RT4_5 are lowland calcareous or mixed rivers takes a middle position between lowland siliceous (2+3) and mid-altitude calcareous or mixed (10_11) and is very distinct from high altitude rivers and mid-altitude organic and siliceous (RT12) rivers. In general, one can see a gradient from higher to lower altitudes from the upper right to the lower left/middle of the plot. It is surprising to see how similar RT12 and RT15_16 seem to be, given the large geographic distance between sampling sites (see </w:t>
      </w:r>
      <w:hyperlink r:id="rId14">
        <w:r>
          <w:rPr>
            <w:rStyle w:val="Internetlink"/>
          </w:rPr>
          <w:t>maps in GetReal Drive</w:t>
        </w:r>
      </w:hyperlink>
      <w:r>
        <w:t>).</w:t>
      </w:r>
    </w:p>
    <w:p w14:paraId="05E68FA5" w14:textId="77777777" w:rsidR="00682EA7" w:rsidRDefault="00682EA7">
      <w:pPr>
        <w:spacing w:line="360" w:lineRule="auto"/>
        <w:jc w:val="both"/>
      </w:pPr>
    </w:p>
    <w:p w14:paraId="79215ACB" w14:textId="77777777" w:rsidR="00682EA7" w:rsidRDefault="00D32EA9">
      <w:pPr>
        <w:keepNext/>
        <w:spacing w:line="360" w:lineRule="auto"/>
        <w:jc w:val="both"/>
      </w:pPr>
      <w:r>
        <w:rPr>
          <w:noProof/>
        </w:rPr>
        <w:lastRenderedPageBreak/>
        <w:drawing>
          <wp:inline distT="0" distB="0" distL="0" distR="0" wp14:anchorId="6606D9D4" wp14:editId="7B0635A2">
            <wp:extent cx="5462256" cy="436980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62256" cy="4369805"/>
                    </a:xfrm>
                    <a:prstGeom prst="rect">
                      <a:avLst/>
                    </a:prstGeom>
                    <a:noFill/>
                    <a:ln w="9525">
                      <a:noFill/>
                      <a:miter lim="800000"/>
                      <a:headEnd/>
                      <a:tailEnd/>
                    </a:ln>
                  </pic:spPr>
                </pic:pic>
              </a:graphicData>
            </a:graphic>
          </wp:inline>
        </w:drawing>
      </w:r>
    </w:p>
    <w:p w14:paraId="0FA5243F" w14:textId="77777777" w:rsidR="00682EA7" w:rsidRDefault="00D32EA9">
      <w:pPr>
        <w:pStyle w:val="Caption"/>
        <w:jc w:val="both"/>
      </w:pPr>
      <w:bookmarkStart w:id="12" w:name="_Ref48911984"/>
      <w:r>
        <w:t xml:space="preserve">Figure </w:t>
      </w:r>
      <w:r>
        <w:fldChar w:fldCharType="begin"/>
      </w:r>
      <w:r>
        <w:instrText>SEQ Figure \* ARABIC</w:instrText>
      </w:r>
      <w:r>
        <w:fldChar w:fldCharType="separate"/>
      </w:r>
      <w:r>
        <w:t>6</w:t>
      </w:r>
      <w:r>
        <w:fldChar w:fldCharType="end"/>
      </w:r>
      <w:bookmarkEnd w:id="12"/>
      <w:r>
        <w:t>: Non-metric multidimensional scaling of Jaccard distances between typical assemblages</w:t>
      </w:r>
    </w:p>
    <w:p w14:paraId="4D6C3A29" w14:textId="77777777" w:rsidR="00682EA7" w:rsidRDefault="00682EA7"/>
    <w:p w14:paraId="4C00165A" w14:textId="77777777" w:rsidR="00682EA7" w:rsidRDefault="00D32EA9">
      <w:pPr>
        <w:pStyle w:val="berschrift2"/>
      </w:pPr>
      <w:r>
        <w:t>Typical assemblages</w:t>
      </w:r>
    </w:p>
    <w:p w14:paraId="3A666445" w14:textId="77777777" w:rsidR="00682EA7" w:rsidRDefault="00D32EA9">
      <w:r>
        <w:t xml:space="preserve">Below we list the different taxa that belong to the typical assemblages. </w:t>
      </w:r>
    </w:p>
    <w:p w14:paraId="05218249" w14:textId="77777777" w:rsidR="00682EA7" w:rsidRDefault="00D32EA9">
      <w:pPr>
        <w:pStyle w:val="berschrift3"/>
      </w:pPr>
      <w:r>
        <w:lastRenderedPageBreak/>
        <w:t>RT01 - Very Large rivers</w:t>
      </w:r>
    </w:p>
    <w:p w14:paraId="4ACC1E9B" w14:textId="77777777" w:rsidR="00804BF0" w:rsidRDefault="00804BF0">
      <w:pPr>
        <w:pStyle w:val="berschrift3"/>
        <w:rPr>
          <w:rFonts w:asciiTheme="minorHAnsi" w:eastAsiaTheme="minorHAnsi" w:hAnsiTheme="minorHAnsi" w:cstheme="minorBidi"/>
          <w:i/>
          <w:iCs/>
          <w:color w:val="auto"/>
          <w:sz w:val="22"/>
          <w:szCs w:val="22"/>
        </w:rPr>
      </w:pPr>
      <w:r w:rsidRPr="00804BF0">
        <w:rPr>
          <w:rFonts w:asciiTheme="minorHAnsi" w:eastAsiaTheme="minorHAnsi" w:hAnsiTheme="minorHAnsi" w:cstheme="minorBidi"/>
          <w:i/>
          <w:iCs/>
          <w:color w:val="auto"/>
          <w:sz w:val="22"/>
          <w:szCs w:val="22"/>
        </w:rPr>
        <w:t>Borysthenia naticina, Esperiana esperi, Hippolyte desmaresti, Microcolpia daudebartii, Obesogammarus obesus, Ancylus, Caenis, Chelicorophium, Corbicula, Dikerogammarus, Echinogammarus, Jaera, Potamopyrgus</w:t>
      </w:r>
    </w:p>
    <w:p w14:paraId="23A8B1C9" w14:textId="77777777" w:rsidR="00804BF0" w:rsidRDefault="00804BF0">
      <w:pPr>
        <w:pStyle w:val="berschrift3"/>
        <w:rPr>
          <w:rFonts w:asciiTheme="minorHAnsi" w:eastAsiaTheme="minorHAnsi" w:hAnsiTheme="minorHAnsi" w:cstheme="minorBidi"/>
          <w:i/>
          <w:iCs/>
          <w:color w:val="auto"/>
          <w:sz w:val="22"/>
          <w:szCs w:val="22"/>
        </w:rPr>
      </w:pPr>
    </w:p>
    <w:p w14:paraId="39BCB4DC" w14:textId="19B92C89" w:rsidR="00682EA7" w:rsidRDefault="00D32EA9">
      <w:pPr>
        <w:pStyle w:val="berschrift3"/>
      </w:pPr>
      <w:r>
        <w:t>RT02_03 - Lowland siliceous, very small -</w:t>
      </w:r>
      <w:r w:rsidR="00804BF0">
        <w:t xml:space="preserve"> </w:t>
      </w:r>
      <w:r>
        <w:t>large</w:t>
      </w:r>
    </w:p>
    <w:p w14:paraId="7775DB97" w14:textId="77777777" w:rsidR="00F854DF" w:rsidRDefault="00F854DF">
      <w:pPr>
        <w:pStyle w:val="berschrift3"/>
        <w:rPr>
          <w:rFonts w:asciiTheme="minorHAnsi" w:eastAsiaTheme="minorHAnsi" w:hAnsiTheme="minorHAnsi" w:cstheme="minorBidi"/>
          <w:i/>
          <w:iCs/>
          <w:color w:val="auto"/>
          <w:sz w:val="22"/>
          <w:szCs w:val="22"/>
        </w:rPr>
      </w:pPr>
      <w:r w:rsidRPr="00F854DF">
        <w:rPr>
          <w:rFonts w:asciiTheme="minorHAnsi" w:eastAsiaTheme="minorHAnsi" w:hAnsiTheme="minorHAnsi" w:cstheme="minorBidi"/>
          <w:i/>
          <w:iCs/>
          <w:color w:val="auto"/>
          <w:sz w:val="22"/>
          <w:szCs w:val="22"/>
        </w:rPr>
        <w:t>Peregriana peregra, Serratella ignita, Ancylus, Baetis, Caenis, Dicranota, Ecdyonurus, Elmis, Gammarus, Hydropsyche, Lepidostoma, Limnius, Oulimnius, Pisidium, Polycentropus, Potamopyrgus, Rhithrogena, Rhyacophila, Ameletidae</w:t>
      </w:r>
    </w:p>
    <w:p w14:paraId="73412B3A" w14:textId="77777777" w:rsidR="00F854DF" w:rsidRDefault="00F854DF">
      <w:pPr>
        <w:pStyle w:val="berschrift3"/>
        <w:rPr>
          <w:rFonts w:asciiTheme="minorHAnsi" w:eastAsiaTheme="minorHAnsi" w:hAnsiTheme="minorHAnsi" w:cstheme="minorBidi"/>
          <w:i/>
          <w:iCs/>
          <w:color w:val="auto"/>
          <w:sz w:val="22"/>
          <w:szCs w:val="22"/>
        </w:rPr>
      </w:pPr>
    </w:p>
    <w:p w14:paraId="363375EE" w14:textId="262441E3" w:rsidR="00682EA7" w:rsidRDefault="00D32EA9">
      <w:pPr>
        <w:pStyle w:val="berschrift3"/>
      </w:pPr>
      <w:r>
        <w:t>RT04_05 - Lowland calcareous, very small -</w:t>
      </w:r>
      <w:r w:rsidR="00F854DF">
        <w:t xml:space="preserve"> </w:t>
      </w:r>
      <w:r>
        <w:t>large</w:t>
      </w:r>
    </w:p>
    <w:p w14:paraId="2737C733" w14:textId="77777777" w:rsidR="00A22560" w:rsidRDefault="00F854DF">
      <w:pPr>
        <w:pStyle w:val="berschrift3"/>
        <w:rPr>
          <w:rFonts w:asciiTheme="minorHAnsi" w:eastAsiaTheme="minorHAnsi" w:hAnsiTheme="minorHAnsi" w:cstheme="minorBidi"/>
          <w:i/>
          <w:iCs/>
          <w:color w:val="auto"/>
          <w:sz w:val="22"/>
          <w:szCs w:val="22"/>
        </w:rPr>
      </w:pPr>
      <w:r w:rsidRPr="00F854DF">
        <w:rPr>
          <w:rFonts w:asciiTheme="minorHAnsi" w:eastAsiaTheme="minorHAnsi" w:hAnsiTheme="minorHAnsi" w:cstheme="minorBidi"/>
          <w:i/>
          <w:iCs/>
          <w:color w:val="auto"/>
          <w:sz w:val="22"/>
          <w:szCs w:val="22"/>
        </w:rPr>
        <w:t>Metreletus balcanicus, Odhneripisidium moitessierianum, Peregriana peregra, Serratella ignita, Ancylus, Asellus, Baetis, Caenis, Calamoceras, Cataclysta, Elmis, Elophila, Erpobdella, Gammarus, Glossiphonia, Harnischia, Hydropsyche, Ilyocoris, Micropsectra, Oulimnius, Pisidium, Potamopyrgus, Ranatra, Sphaerium, Unionidae, Viviparidae</w:t>
      </w:r>
    </w:p>
    <w:p w14:paraId="6B2298E9" w14:textId="77777777" w:rsidR="00A22560" w:rsidRDefault="00A22560">
      <w:pPr>
        <w:pStyle w:val="berschrift3"/>
        <w:rPr>
          <w:rFonts w:asciiTheme="minorHAnsi" w:eastAsiaTheme="minorHAnsi" w:hAnsiTheme="minorHAnsi" w:cstheme="minorBidi"/>
          <w:i/>
          <w:iCs/>
          <w:color w:val="auto"/>
          <w:sz w:val="22"/>
          <w:szCs w:val="22"/>
        </w:rPr>
      </w:pPr>
    </w:p>
    <w:p w14:paraId="075FDDE8" w14:textId="21E1B67D" w:rsidR="00682EA7" w:rsidRDefault="00D32EA9">
      <w:pPr>
        <w:pStyle w:val="berschrift3"/>
      </w:pPr>
      <w:r>
        <w:t>RT08_09 - Mid-altitude siliceous, very small-large</w:t>
      </w:r>
    </w:p>
    <w:p w14:paraId="257B25AC" w14:textId="7F0E04A4" w:rsidR="00A22560" w:rsidRDefault="00A22560" w:rsidP="00A22560">
      <w:r w:rsidRPr="00A22560">
        <w:t>Isogenus nubecula, Serratella ignita, Amphinemura, Ancylus, Baetis, Dicranota, Ecdyonurus, Elmis, Ephemera, Gammarus, Hydraena, Hydropsyche, Isoperla, Leuctra, Limnius, Odontocerum, Polycentropus, Protonemura, Rhithrogena, Rhyacophila</w:t>
      </w:r>
    </w:p>
    <w:p w14:paraId="79043537" w14:textId="180F8DE6" w:rsidR="00682EA7" w:rsidRDefault="00D32EA9">
      <w:pPr>
        <w:pStyle w:val="berschrift3"/>
      </w:pPr>
      <w:r>
        <w:t>RT10_11 - Mid-altitude, calcareous or mixed, very small -</w:t>
      </w:r>
      <w:r w:rsidR="00A22560">
        <w:t xml:space="preserve"> </w:t>
      </w:r>
      <w:r>
        <w:t>large</w:t>
      </w:r>
    </w:p>
    <w:p w14:paraId="213F64ED" w14:textId="57877B26" w:rsidR="00A22560" w:rsidRPr="00A22560" w:rsidRDefault="00A22560" w:rsidP="00A22560">
      <w:r w:rsidRPr="00A22560">
        <w:t>Serratella ignita, Ancylus, Baetis, Ecdyonurus, Elmis, Ephemera, Esolus, Gammarus, Hydraena, Hydropsyche, Hydroptila, Leuctra, Limnius, Odontocerum, Pisidium, Rhithrogena, Rhyacophila, Riolus, Chironomidae, Micronectidae, Simuliidae</w:t>
      </w:r>
    </w:p>
    <w:p w14:paraId="446534B3" w14:textId="77777777" w:rsidR="00682EA7" w:rsidRDefault="00D32EA9">
      <w:pPr>
        <w:pStyle w:val="berschrift3"/>
      </w:pPr>
      <w:r>
        <w:t xml:space="preserve">RT12 – Mid-altitude, organic and siliceous </w:t>
      </w:r>
    </w:p>
    <w:p w14:paraId="1294CADA" w14:textId="73F0679A" w:rsidR="00682EA7" w:rsidRDefault="00A22560" w:rsidP="00A22560">
      <w:r w:rsidRPr="00A22560">
        <w:t>Ameletus inopinatus, Diura nanseni, Kageronia fuscogrisea, Nigrobaetis niger, Amphinemura, Baetis, Dicranota, Elmis, Ephemerella, Heptagenia, Isoperla, Lepidostoma, Leptophlebia, Leuctra, Polycentropus, Rhyacophila</w:t>
      </w:r>
    </w:p>
    <w:p w14:paraId="7136B714" w14:textId="77777777" w:rsidR="00682EA7" w:rsidRDefault="00D32EA9">
      <w:pPr>
        <w:pStyle w:val="berschrift3"/>
      </w:pPr>
      <w:r>
        <w:t>RT14 – Highland, siliceous, incl. organic (humic)</w:t>
      </w:r>
    </w:p>
    <w:p w14:paraId="1F2FDE11" w14:textId="55F2444B" w:rsidR="00682EA7" w:rsidRDefault="00A22560">
      <w:r w:rsidRPr="00A22560">
        <w:t>Baetis, Ephemerella, Heptagenia, Hydraenida, Hydropsyche, Leuctra, Rhyacophila, Chironomidae, Empididae, Limnephilidae, Limoniidae, Oligochaeta, Simuliidae</w:t>
      </w:r>
    </w:p>
    <w:p w14:paraId="0A6704C0" w14:textId="77777777" w:rsidR="00682EA7" w:rsidRDefault="00D32EA9">
      <w:pPr>
        <w:pStyle w:val="berschrift3"/>
      </w:pPr>
      <w:r>
        <w:t xml:space="preserve">RT15_16 – Highland, calcareous/mixed and glacial rivers </w:t>
      </w:r>
    </w:p>
    <w:p w14:paraId="56E9D09E" w14:textId="7A0C9472" w:rsidR="00682EA7" w:rsidRDefault="00A22560">
      <w:pPr>
        <w:pStyle w:val="berschrift3"/>
        <w:rPr>
          <w:rFonts w:asciiTheme="minorHAnsi" w:eastAsiaTheme="minorHAnsi" w:hAnsiTheme="minorHAnsi" w:cstheme="minorBidi"/>
          <w:i/>
          <w:iCs/>
          <w:color w:val="00000A"/>
          <w:sz w:val="22"/>
          <w:szCs w:val="22"/>
        </w:rPr>
      </w:pPr>
      <w:r w:rsidRPr="00A22560">
        <w:rPr>
          <w:rFonts w:asciiTheme="minorHAnsi" w:eastAsiaTheme="minorHAnsi" w:hAnsiTheme="minorHAnsi" w:cstheme="minorBidi"/>
          <w:i/>
          <w:iCs/>
          <w:color w:val="00000A"/>
          <w:sz w:val="22"/>
          <w:szCs w:val="22"/>
        </w:rPr>
        <w:t>Baetis, Ecdyonurus, Elmis, Epeorus, Hydraena, Hydropsyche, Isoperla, Leuctra, Nemoura, Protonemura, Rhithrogena, Rhyacophila, Chironomidae, Limnephilidae, Limoniidae, Oligochaeta, Simuliidae</w:t>
      </w:r>
    </w:p>
    <w:p w14:paraId="62F53402" w14:textId="77777777" w:rsidR="00682EA7" w:rsidRDefault="00D32EA9">
      <w:pPr>
        <w:pStyle w:val="berschrift3"/>
      </w:pPr>
      <w:r>
        <w:rPr>
          <w:rFonts w:asciiTheme="minorHAnsi" w:eastAsiaTheme="minorHAnsi" w:hAnsiTheme="minorHAnsi" w:cstheme="minorBidi"/>
          <w:i/>
          <w:iCs/>
          <w:color w:val="00000A"/>
          <w:sz w:val="22"/>
          <w:szCs w:val="22"/>
        </w:rPr>
        <w:t xml:space="preserve"> </w:t>
      </w:r>
      <w:r>
        <w:t>RT18 - Mediterranean mid-altitude, medium-large, perennial</w:t>
      </w:r>
    </w:p>
    <w:p w14:paraId="01B54AD3" w14:textId="6925B5FD" w:rsidR="00E8374B" w:rsidRDefault="00A22560">
      <w:pPr>
        <w:rPr>
          <w:i/>
          <w:iCs/>
        </w:rPr>
      </w:pPr>
      <w:r w:rsidRPr="00A22560">
        <w:rPr>
          <w:i/>
          <w:iCs/>
        </w:rPr>
        <w:t>Baetis, Caenis, Calopteryx, Ecdyonurus, Elmis, Ephemerella, Esolus, Gammarus, Hydropsyche, Hydroptila, Hydroscapha, Leuctra, Limnius, Onychogomphus, Oulimnius, Polycentropus, Potamopyrgus, Procambarus, Psychomyia, Rhyacophila, Riolus, Sympecma, Chironomidae, Empididae, Lestidae, Oligochaeta, Simuliidae</w:t>
      </w:r>
    </w:p>
    <w:p w14:paraId="7A51F9CC" w14:textId="37AD4E1A" w:rsidR="00E8374B" w:rsidRDefault="00E8374B" w:rsidP="00E8374B">
      <w:pPr>
        <w:pStyle w:val="Heading1"/>
      </w:pPr>
      <w:r>
        <w:t>References</w:t>
      </w:r>
    </w:p>
    <w:sdt>
      <w:sdtPr>
        <w:tag w:val="MENDELEY_BIBLIOGRAPHY"/>
        <w:id w:val="-72510601"/>
        <w:placeholder>
          <w:docPart w:val="DefaultPlaceholder_-1854013440"/>
        </w:placeholder>
      </w:sdtPr>
      <w:sdtEndPr/>
      <w:sdtContent>
        <w:p w14:paraId="7E32E4E8" w14:textId="77777777" w:rsidR="00E8374B" w:rsidRDefault="00E8374B">
          <w:pPr>
            <w:autoSpaceDE w:val="0"/>
            <w:autoSpaceDN w:val="0"/>
            <w:ind w:hanging="480"/>
            <w:divId w:val="449935098"/>
            <w:rPr>
              <w:rFonts w:eastAsia="Times New Roman"/>
              <w:sz w:val="24"/>
              <w:szCs w:val="24"/>
            </w:rPr>
          </w:pPr>
          <w:r>
            <w:rPr>
              <w:rFonts w:eastAsia="Times New Roman"/>
            </w:rPr>
            <w:t xml:space="preserve">Cáceres, M. de, &amp; Legendre, P. (2009). Associations between species and groups of sites: inindices and statistical inference. </w:t>
          </w:r>
          <w:r>
            <w:rPr>
              <w:rFonts w:eastAsia="Times New Roman"/>
              <w:i/>
              <w:iCs/>
            </w:rPr>
            <w:t>Ecology</w:t>
          </w:r>
          <w:r>
            <w:rPr>
              <w:rFonts w:eastAsia="Times New Roman"/>
            </w:rPr>
            <w:t xml:space="preserve">, </w:t>
          </w:r>
          <w:r>
            <w:rPr>
              <w:rFonts w:eastAsia="Times New Roman"/>
              <w:i/>
              <w:iCs/>
            </w:rPr>
            <w:t>90</w:t>
          </w:r>
          <w:r>
            <w:rPr>
              <w:rFonts w:eastAsia="Times New Roman"/>
            </w:rPr>
            <w:t>(12), 3566–3574. https://doi.org/10.1890/08-1823.1</w:t>
          </w:r>
        </w:p>
        <w:p w14:paraId="01849B8F" w14:textId="77777777" w:rsidR="00E8374B" w:rsidRDefault="00E8374B">
          <w:pPr>
            <w:autoSpaceDE w:val="0"/>
            <w:autoSpaceDN w:val="0"/>
            <w:ind w:hanging="480"/>
            <w:divId w:val="97140557"/>
            <w:rPr>
              <w:rFonts w:eastAsia="Times New Roman"/>
            </w:rPr>
          </w:pPr>
          <w:r>
            <w:rPr>
              <w:rFonts w:eastAsia="Times New Roman"/>
            </w:rPr>
            <w:lastRenderedPageBreak/>
            <w:t xml:space="preserve">Dufrêne, M., &amp; Legendre, P. (1997). SPECIES ASSEMBLAGES AND INDICATOR SPECIES: THE NEED FOR A FLEXIBLE ASYMMETRICAL APPROACH. </w:t>
          </w:r>
          <w:r>
            <w:rPr>
              <w:rFonts w:eastAsia="Times New Roman"/>
              <w:i/>
              <w:iCs/>
            </w:rPr>
            <w:t>Ecological Monographs</w:t>
          </w:r>
          <w:r>
            <w:rPr>
              <w:rFonts w:eastAsia="Times New Roman"/>
            </w:rPr>
            <w:t xml:space="preserve">, </w:t>
          </w:r>
          <w:r>
            <w:rPr>
              <w:rFonts w:eastAsia="Times New Roman"/>
              <w:i/>
              <w:iCs/>
            </w:rPr>
            <w:t>67</w:t>
          </w:r>
          <w:r>
            <w:rPr>
              <w:rFonts w:eastAsia="Times New Roman"/>
            </w:rPr>
            <w:t>(3), 345–366.</w:t>
          </w:r>
        </w:p>
        <w:p w14:paraId="72D22D5A" w14:textId="5750796A" w:rsidR="00E8374B" w:rsidRDefault="00E8374B">
          <w:r>
            <w:rPr>
              <w:rFonts w:eastAsia="Times New Roman"/>
            </w:rPr>
            <w:t> </w:t>
          </w:r>
        </w:p>
      </w:sdtContent>
    </w:sdt>
    <w:sectPr w:rsidR="00E8374B">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2521"/>
    <w:multiLevelType w:val="multilevel"/>
    <w:tmpl w:val="5298F680"/>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B0122DD"/>
    <w:multiLevelType w:val="multilevel"/>
    <w:tmpl w:val="6096D8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A7"/>
    <w:rsid w:val="001A6396"/>
    <w:rsid w:val="002D0BF9"/>
    <w:rsid w:val="004C4C78"/>
    <w:rsid w:val="00682EA7"/>
    <w:rsid w:val="00711056"/>
    <w:rsid w:val="00802F71"/>
    <w:rsid w:val="00804BF0"/>
    <w:rsid w:val="00A22560"/>
    <w:rsid w:val="00B76767"/>
    <w:rsid w:val="00B87089"/>
    <w:rsid w:val="00BC6712"/>
    <w:rsid w:val="00CD6666"/>
    <w:rsid w:val="00D32EA9"/>
    <w:rsid w:val="00E8374B"/>
    <w:rsid w:val="00F854DF"/>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0B95"/>
  <w15:docId w15:val="{6A5CD8B2-D3CC-4B6A-AF61-A8BF5C7B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1"/>
    <w:uiPriority w:val="9"/>
    <w:qFormat/>
    <w:rsid w:val="00E83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Normal"/>
    <w:link w:val="Heading1Char"/>
    <w:uiPriority w:val="9"/>
    <w:qFormat/>
    <w:rsid w:val="00492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berschrift2">
    <w:name w:val="Überschrift 2"/>
    <w:basedOn w:val="Normal"/>
    <w:next w:val="Normal"/>
    <w:link w:val="Heading2Char"/>
    <w:uiPriority w:val="9"/>
    <w:unhideWhenUsed/>
    <w:qFormat/>
    <w:rsid w:val="00492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berschrift3">
    <w:name w:val="Überschrift 3"/>
    <w:basedOn w:val="Normal"/>
    <w:next w:val="Normal"/>
    <w:link w:val="Heading3Char"/>
    <w:uiPriority w:val="9"/>
    <w:unhideWhenUsed/>
    <w:qFormat/>
    <w:rsid w:val="00492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berschrift2"/>
    <w:uiPriority w:val="9"/>
    <w:qFormat/>
    <w:rsid w:val="004922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berschrift1"/>
    <w:uiPriority w:val="9"/>
    <w:qFormat/>
    <w:rsid w:val="00492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berschrift3"/>
    <w:uiPriority w:val="9"/>
    <w:qFormat/>
    <w:rsid w:val="0049221D"/>
    <w:rPr>
      <w:rFonts w:asciiTheme="majorHAnsi" w:eastAsiaTheme="majorEastAsia" w:hAnsiTheme="majorHAnsi" w:cstheme="majorBidi"/>
      <w:color w:val="1F3763" w:themeColor="accent1" w:themeShade="7F"/>
      <w:sz w:val="24"/>
      <w:szCs w:val="24"/>
    </w:rPr>
  </w:style>
  <w:style w:type="character" w:customStyle="1" w:styleId="Internetlink">
    <w:name w:val="Internetlink"/>
    <w:basedOn w:val="DefaultParagraphFont"/>
    <w:uiPriority w:val="99"/>
    <w:unhideWhenUsed/>
    <w:rsid w:val="004613AF"/>
    <w:rPr>
      <w:color w:val="0563C1" w:themeColor="hyperlink"/>
      <w:u w:val="single"/>
    </w:rPr>
  </w:style>
  <w:style w:type="character" w:styleId="UnresolvedMention">
    <w:name w:val="Unresolved Mention"/>
    <w:basedOn w:val="DefaultParagraphFont"/>
    <w:uiPriority w:val="99"/>
    <w:semiHidden/>
    <w:unhideWhenUsed/>
    <w:qFormat/>
    <w:rsid w:val="004613AF"/>
    <w:rPr>
      <w:color w:val="605E5C"/>
      <w:shd w:val="clear" w:color="auto" w:fill="E1DFDD"/>
    </w:rPr>
  </w:style>
  <w:style w:type="character" w:styleId="FollowedHyperlink">
    <w:name w:val="FollowedHyperlink"/>
    <w:basedOn w:val="DefaultParagraphFont"/>
    <w:uiPriority w:val="99"/>
    <w:semiHidden/>
    <w:unhideWhenUsed/>
    <w:qFormat/>
    <w:rsid w:val="004613AF"/>
    <w:rPr>
      <w:color w:val="954F72" w:themeColor="followedHyperlink"/>
      <w:u w:val="single"/>
    </w:rPr>
  </w:style>
  <w:style w:type="paragraph" w:customStyle="1" w:styleId="berschrift">
    <w:name w:val="Überschrift"/>
    <w:basedOn w:val="Normal"/>
    <w:next w:val="Textkrper"/>
    <w:qFormat/>
    <w:pPr>
      <w:keepNext/>
      <w:spacing w:before="240" w:after="120"/>
    </w:pPr>
    <w:rPr>
      <w:rFonts w:ascii="Arial" w:eastAsia="Arial" w:hAnsi="Arial" w:cs="Arial"/>
      <w:sz w:val="28"/>
      <w:szCs w:val="28"/>
    </w:rPr>
  </w:style>
  <w:style w:type="paragraph" w:customStyle="1" w:styleId="Textkrper">
    <w:name w:val="Textkörper"/>
    <w:basedOn w:val="Normal"/>
    <w:pPr>
      <w:spacing w:after="140" w:line="288" w:lineRule="auto"/>
    </w:pPr>
  </w:style>
  <w:style w:type="paragraph" w:customStyle="1" w:styleId="Liste">
    <w:name w:val="Liste"/>
    <w:basedOn w:val="Textkrper"/>
  </w:style>
  <w:style w:type="paragraph" w:customStyle="1" w:styleId="Beschriftung">
    <w:name w:val="Beschriftung"/>
    <w:basedOn w:val="Normal"/>
    <w:pPr>
      <w:suppressLineNumbers/>
      <w:spacing w:before="120" w:after="120"/>
    </w:pPr>
    <w:rPr>
      <w:i/>
      <w:iCs/>
      <w:sz w:val="24"/>
      <w:szCs w:val="24"/>
    </w:rPr>
  </w:style>
  <w:style w:type="paragraph" w:customStyle="1" w:styleId="Verzeichnis">
    <w:name w:val="Verzeichnis"/>
    <w:basedOn w:val="Normal"/>
    <w:qFormat/>
    <w:pPr>
      <w:suppressLineNumbers/>
    </w:pPr>
  </w:style>
  <w:style w:type="paragraph" w:styleId="Caption">
    <w:name w:val="caption"/>
    <w:basedOn w:val="Normal"/>
    <w:next w:val="Normal"/>
    <w:uiPriority w:val="35"/>
    <w:unhideWhenUsed/>
    <w:qFormat/>
    <w:rsid w:val="0014191B"/>
    <w:pPr>
      <w:spacing w:after="200" w:line="240" w:lineRule="auto"/>
    </w:pPr>
    <w:rPr>
      <w:i/>
      <w:iCs/>
      <w:color w:val="44546A" w:themeColor="text2"/>
      <w:sz w:val="18"/>
      <w:szCs w:val="18"/>
    </w:rPr>
  </w:style>
  <w:style w:type="paragraph" w:styleId="ListParagraph">
    <w:name w:val="List Paragraph"/>
    <w:basedOn w:val="Normal"/>
    <w:uiPriority w:val="34"/>
    <w:qFormat/>
    <w:rsid w:val="008255AB"/>
    <w:pPr>
      <w:ind w:left="720"/>
      <w:contextualSpacing/>
    </w:pPr>
  </w:style>
  <w:style w:type="paragraph" w:styleId="NormalWeb">
    <w:name w:val="Normal (Web)"/>
    <w:basedOn w:val="Normal"/>
    <w:uiPriority w:val="99"/>
    <w:semiHidden/>
    <w:unhideWhenUsed/>
    <w:qFormat/>
    <w:rsid w:val="008C5E8F"/>
    <w:pPr>
      <w:spacing w:beforeAutospacing="1" w:afterAutospacing="1" w:line="240" w:lineRule="auto"/>
    </w:pPr>
    <w:rPr>
      <w:rFonts w:ascii="Times New Roman" w:eastAsia="Times New Roman" w:hAnsi="Times New Roman" w:cs="Times New Roman"/>
      <w:sz w:val="24"/>
      <w:szCs w:val="24"/>
    </w:rPr>
  </w:style>
  <w:style w:type="paragraph" w:customStyle="1" w:styleId="Quotations">
    <w:name w:val="Quotations"/>
    <w:basedOn w:val="Normal"/>
    <w:qFormat/>
  </w:style>
  <w:style w:type="paragraph" w:customStyle="1" w:styleId="Titel">
    <w:name w:val="Titel"/>
    <w:basedOn w:val="berschrift"/>
  </w:style>
  <w:style w:type="paragraph" w:customStyle="1" w:styleId="Untertitel">
    <w:name w:val="Untertitel"/>
    <w:basedOn w:val="berschrift"/>
  </w:style>
  <w:style w:type="table" w:styleId="TableGrid">
    <w:name w:val="Table Grid"/>
    <w:basedOn w:val="TableNormal"/>
    <w:uiPriority w:val="39"/>
    <w:rsid w:val="000338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6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767"/>
    <w:rPr>
      <w:rFonts w:ascii="Segoe UI" w:hAnsi="Segoe UI" w:cs="Segoe UI"/>
      <w:sz w:val="18"/>
      <w:szCs w:val="18"/>
    </w:rPr>
  </w:style>
  <w:style w:type="character" w:styleId="PlaceholderText">
    <w:name w:val="Placeholder Text"/>
    <w:basedOn w:val="DefaultParagraphFont"/>
    <w:uiPriority w:val="99"/>
    <w:semiHidden/>
    <w:rsid w:val="00E8374B"/>
    <w:rPr>
      <w:color w:val="808080"/>
    </w:rPr>
  </w:style>
  <w:style w:type="character" w:customStyle="1" w:styleId="Heading1Char1">
    <w:name w:val="Heading 1 Char1"/>
    <w:basedOn w:val="DefaultParagraphFont"/>
    <w:link w:val="Heading1"/>
    <w:uiPriority w:val="9"/>
    <w:rsid w:val="00E837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68676">
      <w:bodyDiv w:val="1"/>
      <w:marLeft w:val="0"/>
      <w:marRight w:val="0"/>
      <w:marTop w:val="0"/>
      <w:marBottom w:val="0"/>
      <w:divBdr>
        <w:top w:val="none" w:sz="0" w:space="0" w:color="auto"/>
        <w:left w:val="none" w:sz="0" w:space="0" w:color="auto"/>
        <w:bottom w:val="none" w:sz="0" w:space="0" w:color="auto"/>
        <w:right w:val="none" w:sz="0" w:space="0" w:color="auto"/>
      </w:divBdr>
    </w:div>
    <w:div w:id="330377014">
      <w:bodyDiv w:val="1"/>
      <w:marLeft w:val="0"/>
      <w:marRight w:val="0"/>
      <w:marTop w:val="0"/>
      <w:marBottom w:val="0"/>
      <w:divBdr>
        <w:top w:val="none" w:sz="0" w:space="0" w:color="auto"/>
        <w:left w:val="none" w:sz="0" w:space="0" w:color="auto"/>
        <w:bottom w:val="none" w:sz="0" w:space="0" w:color="auto"/>
        <w:right w:val="none" w:sz="0" w:space="0" w:color="auto"/>
      </w:divBdr>
      <w:divsChild>
        <w:div w:id="449935098">
          <w:marLeft w:val="480"/>
          <w:marRight w:val="0"/>
          <w:marTop w:val="0"/>
          <w:marBottom w:val="0"/>
          <w:divBdr>
            <w:top w:val="none" w:sz="0" w:space="0" w:color="auto"/>
            <w:left w:val="none" w:sz="0" w:space="0" w:color="auto"/>
            <w:bottom w:val="none" w:sz="0" w:space="0" w:color="auto"/>
            <w:right w:val="none" w:sz="0" w:space="0" w:color="auto"/>
          </w:divBdr>
        </w:div>
        <w:div w:id="97140557">
          <w:marLeft w:val="480"/>
          <w:marRight w:val="0"/>
          <w:marTop w:val="0"/>
          <w:marBottom w:val="0"/>
          <w:divBdr>
            <w:top w:val="none" w:sz="0" w:space="0" w:color="auto"/>
            <w:left w:val="none" w:sz="0" w:space="0" w:color="auto"/>
            <w:bottom w:val="none" w:sz="0" w:space="0" w:color="auto"/>
            <w:right w:val="none" w:sz="0" w:space="0" w:color="auto"/>
          </w:divBdr>
        </w:div>
      </w:divsChild>
    </w:div>
    <w:div w:id="117495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48969719340203"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drive/folders/1xi3m9ZV38TjDYhaced7PEztP3rQoFdmY" TargetMode="Externa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rive.google.com/drive/folders/1Gtm5ah9uouZmmi-Ti7l5dOJHlNvVUEma" TargetMode="External"/><Relationship Id="rId14" Type="http://schemas.openxmlformats.org/officeDocument/2006/relationships/hyperlink" Target="https://drive.google.com/drive/folders/1xi3m9ZV38TjDYhaced7PEztP3rQoFdm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65DB9D4-0EA4-48AD-9F06-F5D453B57FCE}"/>
      </w:docPartPr>
      <w:docPartBody>
        <w:p w:rsidR="009D6E3F" w:rsidRDefault="00853005">
          <w:r w:rsidRPr="00CE4B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05"/>
    <w:rsid w:val="001E667B"/>
    <w:rsid w:val="008521F8"/>
    <w:rsid w:val="00853005"/>
    <w:rsid w:val="009D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0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ABE2A5-722E-401A-9A42-5DD47FC5D77C}">
  <we:reference id="wa104382081" version="1.7.0.0" store="en-001" storeType="OMEX"/>
  <we:alternateReferences>
    <we:reference id="WA104382081" version="1.7.0.0" store="" storeType="OMEX"/>
  </we:alternateReferences>
  <we:properties>
    <we:property name="MENDELEY_CITATIONS" value="[{&quot;citationID&quot;:&quot;MENDELEY_CITATION_c7242a2b-f76e-4db9-83d6-46fd7c9bfebb&quot;,&quot;citationItems&quot;:[{&quot;id&quot;:&quot;e5f1a72c-e993-35ed-86f8-ae739c24c0bd&quot;,&quot;itemData&quot;:{&quot;type&quot;:&quot;article-journal&quot;,&quot;id&quot;:&quot;e5f1a72c-e993-35ed-86f8-ae739c24c0bd&quot;,&quot;title&quot;:&quot;Associations between species and groups of sites: inindices and statistical inference&quot;,&quot;author&quot;:[{&quot;family&quot;:&quot;Cáceres&quot;,&quot;given&quot;:&quot;Miquel&quot;,&quot;parse-names&quot;:false,&quot;dropping-particle&quot;:&quot;de&quot;,&quot;non-dropping-particle&quot;:&quot;&quot;},{&quot;family&quot;:&quot;Legendre&quot;,&quot;given&quot;:&quot;Pierre&quot;,&quot;parse-names&quot;:false,&quot;dropping-particle&quot;:&quot;&quot;,&quot;non-dropping-particle&quot;:&quot;&quot;}],&quot;container-title&quot;:&quot;Ecology&quot;,&quot;DOI&quot;:&quot;10.1890/08-1823.1&quot;,&quot;ISBN&quot;:&quot;0012-9658&quot;,&quot;ISSN&quot;:&quot;0012-9658&quot;,&quot;PMID&quot;:&quot;20120823&quot;,&quot;URL&quot;:&quot;c:%5CUsers%5Csong%5CDocuments%5CReadCube%5CDe Cceres et al-2009-Ecology.pdf%5Cnhttp://www.ncbi.nlm.nih.gov/pubmed/20120823&quot;,&quot;issued&quot;:{&quot;date-parts&quot;:[[2009]]},&quot;page&quot;:&quot;3566–3574&quot;,&quot;abstract&quot;:&quot;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quot;,&quot;issue&quot;:&quot;12&quot;,&quot;volume&quot;:&quot;90&quot;},&quot;isTemporary&quot;:false},{&quot;id&quot;:&quot;191c3dcd-69de-320e-b660-b64b826e2c50&quot;,&quot;itemData&quot;:{&quot;type&quot;:&quot;article-journal&quot;,&quot;id&quot;:&quot;191c3dcd-69de-320e-b660-b64b826e2c50&quot;,&quot;title&quot;:&quot;SPECIES ASSEMBLAGES AND INDICATOR SPECIES: THE NEED FOR A FLEXIBLE ASYMMETRICAL APPROACH&quot;,&quot;author&quot;:[{&quot;family&quot;:&quot;Dufrêne&quot;,&quot;given&quot;:&quot;Marc&quot;,&quot;parse-names&quot;:false,&quot;dropping-particle&quot;:&quot;&quot;,&quot;non-dropping-particle&quot;:&quot;&quot;},{&quot;family&quot;:&quot;Legendre&quot;,&quot;given&quot;:&quot;Pierre&quot;,&quot;parse-names&quot;:false,&quot;dropping-particle&quot;:&quot;&quot;,&quot;non-dropping-particle&quot;:&quot;&quot;}],&quot;container-title&quot;:&quot;Ecological Monographs&quot;,&quot;issued&quot;:{&quot;date-parts&quot;:[[1997]]},&quot;page&quot;:&quot;345-366&quot;,&quot;abstract&quot;:&quot;This paper presents a new and simple method to find indicator species and species assemblages characterizing groups of sites. The novelty of our approach lies in the way we combine a species relative abundance with its relative frequency of occurrence in the various groups of sites. This index is maximum when all individuals of a species are found in a single group of sites and when the species occurs in all sites of that group; it is a symmetric indicator. The statistical significance of the species indicator values is evaluated using a randomization procedure. Contrary to TWINSPAN, our indicator index for a given species is independent of the other species relative abundances, and there is no need to use pseudospecies. The new method identifies indicator species for typologies of species releve´s obtained by any hierarchical or nonhierarchical classification procedure; its use is independent of the classification method. Because indicator species give ecological meaning to groups of sites, this method provides criteria to compare typologies, to identify where to stop dividing clusters into subsets, and to point out the main levels in a hierarchical classification of sites. Species can be grouped on the basis of their indicator values for each clustering level, the heterogeneous nature of species assemblages observed in any one site being well pre- served. Such assemblages are usually a mixture of eurytopic (higher level) and stenotopic species (characteristic of lower level clusters). The species assemblage approach demon- strates the importance of the ‘‘sampled patch size,’’ i.e., the diversity of sampled ecological combinations, when we compare the frequencies of core and satellite species. A new way to present species–site tables, accounting for the hierarchical relationships among species, is proposed. A large data set of carabid beetle distributions in open habitats of Belgium is used as a case study to illustrate the new method.&quot;,&quot;issue&quot;:&quot;3&quot;,&quot;volume&quot;:&quot;67&quot;},&quot;isTemporary&quot;:false}],&quot;properties&quot;:{&quot;noteIndex&quot;:0},&quot;isEdited&quot;:false,&quot;manualOverride&quot;:{&quot;isManuallyOverriden&quot;:false,&quot;citeprocText&quot;:&quot;(Cáceres &amp;#38; Legendre, 2009; Dufrêne &amp;#38; Legendre, 1997)&quot;,&quot;manualOverrideText&quot;:&quot;&quot;}}]"/>
    <we:property name="MENDELEY_CITATIONS_STYLE" value="&quot;https://www.zotero.org/styles/american-geophysical-union&quot;"/>
    <we:property name="MENDELEY_PROFILE_ID" value="&quot;9105752df9205c80ea81ac1dc4254b21bd161a7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880AB-6418-462B-8B17-28345D90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Jupke</dc:creator>
  <cp:lastModifiedBy>Jonathan Jupke</cp:lastModifiedBy>
  <cp:revision>67</cp:revision>
  <cp:lastPrinted>2020-07-07T06:33:00Z</cp:lastPrinted>
  <dcterms:created xsi:type="dcterms:W3CDTF">2020-07-02T05:35:00Z</dcterms:created>
  <dcterms:modified xsi:type="dcterms:W3CDTF">2020-09-14T13:25:00Z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