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BB400D" w14:textId="58646ABF" w:rsidR="00430873" w:rsidRDefault="00430873">
      <w:r>
        <w:t xml:space="preserve">To Do </w:t>
      </w:r>
    </w:p>
    <w:p w14:paraId="1F60112F" w14:textId="54339E2A" w:rsidR="00430873" w:rsidRDefault="00430873">
      <w:r>
        <w:t xml:space="preserve">Add files to </w:t>
      </w:r>
      <w:proofErr w:type="spellStart"/>
      <w:r>
        <w:t>grd</w:t>
      </w:r>
      <w:proofErr w:type="spellEnd"/>
      <w:r>
        <w:t xml:space="preserve"> </w:t>
      </w:r>
    </w:p>
    <w:p w14:paraId="12D93978" w14:textId="2F1DE74A" w:rsidR="00430873" w:rsidRDefault="00430873">
      <w:r>
        <w:t>Add figures</w:t>
      </w:r>
    </w:p>
    <w:p w14:paraId="293ECA1E" w14:textId="5B4799A2" w:rsidR="00430873" w:rsidRDefault="00430873">
      <w:r>
        <w:t xml:space="preserve">Add links </w:t>
      </w:r>
    </w:p>
    <w:p w14:paraId="64DDB6AA" w14:textId="77777777" w:rsidR="00430873" w:rsidRDefault="00430873"/>
    <w:p w14:paraId="1B3564FA" w14:textId="106632E5" w:rsidR="00325490" w:rsidRDefault="00325490" w:rsidP="00430873">
      <w:pPr>
        <w:pStyle w:val="Heading1"/>
      </w:pPr>
      <w:r>
        <w:t xml:space="preserve">Seasonal </w:t>
      </w:r>
    </w:p>
    <w:p w14:paraId="2791BAA9" w14:textId="1CB2A071" w:rsidR="00325490" w:rsidRDefault="00325490"/>
    <w:p w14:paraId="0BC1C7A0" w14:textId="1E8B97D3" w:rsidR="00325490" w:rsidRDefault="00325490" w:rsidP="00C34A1C">
      <w:pPr>
        <w:spacing w:line="360" w:lineRule="auto"/>
        <w:jc w:val="both"/>
      </w:pPr>
      <w:r>
        <w:t xml:space="preserve">In addition to the spatially defined Typical Assemblages we also derive seasonally distinct assemblages for a subset of river types. </w:t>
      </w:r>
      <w:r w:rsidR="00625FCB">
        <w:t xml:space="preserve">The four seasons were defined as follows: spring is March to May, Summer June to August, Fall September to November and Winter December to February. </w:t>
      </w:r>
    </w:p>
    <w:p w14:paraId="49F3905F" w14:textId="54AA5592" w:rsidR="00325490" w:rsidRDefault="00325490" w:rsidP="00C34A1C">
      <w:pPr>
        <w:pStyle w:val="Heading1"/>
        <w:spacing w:line="360" w:lineRule="auto"/>
        <w:jc w:val="both"/>
      </w:pPr>
      <w:r>
        <w:t xml:space="preserve">Selection of river types </w:t>
      </w:r>
    </w:p>
    <w:p w14:paraId="1D7017DC" w14:textId="03819068" w:rsidR="000A486C" w:rsidRPr="00E74D85" w:rsidRDefault="000A486C" w:rsidP="00C34A1C">
      <w:pPr>
        <w:spacing w:line="360" w:lineRule="auto"/>
        <w:jc w:val="both"/>
        <w:rPr>
          <w:color w:val="FF0000"/>
        </w:rPr>
      </w:pPr>
      <w:r>
        <w:t xml:space="preserve">To avoid strong spatial signals in the seasonal typical assemblages (sTA) only </w:t>
      </w:r>
      <w:r w:rsidR="00E74D85">
        <w:t xml:space="preserve">those </w:t>
      </w:r>
      <w:r>
        <w:t xml:space="preserve">river types were considered </w:t>
      </w:r>
      <w:r w:rsidR="00E74D85">
        <w:t xml:space="preserve">in which </w:t>
      </w:r>
      <w:r>
        <w:t xml:space="preserve">samples were evenly distributed between seasons. In most cases, an even spatio-temporal distribution could only be achieved by omitting parts of the data (e.g. certain seasons or data sets). The maps for all stream types with all available seasons as well as the respective subsets that were used in the further analyses can be found in the </w:t>
      </w:r>
      <w:r w:rsidRPr="00E74D85">
        <w:rPr>
          <w:color w:val="FF0000"/>
        </w:rPr>
        <w:t>GetRealDrive</w:t>
      </w:r>
      <w:r>
        <w:t xml:space="preserve">.  </w:t>
      </w:r>
      <w:r w:rsidR="00174966">
        <w:t xml:space="preserve">An example for Invertebrates in </w:t>
      </w:r>
      <w:r w:rsidR="00174966" w:rsidRPr="00E74D85">
        <w:rPr>
          <w:color w:val="FF0000"/>
        </w:rPr>
        <w:t>RTXX</w:t>
      </w:r>
      <w:r w:rsidR="00174966">
        <w:t xml:space="preserve"> is shown in </w:t>
      </w:r>
      <w:r w:rsidR="00174966" w:rsidRPr="00E74D85">
        <w:rPr>
          <w:color w:val="FF0000"/>
        </w:rPr>
        <w:t>figure X</w:t>
      </w:r>
      <w:r w:rsidR="00E74D85">
        <w:rPr>
          <w:color w:val="FF0000"/>
        </w:rPr>
        <w:t>1</w:t>
      </w:r>
    </w:p>
    <w:p w14:paraId="39F52C6E" w14:textId="2200489E" w:rsidR="00174966" w:rsidRDefault="000A486C" w:rsidP="00C34A1C">
      <w:pPr>
        <w:spacing w:line="360" w:lineRule="auto"/>
        <w:jc w:val="both"/>
      </w:pPr>
      <w:r>
        <w:t xml:space="preserve">To visualize difference between the seasons we used Non metric multidimensional scaling (NMDS) on Jaccard dissimilarity matrices. The resulting plots are also available in the </w:t>
      </w:r>
      <w:r w:rsidRPr="00E74D85">
        <w:rPr>
          <w:color w:val="FF0000"/>
        </w:rPr>
        <w:t>GetRealDrive</w:t>
      </w:r>
      <w:r w:rsidR="00174966">
        <w:t xml:space="preserve">. </w:t>
      </w:r>
      <w:r w:rsidR="00174966" w:rsidRPr="00E74D85">
        <w:rPr>
          <w:color w:val="FF0000"/>
        </w:rPr>
        <w:t>Figure X</w:t>
      </w:r>
      <w:r w:rsidR="00E74D85" w:rsidRPr="00E74D85">
        <w:rPr>
          <w:color w:val="FF0000"/>
        </w:rPr>
        <w:t>2</w:t>
      </w:r>
      <w:r w:rsidR="00174966" w:rsidRPr="00E74D85">
        <w:rPr>
          <w:color w:val="FF0000"/>
        </w:rPr>
        <w:t xml:space="preserve"> </w:t>
      </w:r>
      <w:r w:rsidR="00174966">
        <w:t xml:space="preserve">shows the NMDS plot for invertebrate samples in </w:t>
      </w:r>
      <w:r w:rsidR="00174966" w:rsidRPr="00E74D85">
        <w:rPr>
          <w:color w:val="FF0000"/>
        </w:rPr>
        <w:t>RTXX</w:t>
      </w:r>
      <w:r>
        <w:t>. Further, we evaluate</w:t>
      </w:r>
      <w:r w:rsidR="00174966">
        <w:t>d</w:t>
      </w:r>
      <w:r>
        <w:t xml:space="preserve"> whether the Jaccard distance between sites would be better explained by spatial distance or by season.</w:t>
      </w:r>
      <w:r w:rsidR="00174966">
        <w:t xml:space="preserve"> To this end, we employed generalized dissimilarity modelling</w:t>
      </w:r>
      <w:r w:rsidR="00E74D85">
        <w:t xml:space="preserve"> (GDM)</w:t>
      </w:r>
      <w:r w:rsidR="00174966">
        <w:t xml:space="preserve">. </w:t>
      </w:r>
      <w:r>
        <w:t xml:space="preserve"> </w:t>
      </w:r>
    </w:p>
    <w:p w14:paraId="125A3C1F" w14:textId="72AEE76B" w:rsidR="00E74D85" w:rsidRDefault="00E74D85" w:rsidP="00C34A1C">
      <w:pPr>
        <w:spacing w:line="360" w:lineRule="auto"/>
        <w:jc w:val="both"/>
        <w:rPr>
          <w:color w:val="FF0000"/>
        </w:rPr>
      </w:pPr>
      <w:r>
        <w:t xml:space="preserve">In GDMs, the response variable is the ecological distance between two sites (expressed in some a priori chosen </w:t>
      </w:r>
      <w:r w:rsidR="00E62CA8">
        <w:t xml:space="preserve">dissimilarity </w:t>
      </w:r>
      <w:r>
        <w:t>metric</w:t>
      </w:r>
      <w:r w:rsidR="00E62CA8">
        <w:t>, here Jaccard</w:t>
      </w:r>
      <w:r>
        <w:t xml:space="preserve">). Smooth functions are fitted to the environmental data and the differences between the values of these functions at the two sites of interest are used as explanatory variables. </w:t>
      </w:r>
      <w:r w:rsidR="00E62CA8">
        <w:t>By</w:t>
      </w:r>
      <w:r w:rsidR="00430873">
        <w:t xml:space="preserve"> us</w:t>
      </w:r>
      <w:r w:rsidR="00E62CA8">
        <w:t>ing</w:t>
      </w:r>
      <w:r w:rsidR="00430873">
        <w:t xml:space="preserve"> a generalized modelling </w:t>
      </w:r>
      <w:proofErr w:type="gramStart"/>
      <w:r w:rsidR="00430873">
        <w:t>framework</w:t>
      </w:r>
      <w:proofErr w:type="gramEnd"/>
      <w:r w:rsidR="00430873">
        <w:t xml:space="preserve"> </w:t>
      </w:r>
      <w:r w:rsidR="00E62CA8">
        <w:t xml:space="preserve">we can </w:t>
      </w:r>
      <w:r w:rsidR="00430873">
        <w:t xml:space="preserve">account for </w:t>
      </w:r>
      <w:r w:rsidR="00E62CA8">
        <w:t xml:space="preserve">the </w:t>
      </w:r>
      <w:r w:rsidR="00430873">
        <w:t>bounded nature of dissimilarity metrics</w:t>
      </w:r>
      <w:r w:rsidR="00E62CA8">
        <w:t xml:space="preserve"> [0-1]</w:t>
      </w:r>
      <w:r w:rsidR="00430873">
        <w:t xml:space="preserve"> and the smooth functions allow for variation in the rate of compositional turnover along gradient</w:t>
      </w:r>
      <w:r w:rsidR="00E62CA8">
        <w:t>s</w:t>
      </w:r>
      <w:r w:rsidR="00430873">
        <w:t xml:space="preserve">. The results for all GDMs can be found in the </w:t>
      </w:r>
      <w:r w:rsidR="00430873" w:rsidRPr="00430873">
        <w:rPr>
          <w:color w:val="FF0000"/>
        </w:rPr>
        <w:t>GetRealDrive</w:t>
      </w:r>
      <w:r w:rsidR="00430873">
        <w:t xml:space="preserve">, and that for </w:t>
      </w:r>
      <w:r w:rsidR="00430873" w:rsidRPr="00430873">
        <w:rPr>
          <w:color w:val="FF0000"/>
        </w:rPr>
        <w:t>RTXX</w:t>
      </w:r>
      <w:r w:rsidR="00430873">
        <w:t xml:space="preserve"> is shown in </w:t>
      </w:r>
      <w:r w:rsidR="00430873" w:rsidRPr="00430873">
        <w:rPr>
          <w:color w:val="FF0000"/>
        </w:rPr>
        <w:t>figure X3</w:t>
      </w:r>
      <w:r w:rsidR="00430873">
        <w:rPr>
          <w:color w:val="FF0000"/>
        </w:rPr>
        <w:t xml:space="preserve">. </w:t>
      </w:r>
    </w:p>
    <w:p w14:paraId="4EEBBDD9" w14:textId="0E413A04" w:rsidR="00430873" w:rsidRDefault="00430873" w:rsidP="00C34A1C">
      <w:pPr>
        <w:spacing w:line="360" w:lineRule="auto"/>
        <w:jc w:val="both"/>
      </w:pPr>
      <w:r>
        <w:t>Based on NMDS and GDM</w:t>
      </w:r>
      <w:r w:rsidR="00370208">
        <w:t>,</w:t>
      </w:r>
      <w:r>
        <w:t xml:space="preserve"> we selected RT X and y for Invertebrates and y and x for diatoms.</w:t>
      </w:r>
      <w:r w:rsidR="00370208">
        <w:t xml:space="preserve"> For these four river types sTA were derived in the same way as the non-seasonal TAs (see prior documents in GetRealDrive</w:t>
      </w:r>
      <w:r w:rsidR="00E62CA8">
        <w:t xml:space="preserve">).  </w:t>
      </w:r>
    </w:p>
    <w:p w14:paraId="1BC90887" w14:textId="0B72D1EA" w:rsidR="00430873" w:rsidRPr="00430873" w:rsidRDefault="00430873" w:rsidP="00C34A1C">
      <w:pPr>
        <w:spacing w:line="360" w:lineRule="auto"/>
        <w:jc w:val="both"/>
      </w:pPr>
      <w:r>
        <w:lastRenderedPageBreak/>
        <w:t xml:space="preserve"> </w:t>
      </w:r>
    </w:p>
    <w:p w14:paraId="4108E2C7" w14:textId="261A4628" w:rsidR="00625FCB" w:rsidRDefault="00174966" w:rsidP="00625FCB">
      <w:pPr>
        <w:pStyle w:val="Heading1"/>
      </w:pPr>
      <w:r w:rsidRPr="00C34A1C">
        <w:t>Pattern, overlap differences</w:t>
      </w:r>
    </w:p>
    <w:p w14:paraId="59022720" w14:textId="5ACBF91E" w:rsidR="00625FCB" w:rsidRDefault="00650ACB" w:rsidP="00650ACB">
      <w:pPr>
        <w:spacing w:line="360" w:lineRule="auto"/>
        <w:jc w:val="both"/>
      </w:pPr>
      <w:r>
        <w:t xml:space="preserve">In </w:t>
      </w:r>
      <w:r w:rsidR="003C00CE">
        <w:t>r</w:t>
      </w:r>
      <w:r>
        <w:t xml:space="preserve">iver </w:t>
      </w:r>
      <w:r w:rsidR="003C00CE">
        <w:t>t</w:t>
      </w:r>
      <w:r>
        <w:t xml:space="preserve">ype 11, the number of diatom taxa in the </w:t>
      </w:r>
      <w:proofErr w:type="spellStart"/>
      <w:r>
        <w:t>sTAs</w:t>
      </w:r>
      <w:proofErr w:type="spellEnd"/>
      <w:r>
        <w:t xml:space="preserve"> did not vary strongly between the seasons [21 to 28]. The summer and autumn </w:t>
      </w:r>
      <w:proofErr w:type="spellStart"/>
      <w:r>
        <w:t>sTAs</w:t>
      </w:r>
      <w:proofErr w:type="spellEnd"/>
      <w:r>
        <w:t xml:space="preserve"> were more similar to each other than either of them to the winter sTA. The latter was most similar to </w:t>
      </w:r>
      <w:r w:rsidR="003C00CE">
        <w:t>the su</w:t>
      </w:r>
      <w:r>
        <w:t>mmer</w:t>
      </w:r>
      <w:r w:rsidR="003C00CE">
        <w:t xml:space="preserve"> sTA</w:t>
      </w:r>
      <w:r>
        <w:t xml:space="preserve">, as they share some </w:t>
      </w:r>
      <w:r w:rsidRPr="00650ACB">
        <w:rPr>
          <w:i/>
          <w:iCs/>
        </w:rPr>
        <w:t>Gomphonema</w:t>
      </w:r>
      <w:r>
        <w:t xml:space="preserve"> species (</w:t>
      </w:r>
      <w:r w:rsidRPr="00650ACB">
        <w:rPr>
          <w:i/>
          <w:iCs/>
        </w:rPr>
        <w:t>Gomphonema olivaceum olivaceoides</w:t>
      </w:r>
      <w:r>
        <w:t xml:space="preserve"> and </w:t>
      </w:r>
      <w:r w:rsidRPr="00650ACB">
        <w:rPr>
          <w:i/>
          <w:iCs/>
        </w:rPr>
        <w:t xml:space="preserve">Gomphonema parvulum </w:t>
      </w:r>
      <w:r w:rsidRPr="00650ACB">
        <w:t>Complex</w:t>
      </w:r>
      <w:r>
        <w:t xml:space="preserve">) which are absent from the autumn sTA with exception of the </w:t>
      </w:r>
      <w:r w:rsidRPr="00650ACB">
        <w:rPr>
          <w:i/>
          <w:iCs/>
        </w:rPr>
        <w:t xml:space="preserve">Gomphonema pumilum </w:t>
      </w:r>
      <w:r>
        <w:t>C</w:t>
      </w:r>
      <w:r w:rsidRPr="00650ACB">
        <w:t>omplex</w:t>
      </w:r>
      <w:r>
        <w:t xml:space="preserve">. </w:t>
      </w:r>
    </w:p>
    <w:tbl>
      <w:tblPr>
        <w:tblStyle w:val="TableGrid"/>
        <w:tblW w:w="0" w:type="auto"/>
        <w:tblLook w:val="04A0" w:firstRow="1" w:lastRow="0" w:firstColumn="1" w:lastColumn="0" w:noHBand="0" w:noVBand="1"/>
      </w:tblPr>
      <w:tblGrid>
        <w:gridCol w:w="2265"/>
        <w:gridCol w:w="2265"/>
        <w:gridCol w:w="2266"/>
        <w:gridCol w:w="2266"/>
      </w:tblGrid>
      <w:tr w:rsidR="00650ACB" w14:paraId="6C3146CE" w14:textId="77777777" w:rsidTr="00650ACB">
        <w:tc>
          <w:tcPr>
            <w:tcW w:w="2265" w:type="dxa"/>
          </w:tcPr>
          <w:p w14:paraId="0BC44F1F" w14:textId="77777777" w:rsidR="00650ACB" w:rsidRDefault="00650ACB" w:rsidP="00625FCB"/>
        </w:tc>
        <w:tc>
          <w:tcPr>
            <w:tcW w:w="2265" w:type="dxa"/>
          </w:tcPr>
          <w:p w14:paraId="051C0EE3" w14:textId="563CD59D" w:rsidR="00650ACB" w:rsidRDefault="00650ACB" w:rsidP="00625FCB">
            <w:r>
              <w:t>Summer</w:t>
            </w:r>
          </w:p>
        </w:tc>
        <w:tc>
          <w:tcPr>
            <w:tcW w:w="2266" w:type="dxa"/>
          </w:tcPr>
          <w:p w14:paraId="2073DDE7" w14:textId="6ACC9B5A" w:rsidR="00650ACB" w:rsidRDefault="00650ACB" w:rsidP="00625FCB">
            <w:r>
              <w:t xml:space="preserve">Autumn </w:t>
            </w:r>
          </w:p>
        </w:tc>
        <w:tc>
          <w:tcPr>
            <w:tcW w:w="2266" w:type="dxa"/>
          </w:tcPr>
          <w:p w14:paraId="1814ACAE" w14:textId="12C9EFC8" w:rsidR="00650ACB" w:rsidRDefault="00650ACB" w:rsidP="00625FCB">
            <w:r>
              <w:t>Winter</w:t>
            </w:r>
          </w:p>
        </w:tc>
      </w:tr>
      <w:tr w:rsidR="00650ACB" w14:paraId="48D4A200" w14:textId="77777777" w:rsidTr="00650ACB">
        <w:tc>
          <w:tcPr>
            <w:tcW w:w="2265" w:type="dxa"/>
          </w:tcPr>
          <w:p w14:paraId="3976447F" w14:textId="5AE6DDC3" w:rsidR="00650ACB" w:rsidRDefault="00650ACB" w:rsidP="00625FCB">
            <w:r>
              <w:t>Summer (n = 28)</w:t>
            </w:r>
          </w:p>
        </w:tc>
        <w:tc>
          <w:tcPr>
            <w:tcW w:w="2265" w:type="dxa"/>
          </w:tcPr>
          <w:p w14:paraId="092E9920" w14:textId="546D8EA7" w:rsidR="00650ACB" w:rsidRDefault="00650ACB" w:rsidP="00625FCB">
            <w:r>
              <w:t>100</w:t>
            </w:r>
          </w:p>
        </w:tc>
        <w:tc>
          <w:tcPr>
            <w:tcW w:w="2266" w:type="dxa"/>
          </w:tcPr>
          <w:p w14:paraId="5BB5240F" w14:textId="260F30F6" w:rsidR="00650ACB" w:rsidRDefault="00650ACB" w:rsidP="00625FCB">
            <w:r>
              <w:t>46.4</w:t>
            </w:r>
          </w:p>
        </w:tc>
        <w:tc>
          <w:tcPr>
            <w:tcW w:w="2266" w:type="dxa"/>
          </w:tcPr>
          <w:p w14:paraId="4F353F92" w14:textId="3CF1C3B6" w:rsidR="00650ACB" w:rsidRDefault="00650ACB" w:rsidP="00625FCB">
            <w:r>
              <w:t>35.7</w:t>
            </w:r>
          </w:p>
        </w:tc>
      </w:tr>
      <w:tr w:rsidR="00650ACB" w14:paraId="6C09BA28" w14:textId="77777777" w:rsidTr="00650ACB">
        <w:tc>
          <w:tcPr>
            <w:tcW w:w="2265" w:type="dxa"/>
          </w:tcPr>
          <w:p w14:paraId="2057AB4D" w14:textId="03A7E41D" w:rsidR="00650ACB" w:rsidRDefault="00650ACB" w:rsidP="00625FCB">
            <w:r>
              <w:t>Autumn (n = 21)</w:t>
            </w:r>
          </w:p>
        </w:tc>
        <w:tc>
          <w:tcPr>
            <w:tcW w:w="2265" w:type="dxa"/>
          </w:tcPr>
          <w:p w14:paraId="5E535F85" w14:textId="09240167" w:rsidR="00650ACB" w:rsidRDefault="00650ACB" w:rsidP="00625FCB">
            <w:r>
              <w:t>61.9</w:t>
            </w:r>
          </w:p>
        </w:tc>
        <w:tc>
          <w:tcPr>
            <w:tcW w:w="2266" w:type="dxa"/>
          </w:tcPr>
          <w:p w14:paraId="3F845426" w14:textId="3E61F011" w:rsidR="00650ACB" w:rsidRDefault="00650ACB" w:rsidP="00625FCB">
            <w:r>
              <w:t>100</w:t>
            </w:r>
          </w:p>
        </w:tc>
        <w:tc>
          <w:tcPr>
            <w:tcW w:w="2266" w:type="dxa"/>
          </w:tcPr>
          <w:p w14:paraId="529CFFAF" w14:textId="169B54F8" w:rsidR="00650ACB" w:rsidRDefault="00650ACB" w:rsidP="00625FCB">
            <w:r>
              <w:t>38.1</w:t>
            </w:r>
          </w:p>
        </w:tc>
      </w:tr>
      <w:tr w:rsidR="00650ACB" w14:paraId="0E54BE8A" w14:textId="77777777" w:rsidTr="00650ACB">
        <w:tc>
          <w:tcPr>
            <w:tcW w:w="2265" w:type="dxa"/>
          </w:tcPr>
          <w:p w14:paraId="4C378BB7" w14:textId="4E4649CE" w:rsidR="00650ACB" w:rsidRDefault="00650ACB" w:rsidP="00625FCB">
            <w:r>
              <w:t>Winter (n = 22)</w:t>
            </w:r>
          </w:p>
        </w:tc>
        <w:tc>
          <w:tcPr>
            <w:tcW w:w="2265" w:type="dxa"/>
          </w:tcPr>
          <w:p w14:paraId="09F7B6A3" w14:textId="29065E44" w:rsidR="00650ACB" w:rsidRDefault="00650ACB" w:rsidP="00625FCB">
            <w:r>
              <w:t>45.5</w:t>
            </w:r>
          </w:p>
        </w:tc>
        <w:tc>
          <w:tcPr>
            <w:tcW w:w="2266" w:type="dxa"/>
          </w:tcPr>
          <w:p w14:paraId="7F2645CE" w14:textId="4D15E87B" w:rsidR="00650ACB" w:rsidRDefault="00650ACB" w:rsidP="00625FCB">
            <w:r>
              <w:t>36.4</w:t>
            </w:r>
          </w:p>
        </w:tc>
        <w:tc>
          <w:tcPr>
            <w:tcW w:w="2266" w:type="dxa"/>
          </w:tcPr>
          <w:p w14:paraId="7A50F1AF" w14:textId="02CBC696" w:rsidR="00650ACB" w:rsidRDefault="00650ACB" w:rsidP="00625FCB">
            <w:r>
              <w:t>100</w:t>
            </w:r>
          </w:p>
        </w:tc>
      </w:tr>
    </w:tbl>
    <w:p w14:paraId="5A83B51E" w14:textId="1DF2742A" w:rsidR="00625FCB" w:rsidRDefault="00650ACB" w:rsidP="00625FCB">
      <w:r w:rsidRPr="00625FCB">
        <mc:AlternateContent>
          <mc:Choice Requires="wps">
            <w:drawing>
              <wp:anchor distT="0" distB="0" distL="114300" distR="114300" simplePos="0" relativeHeight="251659264" behindDoc="0" locked="0" layoutInCell="1" allowOverlap="1" wp14:anchorId="4B25001D" wp14:editId="4C7A60D9">
                <wp:simplePos x="0" y="0"/>
                <wp:positionH relativeFrom="column">
                  <wp:posOffset>285750</wp:posOffset>
                </wp:positionH>
                <wp:positionV relativeFrom="paragraph">
                  <wp:posOffset>270827</wp:posOffset>
                </wp:positionV>
                <wp:extent cx="5005281" cy="1109856"/>
                <wp:effectExtent l="0" t="0" r="0" b="0"/>
                <wp:wrapNone/>
                <wp:docPr id="6" name="TextBox 5">
                  <a:extLst xmlns:a="http://schemas.openxmlformats.org/drawingml/2006/main">
                    <a:ext uri="{FF2B5EF4-FFF2-40B4-BE49-F238E27FC236}">
                      <a16:creationId xmlns:a16="http://schemas.microsoft.com/office/drawing/2014/main" id="{8DD17A7F-7E68-4497-A9FB-EC9432595013}"/>
                    </a:ext>
                  </a:extLst>
                </wp:docPr>
                <wp:cNvGraphicFramePr/>
                <a:graphic xmlns:a="http://schemas.openxmlformats.org/drawingml/2006/main">
                  <a:graphicData uri="http://schemas.microsoft.com/office/word/2010/wordprocessingShape">
                    <wps:wsp>
                      <wps:cNvSpPr txBox="1"/>
                      <wps:spPr>
                        <a:xfrm>
                          <a:off x="0" y="0"/>
                          <a:ext cx="5005281" cy="1109856"/>
                        </a:xfrm>
                        <a:prstGeom prst="rect">
                          <a:avLst/>
                        </a:prstGeom>
                        <a:noFill/>
                      </wps:spPr>
                      <wps:txbx>
                        <w:txbxContent>
                          <w:p w14:paraId="0D57A3E7" w14:textId="21EDF5FC" w:rsidR="00625FCB" w:rsidRPr="00625FCB" w:rsidRDefault="00625FCB" w:rsidP="00625FCB">
                            <w:pPr>
                              <w:rPr>
                                <w:sz w:val="16"/>
                                <w:szCs w:val="16"/>
                              </w:rPr>
                            </w:pPr>
                          </w:p>
                        </w:txbxContent>
                      </wps:txbx>
                      <wps:bodyPr wrap="none" lIns="0" tIns="0" rIns="0" bIns="0" rtlCol="0">
                        <a:spAutoFit/>
                      </wps:bodyPr>
                    </wps:wsp>
                  </a:graphicData>
                </a:graphic>
              </wp:anchor>
            </w:drawing>
          </mc:Choice>
          <mc:Fallback>
            <w:pict>
              <v:shapetype w14:anchorId="4B25001D" id="_x0000_t202" coordsize="21600,21600" o:spt="202" path="m,l,21600r21600,l21600,xe">
                <v:stroke joinstyle="miter"/>
                <v:path gradientshapeok="t" o:connecttype="rect"/>
              </v:shapetype>
              <v:shape id="TextBox 5" o:spid="_x0000_s1026" type="#_x0000_t202" style="position:absolute;margin-left:22.5pt;margin-top:21.3pt;width:394.1pt;height:87.4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" filled="f" stroked="f">
                <v:textbox style="mso-fit-shape-to-text:t" inset="0,0,0,0">
                  <w:txbxContent>
                    <w:p w14:paraId="0D57A3E7" w14:textId="21EDF5FC" w:rsidR="00625FCB" w:rsidRPr="00625FCB" w:rsidRDefault="00625FCB" w:rsidP="00625FCB">
                      <w:pPr>
                        <w:rPr>
                          <w:sz w:val="16"/>
                          <w:szCs w:val="16"/>
                        </w:rPr>
                      </w:pPr>
                    </w:p>
                  </w:txbxContent>
                </v:textbox>
              </v:shape>
            </w:pict>
          </mc:Fallback>
        </mc:AlternateContent>
      </w:r>
    </w:p>
    <w:p w14:paraId="5CC9B6BE" w14:textId="43C935FA" w:rsidR="00625FCB" w:rsidRDefault="003C00CE" w:rsidP="00625FCB">
      <w:r>
        <w:t xml:space="preserve">The </w:t>
      </w:r>
      <w:proofErr w:type="spellStart"/>
      <w:r>
        <w:t>sTAs</w:t>
      </w:r>
      <w:proofErr w:type="spellEnd"/>
      <w:r>
        <w:t xml:space="preserve"> in river type 15, the winter sTA is considerably larger than the summer and autumn </w:t>
      </w:r>
      <w:proofErr w:type="spellStart"/>
      <w:r>
        <w:t>sTAs</w:t>
      </w:r>
      <w:proofErr w:type="spellEnd"/>
      <w:r>
        <w:t xml:space="preserve">.  </w:t>
      </w:r>
    </w:p>
    <w:tbl>
      <w:tblPr>
        <w:tblStyle w:val="TableGrid"/>
        <w:tblW w:w="0" w:type="auto"/>
        <w:tblLook w:val="04A0" w:firstRow="1" w:lastRow="0" w:firstColumn="1" w:lastColumn="0" w:noHBand="0" w:noVBand="1"/>
      </w:tblPr>
      <w:tblGrid>
        <w:gridCol w:w="2265"/>
        <w:gridCol w:w="2265"/>
        <w:gridCol w:w="2266"/>
        <w:gridCol w:w="2266"/>
      </w:tblGrid>
      <w:tr w:rsidR="003C00CE" w14:paraId="61C72D22" w14:textId="77777777" w:rsidTr="000C244C">
        <w:tc>
          <w:tcPr>
            <w:tcW w:w="2265" w:type="dxa"/>
          </w:tcPr>
          <w:p w14:paraId="7BD00837" w14:textId="77777777" w:rsidR="003C00CE" w:rsidRDefault="003C00CE" w:rsidP="000C244C"/>
        </w:tc>
        <w:tc>
          <w:tcPr>
            <w:tcW w:w="2265" w:type="dxa"/>
          </w:tcPr>
          <w:p w14:paraId="76D82A27" w14:textId="77777777" w:rsidR="003C00CE" w:rsidRDefault="003C00CE" w:rsidP="000C244C">
            <w:r>
              <w:t>Summer</w:t>
            </w:r>
          </w:p>
        </w:tc>
        <w:tc>
          <w:tcPr>
            <w:tcW w:w="2266" w:type="dxa"/>
          </w:tcPr>
          <w:p w14:paraId="5DD603E4" w14:textId="77777777" w:rsidR="003C00CE" w:rsidRDefault="003C00CE" w:rsidP="000C244C">
            <w:r>
              <w:t xml:space="preserve">Autumn </w:t>
            </w:r>
          </w:p>
        </w:tc>
        <w:tc>
          <w:tcPr>
            <w:tcW w:w="2266" w:type="dxa"/>
          </w:tcPr>
          <w:p w14:paraId="7660270E" w14:textId="77777777" w:rsidR="003C00CE" w:rsidRDefault="003C00CE" w:rsidP="000C244C">
            <w:r>
              <w:t>Winter</w:t>
            </w:r>
          </w:p>
        </w:tc>
      </w:tr>
      <w:tr w:rsidR="003C00CE" w14:paraId="171B892B" w14:textId="77777777" w:rsidTr="000C244C">
        <w:tc>
          <w:tcPr>
            <w:tcW w:w="2265" w:type="dxa"/>
          </w:tcPr>
          <w:p w14:paraId="311B64AB" w14:textId="24A9A855" w:rsidR="003C00CE" w:rsidRDefault="003C00CE" w:rsidP="000C244C">
            <w:r>
              <w:t xml:space="preserve">Summer (n = </w:t>
            </w:r>
            <w:r>
              <w:t>19</w:t>
            </w:r>
            <w:r>
              <w:t>)</w:t>
            </w:r>
          </w:p>
        </w:tc>
        <w:tc>
          <w:tcPr>
            <w:tcW w:w="2265" w:type="dxa"/>
          </w:tcPr>
          <w:p w14:paraId="02F1BC82" w14:textId="77777777" w:rsidR="003C00CE" w:rsidRDefault="003C00CE" w:rsidP="000C244C">
            <w:r>
              <w:t>100</w:t>
            </w:r>
          </w:p>
        </w:tc>
        <w:tc>
          <w:tcPr>
            <w:tcW w:w="2266" w:type="dxa"/>
          </w:tcPr>
          <w:p w14:paraId="0ED9662D" w14:textId="72FB3C4E" w:rsidR="003C00CE" w:rsidRDefault="003C00CE" w:rsidP="000C244C">
            <w:r>
              <w:t>57.9</w:t>
            </w:r>
          </w:p>
        </w:tc>
        <w:tc>
          <w:tcPr>
            <w:tcW w:w="2266" w:type="dxa"/>
          </w:tcPr>
          <w:p w14:paraId="45318080" w14:textId="731A84D1" w:rsidR="003C00CE" w:rsidRDefault="003C00CE" w:rsidP="000C244C">
            <w:r>
              <w:t>81.2</w:t>
            </w:r>
          </w:p>
        </w:tc>
      </w:tr>
      <w:tr w:rsidR="003C00CE" w14:paraId="5882D163" w14:textId="77777777" w:rsidTr="000C244C">
        <w:tc>
          <w:tcPr>
            <w:tcW w:w="2265" w:type="dxa"/>
          </w:tcPr>
          <w:p w14:paraId="1669E1DC" w14:textId="4F220806" w:rsidR="003C00CE" w:rsidRDefault="003C00CE" w:rsidP="000C244C">
            <w:r>
              <w:t xml:space="preserve">Autumn (n = </w:t>
            </w:r>
            <w:r>
              <w:t>16</w:t>
            </w:r>
            <w:r>
              <w:t>)</w:t>
            </w:r>
          </w:p>
        </w:tc>
        <w:tc>
          <w:tcPr>
            <w:tcW w:w="2265" w:type="dxa"/>
          </w:tcPr>
          <w:p w14:paraId="770A60FA" w14:textId="3F7E6EAA" w:rsidR="003C00CE" w:rsidRDefault="003C00CE" w:rsidP="000C244C">
            <w:r>
              <w:t>6</w:t>
            </w:r>
            <w:r>
              <w:t>8</w:t>
            </w:r>
            <w:r>
              <w:t>.</w:t>
            </w:r>
            <w:r>
              <w:t>8</w:t>
            </w:r>
          </w:p>
        </w:tc>
        <w:tc>
          <w:tcPr>
            <w:tcW w:w="2266" w:type="dxa"/>
          </w:tcPr>
          <w:p w14:paraId="64374F87" w14:textId="77777777" w:rsidR="003C00CE" w:rsidRDefault="003C00CE" w:rsidP="000C244C">
            <w:r>
              <w:t>100</w:t>
            </w:r>
          </w:p>
        </w:tc>
        <w:tc>
          <w:tcPr>
            <w:tcW w:w="2266" w:type="dxa"/>
          </w:tcPr>
          <w:p w14:paraId="38F2DFDC" w14:textId="2EB31DF0" w:rsidR="003C00CE" w:rsidRDefault="003C00CE" w:rsidP="000C244C">
            <w:r>
              <w:t>81.2</w:t>
            </w:r>
          </w:p>
        </w:tc>
      </w:tr>
      <w:tr w:rsidR="003C00CE" w14:paraId="484A5EBE" w14:textId="77777777" w:rsidTr="000C244C">
        <w:tc>
          <w:tcPr>
            <w:tcW w:w="2265" w:type="dxa"/>
          </w:tcPr>
          <w:p w14:paraId="2DA7B455" w14:textId="4E86B433" w:rsidR="003C00CE" w:rsidRDefault="003C00CE" w:rsidP="000C244C">
            <w:r>
              <w:t xml:space="preserve">Winter (n = </w:t>
            </w:r>
            <w:r>
              <w:t>29</w:t>
            </w:r>
            <w:r>
              <w:t>)</w:t>
            </w:r>
          </w:p>
        </w:tc>
        <w:tc>
          <w:tcPr>
            <w:tcW w:w="2265" w:type="dxa"/>
          </w:tcPr>
          <w:p w14:paraId="15BDF3E7" w14:textId="2B776D60" w:rsidR="003C00CE" w:rsidRDefault="003C00CE" w:rsidP="000C244C">
            <w:r>
              <w:t>4</w:t>
            </w:r>
            <w:r>
              <w:t>1</w:t>
            </w:r>
            <w:r>
              <w:t>.</w:t>
            </w:r>
            <w:r>
              <w:t>4</w:t>
            </w:r>
          </w:p>
        </w:tc>
        <w:tc>
          <w:tcPr>
            <w:tcW w:w="2266" w:type="dxa"/>
          </w:tcPr>
          <w:p w14:paraId="3342A249" w14:textId="718EF61B" w:rsidR="003C00CE" w:rsidRDefault="003C00CE" w:rsidP="000C244C">
            <w:r>
              <w:t>44.8</w:t>
            </w:r>
          </w:p>
        </w:tc>
        <w:tc>
          <w:tcPr>
            <w:tcW w:w="2266" w:type="dxa"/>
          </w:tcPr>
          <w:p w14:paraId="1E589B4B" w14:textId="77777777" w:rsidR="003C00CE" w:rsidRDefault="003C00CE" w:rsidP="000C244C">
            <w:r>
              <w:t>100</w:t>
            </w:r>
          </w:p>
        </w:tc>
      </w:tr>
    </w:tbl>
    <w:p w14:paraId="1CBC25AE" w14:textId="199C7537" w:rsidR="003C00CE" w:rsidRDefault="003C00CE" w:rsidP="00625FCB"/>
    <w:p w14:paraId="12218CC8" w14:textId="0F4E6CD5" w:rsidR="003C00CE" w:rsidRDefault="003C00CE" w:rsidP="00C877FB">
      <w:pPr>
        <w:spacing w:line="360" w:lineRule="auto"/>
        <w:jc w:val="both"/>
      </w:pPr>
      <w:r>
        <w:t xml:space="preserve">The overlap between the summer sTA and the winter sTA is 81.2%. The same holds for the autumn sTA and the winter sTA. Therefore, they cross the threshold of 75% overlap we used to delineate spatially redundant TAs. The overlap between the winter sTA and either summer or autumn sTA is of a similar size (41.4% and 44.8%). In general, the overlaps in river type 15 are larger than those in river type 11 which might indicate a </w:t>
      </w:r>
      <w:r w:rsidR="00C877FB">
        <w:t>weaker seasonal turnover in these ecosystems</w:t>
      </w:r>
      <w:r>
        <w:t xml:space="preserve">. </w:t>
      </w:r>
    </w:p>
    <w:p w14:paraId="6F3C41B5" w14:textId="4EB1CF2A" w:rsidR="00650ACB" w:rsidRDefault="00650ACB" w:rsidP="00625FCB">
      <w:r>
        <w:t xml:space="preserve">RT10+11 MZB </w:t>
      </w:r>
    </w:p>
    <w:p w14:paraId="16656968" w14:textId="366386A4" w:rsidR="00C877FB" w:rsidRDefault="00C877FB" w:rsidP="00F91651">
      <w:pPr>
        <w:spacing w:line="360" w:lineRule="auto"/>
        <w:jc w:val="both"/>
      </w:pPr>
      <w:r>
        <w:t xml:space="preserve">For the macroinvertebrates, the number of taxa in the </w:t>
      </w:r>
      <w:proofErr w:type="spellStart"/>
      <w:r>
        <w:t>sTAs</w:t>
      </w:r>
      <w:proofErr w:type="spellEnd"/>
      <w:r>
        <w:t xml:space="preserve"> is lower than for diatoms. </w:t>
      </w:r>
      <w:r w:rsidR="00F91651">
        <w:t xml:space="preserve">In the both river types, the number of taxa in the autumn sTA is also markedly higher than for all other </w:t>
      </w:r>
      <w:proofErr w:type="spellStart"/>
      <w:r w:rsidR="00F91651">
        <w:t>sTAs</w:t>
      </w:r>
      <w:proofErr w:type="spellEnd"/>
      <w:r w:rsidR="00F91651">
        <w:t xml:space="preserve">. </w:t>
      </w:r>
    </w:p>
    <w:p w14:paraId="23AD1287" w14:textId="159A5E50" w:rsidR="00F91651" w:rsidRDefault="00F91651" w:rsidP="00F91651">
      <w:pPr>
        <w:spacing w:line="360" w:lineRule="auto"/>
        <w:jc w:val="both"/>
      </w:pPr>
      <w:r>
        <w:t xml:space="preserve">In the combined river type 10 + 11, the spring sTA was nested in the winter sTA and had no overlap with the summer sTA. The summer sTA was most similar to the autumn TA (71.4% overlap) and vice versa (29.4% overlap). Half of the taxa in the winter TA are also part of the autumn TA which is the highest overlap for the winter TA. </w:t>
      </w:r>
    </w:p>
    <w:tbl>
      <w:tblPr>
        <w:tblStyle w:val="TableGrid"/>
        <w:tblW w:w="0" w:type="auto"/>
        <w:tblLook w:val="04A0" w:firstRow="1" w:lastRow="0" w:firstColumn="1" w:lastColumn="0" w:noHBand="0" w:noVBand="1"/>
      </w:tblPr>
      <w:tblGrid>
        <w:gridCol w:w="1869"/>
        <w:gridCol w:w="1638"/>
        <w:gridCol w:w="1868"/>
        <w:gridCol w:w="1859"/>
        <w:gridCol w:w="1828"/>
      </w:tblGrid>
      <w:tr w:rsidR="00C877FB" w14:paraId="7621567A" w14:textId="77777777" w:rsidTr="00C877FB">
        <w:tc>
          <w:tcPr>
            <w:tcW w:w="1869" w:type="dxa"/>
          </w:tcPr>
          <w:p w14:paraId="7C78BF48" w14:textId="77777777" w:rsidR="00C877FB" w:rsidRDefault="00C877FB" w:rsidP="000C244C"/>
        </w:tc>
        <w:tc>
          <w:tcPr>
            <w:tcW w:w="1638" w:type="dxa"/>
          </w:tcPr>
          <w:p w14:paraId="4BE9B351" w14:textId="7BCF9A03" w:rsidR="00C877FB" w:rsidRDefault="00C877FB" w:rsidP="000C244C">
            <w:r>
              <w:t>Spring</w:t>
            </w:r>
          </w:p>
        </w:tc>
        <w:tc>
          <w:tcPr>
            <w:tcW w:w="1868" w:type="dxa"/>
          </w:tcPr>
          <w:p w14:paraId="3F4F329B" w14:textId="0AFAA071" w:rsidR="00C877FB" w:rsidRDefault="00C877FB" w:rsidP="000C244C">
            <w:r>
              <w:t>Summer</w:t>
            </w:r>
          </w:p>
        </w:tc>
        <w:tc>
          <w:tcPr>
            <w:tcW w:w="1859" w:type="dxa"/>
          </w:tcPr>
          <w:p w14:paraId="5C552B1D" w14:textId="77777777" w:rsidR="00C877FB" w:rsidRDefault="00C877FB" w:rsidP="000C244C">
            <w:r>
              <w:t xml:space="preserve">Autumn </w:t>
            </w:r>
          </w:p>
        </w:tc>
        <w:tc>
          <w:tcPr>
            <w:tcW w:w="1828" w:type="dxa"/>
          </w:tcPr>
          <w:p w14:paraId="4A63EA53" w14:textId="77777777" w:rsidR="00C877FB" w:rsidRDefault="00C877FB" w:rsidP="000C244C">
            <w:r>
              <w:t>Winter</w:t>
            </w:r>
          </w:p>
        </w:tc>
      </w:tr>
      <w:tr w:rsidR="00C877FB" w14:paraId="5F6D785A" w14:textId="77777777" w:rsidTr="00C877FB">
        <w:tc>
          <w:tcPr>
            <w:tcW w:w="1869" w:type="dxa"/>
          </w:tcPr>
          <w:p w14:paraId="77FF8ED6" w14:textId="73653EE4" w:rsidR="00C877FB" w:rsidRDefault="00C877FB" w:rsidP="000C244C">
            <w:r>
              <w:t>Spring (n = 2)</w:t>
            </w:r>
          </w:p>
        </w:tc>
        <w:tc>
          <w:tcPr>
            <w:tcW w:w="1638" w:type="dxa"/>
          </w:tcPr>
          <w:p w14:paraId="58DEFC10" w14:textId="75BA4F0E" w:rsidR="00C877FB" w:rsidRDefault="00C877FB" w:rsidP="000C244C">
            <w:r>
              <w:t>100</w:t>
            </w:r>
          </w:p>
        </w:tc>
        <w:tc>
          <w:tcPr>
            <w:tcW w:w="1868" w:type="dxa"/>
          </w:tcPr>
          <w:p w14:paraId="2217A626" w14:textId="24B79CBD" w:rsidR="00C877FB" w:rsidRDefault="00C877FB" w:rsidP="000C244C">
            <w:r>
              <w:t>0</w:t>
            </w:r>
          </w:p>
        </w:tc>
        <w:tc>
          <w:tcPr>
            <w:tcW w:w="1859" w:type="dxa"/>
          </w:tcPr>
          <w:p w14:paraId="004DC3C5" w14:textId="14579CAA" w:rsidR="00C877FB" w:rsidRDefault="00C877FB" w:rsidP="000C244C">
            <w:r>
              <w:t>50</w:t>
            </w:r>
          </w:p>
        </w:tc>
        <w:tc>
          <w:tcPr>
            <w:tcW w:w="1828" w:type="dxa"/>
          </w:tcPr>
          <w:p w14:paraId="425C0660" w14:textId="449D82D4" w:rsidR="00C877FB" w:rsidRDefault="00C877FB" w:rsidP="000C244C">
            <w:r>
              <w:t>100</w:t>
            </w:r>
          </w:p>
        </w:tc>
      </w:tr>
      <w:tr w:rsidR="00C877FB" w14:paraId="00BD3C3F" w14:textId="77777777" w:rsidTr="00C877FB">
        <w:tc>
          <w:tcPr>
            <w:tcW w:w="1869" w:type="dxa"/>
          </w:tcPr>
          <w:p w14:paraId="05AEF701" w14:textId="1369992D" w:rsidR="00C877FB" w:rsidRDefault="00C877FB" w:rsidP="00C877FB">
            <w:r>
              <w:t xml:space="preserve">Summer (n = </w:t>
            </w:r>
            <w:r>
              <w:t>7</w:t>
            </w:r>
            <w:r>
              <w:t>)</w:t>
            </w:r>
          </w:p>
        </w:tc>
        <w:tc>
          <w:tcPr>
            <w:tcW w:w="1638" w:type="dxa"/>
          </w:tcPr>
          <w:p w14:paraId="2245A802" w14:textId="4BCEB06C" w:rsidR="00C877FB" w:rsidRDefault="00C877FB" w:rsidP="00C877FB">
            <w:r>
              <w:t>0</w:t>
            </w:r>
          </w:p>
        </w:tc>
        <w:tc>
          <w:tcPr>
            <w:tcW w:w="1868" w:type="dxa"/>
          </w:tcPr>
          <w:p w14:paraId="2446A0D4" w14:textId="10BE5753" w:rsidR="00C877FB" w:rsidRDefault="00C877FB" w:rsidP="00C877FB">
            <w:r>
              <w:t>100</w:t>
            </w:r>
          </w:p>
        </w:tc>
        <w:tc>
          <w:tcPr>
            <w:tcW w:w="1859" w:type="dxa"/>
          </w:tcPr>
          <w:p w14:paraId="4494B916" w14:textId="6F3D2A3F" w:rsidR="00C877FB" w:rsidRDefault="00C877FB" w:rsidP="00C877FB">
            <w:r>
              <w:t>71.4</w:t>
            </w:r>
          </w:p>
        </w:tc>
        <w:tc>
          <w:tcPr>
            <w:tcW w:w="1828" w:type="dxa"/>
          </w:tcPr>
          <w:p w14:paraId="188D5331" w14:textId="17F62DF3" w:rsidR="00C877FB" w:rsidRDefault="00C877FB" w:rsidP="00C877FB">
            <w:r>
              <w:t>28.6</w:t>
            </w:r>
          </w:p>
        </w:tc>
      </w:tr>
      <w:tr w:rsidR="00C877FB" w14:paraId="242E1A75" w14:textId="77777777" w:rsidTr="00C877FB">
        <w:tc>
          <w:tcPr>
            <w:tcW w:w="1869" w:type="dxa"/>
          </w:tcPr>
          <w:p w14:paraId="76BCEE43" w14:textId="64611717" w:rsidR="00C877FB" w:rsidRDefault="00C877FB" w:rsidP="00C877FB">
            <w:r>
              <w:t xml:space="preserve">Autumn (n = </w:t>
            </w:r>
            <w:r>
              <w:t>17</w:t>
            </w:r>
            <w:r>
              <w:t>)</w:t>
            </w:r>
          </w:p>
        </w:tc>
        <w:tc>
          <w:tcPr>
            <w:tcW w:w="1638" w:type="dxa"/>
          </w:tcPr>
          <w:p w14:paraId="0E635814" w14:textId="31D9032C" w:rsidR="00C877FB" w:rsidRDefault="00C877FB" w:rsidP="00C877FB">
            <w:r>
              <w:t>5.9</w:t>
            </w:r>
          </w:p>
        </w:tc>
        <w:tc>
          <w:tcPr>
            <w:tcW w:w="1868" w:type="dxa"/>
          </w:tcPr>
          <w:p w14:paraId="490D7514" w14:textId="4D6A9AAC" w:rsidR="00C877FB" w:rsidRDefault="00C877FB" w:rsidP="00C877FB">
            <w:r>
              <w:t>29.4</w:t>
            </w:r>
          </w:p>
        </w:tc>
        <w:tc>
          <w:tcPr>
            <w:tcW w:w="1859" w:type="dxa"/>
          </w:tcPr>
          <w:p w14:paraId="2451657F" w14:textId="34E5CE1C" w:rsidR="00C877FB" w:rsidRDefault="00C877FB" w:rsidP="00C877FB">
            <w:r>
              <w:t>100</w:t>
            </w:r>
          </w:p>
        </w:tc>
        <w:tc>
          <w:tcPr>
            <w:tcW w:w="1828" w:type="dxa"/>
          </w:tcPr>
          <w:p w14:paraId="61AF7BD2" w14:textId="7143544A" w:rsidR="00C877FB" w:rsidRDefault="00C877FB" w:rsidP="00C877FB">
            <w:r>
              <w:t>17.6</w:t>
            </w:r>
          </w:p>
        </w:tc>
      </w:tr>
      <w:tr w:rsidR="00C877FB" w14:paraId="0A5D3DD5" w14:textId="77777777" w:rsidTr="00C877FB">
        <w:tc>
          <w:tcPr>
            <w:tcW w:w="1869" w:type="dxa"/>
          </w:tcPr>
          <w:p w14:paraId="0FAE3B37" w14:textId="041068BC" w:rsidR="00C877FB" w:rsidRDefault="00C877FB" w:rsidP="00C877FB">
            <w:r>
              <w:t xml:space="preserve">Winter (n = </w:t>
            </w:r>
            <w:r>
              <w:t>6</w:t>
            </w:r>
            <w:r>
              <w:t>)</w:t>
            </w:r>
          </w:p>
        </w:tc>
        <w:tc>
          <w:tcPr>
            <w:tcW w:w="1638" w:type="dxa"/>
          </w:tcPr>
          <w:p w14:paraId="1074CA5F" w14:textId="5880C286" w:rsidR="00C877FB" w:rsidRDefault="00C877FB" w:rsidP="00C877FB">
            <w:r>
              <w:t>33.3</w:t>
            </w:r>
          </w:p>
        </w:tc>
        <w:tc>
          <w:tcPr>
            <w:tcW w:w="1868" w:type="dxa"/>
          </w:tcPr>
          <w:p w14:paraId="2A226F38" w14:textId="74DAA7EB" w:rsidR="00C877FB" w:rsidRDefault="00C877FB" w:rsidP="00C877FB">
            <w:r>
              <w:t>33.3</w:t>
            </w:r>
          </w:p>
        </w:tc>
        <w:tc>
          <w:tcPr>
            <w:tcW w:w="1859" w:type="dxa"/>
          </w:tcPr>
          <w:p w14:paraId="061180B4" w14:textId="1A8F9BEB" w:rsidR="00C877FB" w:rsidRDefault="00C877FB" w:rsidP="00C877FB">
            <w:r>
              <w:t>50</w:t>
            </w:r>
          </w:p>
        </w:tc>
        <w:tc>
          <w:tcPr>
            <w:tcW w:w="1828" w:type="dxa"/>
          </w:tcPr>
          <w:p w14:paraId="68832632" w14:textId="7B24BF60" w:rsidR="00C877FB" w:rsidRDefault="00C877FB" w:rsidP="00C877FB">
            <w:r>
              <w:t>100</w:t>
            </w:r>
          </w:p>
        </w:tc>
      </w:tr>
    </w:tbl>
    <w:p w14:paraId="73B18643" w14:textId="77777777" w:rsidR="00C877FB" w:rsidRDefault="00C877FB" w:rsidP="00625FCB"/>
    <w:p w14:paraId="2D727747" w14:textId="3ED6A21F" w:rsidR="00650ACB" w:rsidRDefault="00650ACB" w:rsidP="00625FCB">
      <w:r>
        <w:lastRenderedPageBreak/>
        <w:t xml:space="preserve">RT1516 MZB </w:t>
      </w:r>
    </w:p>
    <w:p w14:paraId="4B165F05" w14:textId="22A3B97F" w:rsidR="00F91651" w:rsidRDefault="00F91651" w:rsidP="00625FCB">
      <w:r>
        <w:t xml:space="preserve">In the other combined river type considered here, RT 15 + 16, the summer TA is nested within the spring TA and the winter TA is almost nested within the winter TA. </w:t>
      </w:r>
      <w:proofErr w:type="spellStart"/>
      <w:r w:rsidRPr="00F91651">
        <w:rPr>
          <w:i/>
          <w:iCs/>
        </w:rPr>
        <w:t>Limnoidae</w:t>
      </w:r>
      <w:proofErr w:type="spellEnd"/>
      <w:r>
        <w:t xml:space="preserve"> is the only taxon that occurs in the winter TA but not the autumn TA. Across this divide </w:t>
      </w:r>
      <w:r w:rsidR="002C238F">
        <w:t xml:space="preserve">the </w:t>
      </w:r>
      <w:proofErr w:type="spellStart"/>
      <w:r w:rsidR="002C238F">
        <w:t>sTAs</w:t>
      </w:r>
      <w:proofErr w:type="spellEnd"/>
      <w:r w:rsidR="002C238F">
        <w:t xml:space="preserve"> only share the two taxa which are common to all four: </w:t>
      </w:r>
      <w:r w:rsidR="002C238F" w:rsidRPr="002C238F">
        <w:rPr>
          <w:i/>
          <w:iCs/>
        </w:rPr>
        <w:t>Baetis</w:t>
      </w:r>
      <w:r w:rsidR="002C238F">
        <w:t xml:space="preserve"> and </w:t>
      </w:r>
      <w:r w:rsidR="002C238F" w:rsidRPr="002C238F">
        <w:rPr>
          <w:i/>
          <w:iCs/>
        </w:rPr>
        <w:t>Chironomidae</w:t>
      </w:r>
      <w:r w:rsidR="002C238F">
        <w:rPr>
          <w:i/>
          <w:iCs/>
        </w:rPr>
        <w:t>.</w:t>
      </w:r>
    </w:p>
    <w:p w14:paraId="4E4961A6" w14:textId="77777777" w:rsidR="00F91651" w:rsidRDefault="00F91651" w:rsidP="00625FCB"/>
    <w:tbl>
      <w:tblPr>
        <w:tblStyle w:val="TableGrid"/>
        <w:tblW w:w="0" w:type="auto"/>
        <w:tblLook w:val="04A0" w:firstRow="1" w:lastRow="0" w:firstColumn="1" w:lastColumn="0" w:noHBand="0" w:noVBand="1"/>
      </w:tblPr>
      <w:tblGrid>
        <w:gridCol w:w="1869"/>
        <w:gridCol w:w="1638"/>
        <w:gridCol w:w="1868"/>
        <w:gridCol w:w="1859"/>
        <w:gridCol w:w="1828"/>
      </w:tblGrid>
      <w:tr w:rsidR="00C877FB" w14:paraId="0F87D2E2" w14:textId="77777777" w:rsidTr="000C244C">
        <w:tc>
          <w:tcPr>
            <w:tcW w:w="1869" w:type="dxa"/>
          </w:tcPr>
          <w:p w14:paraId="161E3DC7" w14:textId="77777777" w:rsidR="00C877FB" w:rsidRDefault="00C877FB" w:rsidP="000C244C"/>
        </w:tc>
        <w:tc>
          <w:tcPr>
            <w:tcW w:w="1638" w:type="dxa"/>
          </w:tcPr>
          <w:p w14:paraId="2134A8C7" w14:textId="77777777" w:rsidR="00C877FB" w:rsidRDefault="00C877FB" w:rsidP="000C244C">
            <w:r>
              <w:t>Spring</w:t>
            </w:r>
          </w:p>
        </w:tc>
        <w:tc>
          <w:tcPr>
            <w:tcW w:w="1868" w:type="dxa"/>
          </w:tcPr>
          <w:p w14:paraId="7C3B9795" w14:textId="77777777" w:rsidR="00C877FB" w:rsidRDefault="00C877FB" w:rsidP="000C244C">
            <w:r>
              <w:t>Summer</w:t>
            </w:r>
          </w:p>
        </w:tc>
        <w:tc>
          <w:tcPr>
            <w:tcW w:w="1859" w:type="dxa"/>
          </w:tcPr>
          <w:p w14:paraId="15331F4D" w14:textId="77777777" w:rsidR="00C877FB" w:rsidRDefault="00C877FB" w:rsidP="000C244C">
            <w:r>
              <w:t xml:space="preserve">Autumn </w:t>
            </w:r>
          </w:p>
        </w:tc>
        <w:tc>
          <w:tcPr>
            <w:tcW w:w="1828" w:type="dxa"/>
          </w:tcPr>
          <w:p w14:paraId="65447D4D" w14:textId="77777777" w:rsidR="00C877FB" w:rsidRDefault="00C877FB" w:rsidP="000C244C">
            <w:r>
              <w:t>Winter</w:t>
            </w:r>
          </w:p>
        </w:tc>
      </w:tr>
      <w:tr w:rsidR="00C877FB" w14:paraId="201FD512" w14:textId="77777777" w:rsidTr="000C244C">
        <w:tc>
          <w:tcPr>
            <w:tcW w:w="1869" w:type="dxa"/>
          </w:tcPr>
          <w:p w14:paraId="68B1EEC2" w14:textId="53A2271F" w:rsidR="00C877FB" w:rsidRDefault="00C877FB" w:rsidP="000C244C">
            <w:r>
              <w:t xml:space="preserve">Spring (n = </w:t>
            </w:r>
            <w:r>
              <w:t>4</w:t>
            </w:r>
            <w:r>
              <w:t>)</w:t>
            </w:r>
          </w:p>
        </w:tc>
        <w:tc>
          <w:tcPr>
            <w:tcW w:w="1638" w:type="dxa"/>
          </w:tcPr>
          <w:p w14:paraId="0D216D55" w14:textId="77777777" w:rsidR="00C877FB" w:rsidRDefault="00C877FB" w:rsidP="000C244C">
            <w:r>
              <w:t>100</w:t>
            </w:r>
          </w:p>
        </w:tc>
        <w:tc>
          <w:tcPr>
            <w:tcW w:w="1868" w:type="dxa"/>
          </w:tcPr>
          <w:p w14:paraId="566C1C16" w14:textId="4B526529" w:rsidR="00C877FB" w:rsidRDefault="00C877FB" w:rsidP="000C244C">
            <w:r>
              <w:t>75</w:t>
            </w:r>
          </w:p>
        </w:tc>
        <w:tc>
          <w:tcPr>
            <w:tcW w:w="1859" w:type="dxa"/>
          </w:tcPr>
          <w:p w14:paraId="0C7E5967" w14:textId="77777777" w:rsidR="00C877FB" w:rsidRDefault="00C877FB" w:rsidP="000C244C">
            <w:r>
              <w:t>50</w:t>
            </w:r>
          </w:p>
        </w:tc>
        <w:tc>
          <w:tcPr>
            <w:tcW w:w="1828" w:type="dxa"/>
          </w:tcPr>
          <w:p w14:paraId="66387CFD" w14:textId="6E1ADF0E" w:rsidR="00C877FB" w:rsidRDefault="00C877FB" w:rsidP="000C244C">
            <w:r>
              <w:t>50</w:t>
            </w:r>
          </w:p>
        </w:tc>
      </w:tr>
      <w:tr w:rsidR="00C877FB" w14:paraId="6E10C7B5" w14:textId="77777777" w:rsidTr="000C244C">
        <w:tc>
          <w:tcPr>
            <w:tcW w:w="1869" w:type="dxa"/>
          </w:tcPr>
          <w:p w14:paraId="003DE13E" w14:textId="035319C5" w:rsidR="00C877FB" w:rsidRDefault="00C877FB" w:rsidP="000C244C">
            <w:r>
              <w:t xml:space="preserve">Summer (n = </w:t>
            </w:r>
            <w:r>
              <w:t>3</w:t>
            </w:r>
            <w:r>
              <w:t>)</w:t>
            </w:r>
          </w:p>
        </w:tc>
        <w:tc>
          <w:tcPr>
            <w:tcW w:w="1638" w:type="dxa"/>
          </w:tcPr>
          <w:p w14:paraId="60F6C8DC" w14:textId="7828F4F4" w:rsidR="00C877FB" w:rsidRDefault="00C877FB" w:rsidP="000C244C">
            <w:r>
              <w:t>100</w:t>
            </w:r>
          </w:p>
        </w:tc>
        <w:tc>
          <w:tcPr>
            <w:tcW w:w="1868" w:type="dxa"/>
          </w:tcPr>
          <w:p w14:paraId="768488BF" w14:textId="77777777" w:rsidR="00C877FB" w:rsidRDefault="00C877FB" w:rsidP="000C244C">
            <w:r>
              <w:t>100</w:t>
            </w:r>
          </w:p>
        </w:tc>
        <w:tc>
          <w:tcPr>
            <w:tcW w:w="1859" w:type="dxa"/>
          </w:tcPr>
          <w:p w14:paraId="557EF408" w14:textId="38F95A03" w:rsidR="00C877FB" w:rsidRDefault="00C877FB" w:rsidP="000C244C">
            <w:r>
              <w:t>66.7</w:t>
            </w:r>
          </w:p>
        </w:tc>
        <w:tc>
          <w:tcPr>
            <w:tcW w:w="1828" w:type="dxa"/>
          </w:tcPr>
          <w:p w14:paraId="0264BF6F" w14:textId="2899D5CA" w:rsidR="00C877FB" w:rsidRDefault="00C877FB" w:rsidP="000C244C">
            <w:r>
              <w:t>66.7</w:t>
            </w:r>
          </w:p>
        </w:tc>
      </w:tr>
      <w:tr w:rsidR="00C877FB" w14:paraId="0020494A" w14:textId="77777777" w:rsidTr="000C244C">
        <w:tc>
          <w:tcPr>
            <w:tcW w:w="1869" w:type="dxa"/>
          </w:tcPr>
          <w:p w14:paraId="14CA686A" w14:textId="25B0F52D" w:rsidR="00C877FB" w:rsidRDefault="00C877FB" w:rsidP="000C244C">
            <w:r>
              <w:t>Autumn (n = 1</w:t>
            </w:r>
            <w:r>
              <w:t>6</w:t>
            </w:r>
            <w:r>
              <w:t>)</w:t>
            </w:r>
          </w:p>
        </w:tc>
        <w:tc>
          <w:tcPr>
            <w:tcW w:w="1638" w:type="dxa"/>
          </w:tcPr>
          <w:p w14:paraId="34146614" w14:textId="499A53CF" w:rsidR="00C877FB" w:rsidRDefault="00C877FB" w:rsidP="000C244C">
            <w:r>
              <w:t>12.5</w:t>
            </w:r>
          </w:p>
        </w:tc>
        <w:tc>
          <w:tcPr>
            <w:tcW w:w="1868" w:type="dxa"/>
          </w:tcPr>
          <w:p w14:paraId="0D9CD041" w14:textId="71725EC6" w:rsidR="00C877FB" w:rsidRDefault="00C877FB" w:rsidP="000C244C">
            <w:r>
              <w:t>12.5</w:t>
            </w:r>
          </w:p>
        </w:tc>
        <w:tc>
          <w:tcPr>
            <w:tcW w:w="1859" w:type="dxa"/>
          </w:tcPr>
          <w:p w14:paraId="53EE0FED" w14:textId="77777777" w:rsidR="00C877FB" w:rsidRDefault="00C877FB" w:rsidP="000C244C">
            <w:r>
              <w:t>100</w:t>
            </w:r>
          </w:p>
        </w:tc>
        <w:tc>
          <w:tcPr>
            <w:tcW w:w="1828" w:type="dxa"/>
          </w:tcPr>
          <w:p w14:paraId="6EE5C76B" w14:textId="63C0970E" w:rsidR="00C877FB" w:rsidRDefault="00C877FB" w:rsidP="000C244C">
            <w:r>
              <w:t>18.8</w:t>
            </w:r>
          </w:p>
        </w:tc>
      </w:tr>
      <w:tr w:rsidR="00C877FB" w14:paraId="4B2001B2" w14:textId="77777777" w:rsidTr="000C244C">
        <w:tc>
          <w:tcPr>
            <w:tcW w:w="1869" w:type="dxa"/>
          </w:tcPr>
          <w:p w14:paraId="71A84145" w14:textId="0A8AB0D8" w:rsidR="00C877FB" w:rsidRDefault="00C877FB" w:rsidP="000C244C">
            <w:r>
              <w:t xml:space="preserve">Winter (n = </w:t>
            </w:r>
            <w:r>
              <w:t>4</w:t>
            </w:r>
            <w:r>
              <w:t>)</w:t>
            </w:r>
          </w:p>
        </w:tc>
        <w:tc>
          <w:tcPr>
            <w:tcW w:w="1638" w:type="dxa"/>
          </w:tcPr>
          <w:p w14:paraId="5EDCE668" w14:textId="0D118C1C" w:rsidR="00C877FB" w:rsidRDefault="00C877FB" w:rsidP="000C244C">
            <w:r>
              <w:t>50</w:t>
            </w:r>
          </w:p>
        </w:tc>
        <w:tc>
          <w:tcPr>
            <w:tcW w:w="1868" w:type="dxa"/>
          </w:tcPr>
          <w:p w14:paraId="5B80130C" w14:textId="0ECA9E1F" w:rsidR="00C877FB" w:rsidRDefault="00C877FB" w:rsidP="000C244C">
            <w:r>
              <w:t>50</w:t>
            </w:r>
          </w:p>
        </w:tc>
        <w:tc>
          <w:tcPr>
            <w:tcW w:w="1859" w:type="dxa"/>
          </w:tcPr>
          <w:p w14:paraId="5B67A972" w14:textId="1874ACF7" w:rsidR="00C877FB" w:rsidRDefault="00C877FB" w:rsidP="000C244C">
            <w:r>
              <w:t>75</w:t>
            </w:r>
          </w:p>
        </w:tc>
        <w:tc>
          <w:tcPr>
            <w:tcW w:w="1828" w:type="dxa"/>
          </w:tcPr>
          <w:p w14:paraId="32DC5E72" w14:textId="77777777" w:rsidR="00C877FB" w:rsidRDefault="00C877FB" w:rsidP="000C244C">
            <w:r>
              <w:t>100</w:t>
            </w:r>
          </w:p>
        </w:tc>
      </w:tr>
    </w:tbl>
    <w:p w14:paraId="2FEEA859" w14:textId="50FF0932" w:rsidR="00625FCB" w:rsidRPr="00625FCB" w:rsidRDefault="00625FCB" w:rsidP="00625FCB"/>
    <w:p w14:paraId="0A5363A8" w14:textId="2F30F4E1" w:rsidR="004553D2" w:rsidRDefault="002C238F" w:rsidP="00AB7D78">
      <w:pPr>
        <w:spacing w:line="360" w:lineRule="auto"/>
        <w:jc w:val="both"/>
      </w:pPr>
      <w:r>
        <w:t xml:space="preserve">Several possible mechanisms that could explain the higher richness in diatom </w:t>
      </w:r>
      <w:proofErr w:type="spellStart"/>
      <w:r>
        <w:t>sTAs</w:t>
      </w:r>
      <w:proofErr w:type="spellEnd"/>
      <w:r w:rsidR="00FB0B34">
        <w:t xml:space="preserve"> compared to macroinvertebrate </w:t>
      </w:r>
      <w:proofErr w:type="spellStart"/>
      <w:r w:rsidR="00FB0B34">
        <w:t>sTAs</w:t>
      </w:r>
      <w:proofErr w:type="spellEnd"/>
      <w:r>
        <w:t xml:space="preserve"> </w:t>
      </w:r>
      <w:r w:rsidR="00FB0B34">
        <w:t>as well</w:t>
      </w:r>
      <w:r>
        <w:t xml:space="preserve"> </w:t>
      </w:r>
      <w:r w:rsidR="00FB0B34">
        <w:t>as</w:t>
      </w:r>
      <w:r>
        <w:t xml:space="preserve"> the higher richness in autumn sTA observed for invertebrates are explored below. Given the way we defined </w:t>
      </w:r>
      <w:proofErr w:type="spellStart"/>
      <w:r>
        <w:t>sTAs</w:t>
      </w:r>
      <w:proofErr w:type="spellEnd"/>
      <w:r>
        <w:t xml:space="preserve">, a taxon is more likely to become part of a </w:t>
      </w:r>
      <w:r w:rsidR="00FB0B34">
        <w:t>s</w:t>
      </w:r>
      <w:r>
        <w:t>TA if the total number of samples for that season was lower tha</w:t>
      </w:r>
      <w:r w:rsidR="00FB0B34">
        <w:t>n</w:t>
      </w:r>
      <w:r>
        <w:t xml:space="preserve"> for the other seasons.</w:t>
      </w:r>
      <w:r w:rsidR="004553D2">
        <w:t xml:space="preserve"> The same hold across taxa, if the number of sampled diatom communities was smaller than that of macroinvertebrates, one might expect more taxa in the sTA. </w:t>
      </w:r>
    </w:p>
    <w:p w14:paraId="6F158D61" w14:textId="4B1D7727" w:rsidR="00330451" w:rsidRDefault="00AB7D78" w:rsidP="00AB7D78">
      <w:pPr>
        <w:spacing w:line="360" w:lineRule="auto"/>
        <w:jc w:val="both"/>
      </w:pPr>
      <w:r>
        <w:t xml:space="preserve">The number of sampled communities </w:t>
      </w:r>
      <w:r w:rsidR="004D0032">
        <w:t>does not differ strongly</w:t>
      </w:r>
      <w:r>
        <w:t xml:space="preserve"> between taxa</w:t>
      </w:r>
      <w:r w:rsidR="004D0032">
        <w:t xml:space="preserve"> (</w:t>
      </w:r>
      <w:r w:rsidR="004D0032">
        <w:fldChar w:fldCharType="begin"/>
      </w:r>
      <w:r w:rsidR="004D0032">
        <w:instrText xml:space="preserve"> REF _Ref51242472 \h </w:instrText>
      </w:r>
      <w:r w:rsidR="004D0032">
        <w:fldChar w:fldCharType="separate"/>
      </w:r>
      <w:r w:rsidR="004D0032">
        <w:t xml:space="preserve">Table </w:t>
      </w:r>
      <w:r w:rsidR="004D0032">
        <w:rPr>
          <w:noProof/>
        </w:rPr>
        <w:t>1</w:t>
      </w:r>
      <w:r w:rsidR="004D0032">
        <w:fldChar w:fldCharType="end"/>
      </w:r>
      <w:r w:rsidR="004D0032">
        <w:t>)</w:t>
      </w:r>
      <w:r>
        <w:t xml:space="preserve">. Most importantly, the number of macroinvertebrate samples for one river </w:t>
      </w:r>
      <w:r w:rsidR="002D525E">
        <w:t>type is</w:t>
      </w:r>
      <w:r>
        <w:t xml:space="preserve"> lower than that of diatom samples </w:t>
      </w:r>
      <w:r w:rsidR="004D0032">
        <w:t>in RT11 and RT15</w:t>
      </w:r>
      <w:r>
        <w:t>. Thus</w:t>
      </w:r>
      <w:r w:rsidR="002D525E">
        <w:t>,</w:t>
      </w:r>
      <w:r>
        <w:t xml:space="preserve"> the overall difference in richness can not be explained by </w:t>
      </w:r>
      <w:r w:rsidR="002D525E">
        <w:t xml:space="preserve">the number of sampled communities. </w:t>
      </w:r>
      <w:r w:rsidR="004D0032">
        <w:t>The mean number of taxa in diatom communities was lower than in macroinvertebrate communities. The total number of taxa was also lower for diatoms than for invertebrates. This might partly also be due to the extensive harmonization efforts that summarized some diatom species in larger complexes. However</w:t>
      </w:r>
      <w:r w:rsidR="00330451">
        <w:t>,</w:t>
      </w:r>
      <w:r w:rsidR="004D0032">
        <w:t xml:space="preserve"> it also highlights that there is less variation between sites in river types we considered which is conductive to larger TA. Strong turnover between sites within one stream type</w:t>
      </w:r>
      <w:r w:rsidR="00330451">
        <w:t xml:space="preserve"> or</w:t>
      </w:r>
      <w:r w:rsidR="004D0032">
        <w:t xml:space="preserve"> season leads to low </w:t>
      </w:r>
      <w:r w:rsidR="00330451">
        <w:t xml:space="preserve">average </w:t>
      </w:r>
      <w:r w:rsidR="004D0032">
        <w:t xml:space="preserve">fidelity </w:t>
      </w:r>
      <w:r w:rsidR="00330451">
        <w:t xml:space="preserve">(B value) and consequently to few taxa that are included in the typical assemblages. </w:t>
      </w:r>
    </w:p>
    <w:p w14:paraId="042F2A31" w14:textId="527B3F00" w:rsidR="004553D2" w:rsidRDefault="00330451" w:rsidP="00AB7D78">
      <w:pPr>
        <w:spacing w:line="360" w:lineRule="auto"/>
        <w:jc w:val="both"/>
      </w:pPr>
      <w:r>
        <w:t xml:space="preserve">The methodology we employed is an implicit test of the </w:t>
      </w:r>
      <w:r w:rsidRPr="00330451">
        <w:rPr>
          <w:color w:val="FF0000"/>
        </w:rPr>
        <w:t xml:space="preserve">plausibility </w:t>
      </w:r>
      <w:r>
        <w:t xml:space="preserve">of the river typology. If the communities would vary completely independently of the typology, there would be not typical assemblages in the field and our method would return small or even empty TAs. </w:t>
      </w:r>
    </w:p>
    <w:p w14:paraId="5C1BC8A1" w14:textId="5A541B7F" w:rsidR="004D0032" w:rsidRDefault="004D0032" w:rsidP="004D0032">
      <w:pPr>
        <w:pStyle w:val="Caption"/>
        <w:keepNext/>
      </w:pPr>
      <w:bookmarkStart w:id="0" w:name="_Ref51242472"/>
      <w:r>
        <w:t xml:space="preserve">Table </w:t>
      </w:r>
      <w:fldSimple w:instr=" SEQ Table \* ARABIC ">
        <w:r>
          <w:rPr>
            <w:noProof/>
          </w:rPr>
          <w:t>1</w:t>
        </w:r>
      </w:fldSimple>
      <w:bookmarkEnd w:id="0"/>
      <w:r>
        <w:t xml:space="preserve">: </w:t>
      </w:r>
      <w:proofErr w:type="spellStart"/>
      <w:r>
        <w:t>lalala</w:t>
      </w:r>
      <w:proofErr w:type="spellEnd"/>
    </w:p>
    <w:tbl>
      <w:tblPr>
        <w:tblStyle w:val="TableGrid"/>
        <w:tblW w:w="9196" w:type="dxa"/>
        <w:tblInd w:w="-431" w:type="dxa"/>
        <w:tblLayout w:type="fixed"/>
        <w:tblLook w:val="04A0" w:firstRow="1" w:lastRow="0" w:firstColumn="1" w:lastColumn="0" w:noHBand="0" w:noVBand="1"/>
      </w:tblPr>
      <w:tblGrid>
        <w:gridCol w:w="1911"/>
        <w:gridCol w:w="764"/>
        <w:gridCol w:w="954"/>
        <w:gridCol w:w="997"/>
        <w:gridCol w:w="999"/>
        <w:gridCol w:w="1053"/>
        <w:gridCol w:w="1119"/>
        <w:gridCol w:w="1399"/>
      </w:tblGrid>
      <w:tr w:rsidR="00330451" w14:paraId="4E616C21" w14:textId="6DBC4382" w:rsidTr="009754FD">
        <w:tc>
          <w:tcPr>
            <w:tcW w:w="1911" w:type="dxa"/>
          </w:tcPr>
          <w:p w14:paraId="444925A1" w14:textId="7CB1975F" w:rsidR="00330451" w:rsidRDefault="00330451" w:rsidP="00AB7D78">
            <w:pPr>
              <w:spacing w:line="360" w:lineRule="auto"/>
              <w:jc w:val="both"/>
            </w:pPr>
            <w:r>
              <w:t>Class</w:t>
            </w:r>
          </w:p>
        </w:tc>
        <w:tc>
          <w:tcPr>
            <w:tcW w:w="764" w:type="dxa"/>
          </w:tcPr>
          <w:p w14:paraId="45356855" w14:textId="634290D5" w:rsidR="00330451" w:rsidRDefault="00330451" w:rsidP="00AB7D78">
            <w:pPr>
              <w:spacing w:line="360" w:lineRule="auto"/>
              <w:jc w:val="both"/>
            </w:pPr>
            <w:r>
              <w:t>River Type</w:t>
            </w:r>
          </w:p>
        </w:tc>
        <w:tc>
          <w:tcPr>
            <w:tcW w:w="954" w:type="dxa"/>
          </w:tcPr>
          <w:p w14:paraId="03322A73" w14:textId="5C60F9FA" w:rsidR="00330451" w:rsidRDefault="00330451" w:rsidP="00AB7D78">
            <w:pPr>
              <w:spacing w:line="360" w:lineRule="auto"/>
              <w:jc w:val="both"/>
            </w:pPr>
            <w:r>
              <w:t>Number of sites</w:t>
            </w:r>
          </w:p>
        </w:tc>
        <w:tc>
          <w:tcPr>
            <w:tcW w:w="997" w:type="dxa"/>
          </w:tcPr>
          <w:p w14:paraId="2CF04C5D" w14:textId="78A23E04" w:rsidR="00330451" w:rsidRDefault="00330451" w:rsidP="00AB7D78">
            <w:pPr>
              <w:spacing w:line="360" w:lineRule="auto"/>
              <w:jc w:val="both"/>
            </w:pPr>
            <w:r>
              <w:t>Mean Richness</w:t>
            </w:r>
          </w:p>
        </w:tc>
        <w:tc>
          <w:tcPr>
            <w:tcW w:w="999" w:type="dxa"/>
          </w:tcPr>
          <w:p w14:paraId="19AE4A34" w14:textId="318FEFF1" w:rsidR="00330451" w:rsidRDefault="00330451" w:rsidP="00AB7D78">
            <w:pPr>
              <w:spacing w:line="360" w:lineRule="auto"/>
              <w:jc w:val="both"/>
            </w:pPr>
            <w:r>
              <w:t>Medium Richness</w:t>
            </w:r>
          </w:p>
        </w:tc>
        <w:tc>
          <w:tcPr>
            <w:tcW w:w="1053" w:type="dxa"/>
          </w:tcPr>
          <w:p w14:paraId="163E04CD" w14:textId="1E8ECE55" w:rsidR="00330451" w:rsidRDefault="00330451" w:rsidP="00AB7D78">
            <w:pPr>
              <w:spacing w:line="360" w:lineRule="auto"/>
              <w:jc w:val="both"/>
            </w:pPr>
            <w:r>
              <w:t>Standard deviation</w:t>
            </w:r>
          </w:p>
        </w:tc>
        <w:tc>
          <w:tcPr>
            <w:tcW w:w="1119" w:type="dxa"/>
          </w:tcPr>
          <w:p w14:paraId="5B0D8433" w14:textId="3A171D8D" w:rsidR="00330451" w:rsidRDefault="00330451" w:rsidP="00AB7D78">
            <w:pPr>
              <w:spacing w:line="360" w:lineRule="auto"/>
              <w:jc w:val="both"/>
            </w:pPr>
            <w:r>
              <w:t>Total number of taxa</w:t>
            </w:r>
          </w:p>
        </w:tc>
        <w:tc>
          <w:tcPr>
            <w:tcW w:w="1399" w:type="dxa"/>
          </w:tcPr>
          <w:p w14:paraId="6A76B6DA" w14:textId="36DE9B39" w:rsidR="00330451" w:rsidRDefault="00330451" w:rsidP="00AB7D78">
            <w:pPr>
              <w:spacing w:line="360" w:lineRule="auto"/>
              <w:jc w:val="both"/>
            </w:pPr>
            <w:r>
              <w:t>Samples per season</w:t>
            </w:r>
          </w:p>
        </w:tc>
      </w:tr>
      <w:tr w:rsidR="00330451" w14:paraId="34E23C57" w14:textId="6751C74C" w:rsidTr="009754FD">
        <w:tc>
          <w:tcPr>
            <w:tcW w:w="1911" w:type="dxa"/>
          </w:tcPr>
          <w:p w14:paraId="0A7E1385" w14:textId="25C3CCFC" w:rsidR="00330451" w:rsidRDefault="00330451" w:rsidP="00AB7D78">
            <w:pPr>
              <w:spacing w:line="360" w:lineRule="auto"/>
              <w:jc w:val="both"/>
            </w:pPr>
            <w:r>
              <w:lastRenderedPageBreak/>
              <w:t>Macroinvertebrate</w:t>
            </w:r>
          </w:p>
        </w:tc>
        <w:tc>
          <w:tcPr>
            <w:tcW w:w="764" w:type="dxa"/>
          </w:tcPr>
          <w:p w14:paraId="21BF8D84" w14:textId="2591EEAB" w:rsidR="00330451" w:rsidRDefault="00330451" w:rsidP="00AB7D78">
            <w:pPr>
              <w:spacing w:line="360" w:lineRule="auto"/>
              <w:jc w:val="both"/>
            </w:pPr>
            <w:r>
              <w:t>RT10 + 11</w:t>
            </w:r>
          </w:p>
        </w:tc>
        <w:tc>
          <w:tcPr>
            <w:tcW w:w="954" w:type="dxa"/>
          </w:tcPr>
          <w:p w14:paraId="4784DFE9" w14:textId="39E40ACE" w:rsidR="00330451" w:rsidRPr="002D525E" w:rsidRDefault="00330451" w:rsidP="00AB7D78">
            <w:pPr>
              <w:spacing w:line="360" w:lineRule="auto"/>
              <w:jc w:val="both"/>
            </w:pPr>
            <w:r>
              <w:t>385</w:t>
            </w:r>
          </w:p>
        </w:tc>
        <w:tc>
          <w:tcPr>
            <w:tcW w:w="997" w:type="dxa"/>
          </w:tcPr>
          <w:p w14:paraId="4CA4BD45" w14:textId="36932F28" w:rsidR="00330451" w:rsidRDefault="00330451" w:rsidP="00AB7D78">
            <w:pPr>
              <w:spacing w:line="360" w:lineRule="auto"/>
              <w:jc w:val="both"/>
            </w:pPr>
            <w:r w:rsidRPr="002D525E">
              <w:t>32.7</w:t>
            </w:r>
          </w:p>
        </w:tc>
        <w:tc>
          <w:tcPr>
            <w:tcW w:w="999" w:type="dxa"/>
          </w:tcPr>
          <w:p w14:paraId="66FDE25F" w14:textId="7452C91A" w:rsidR="00330451" w:rsidRDefault="00330451" w:rsidP="00AB7D78">
            <w:pPr>
              <w:spacing w:line="360" w:lineRule="auto"/>
              <w:jc w:val="both"/>
            </w:pPr>
            <w:r w:rsidRPr="002D525E">
              <w:t>32.0</w:t>
            </w:r>
          </w:p>
        </w:tc>
        <w:tc>
          <w:tcPr>
            <w:tcW w:w="1053" w:type="dxa"/>
          </w:tcPr>
          <w:p w14:paraId="2692898E" w14:textId="2B164C1A" w:rsidR="00330451" w:rsidRDefault="00330451" w:rsidP="00AB7D78">
            <w:pPr>
              <w:spacing w:line="360" w:lineRule="auto"/>
              <w:jc w:val="both"/>
            </w:pPr>
            <w:r w:rsidRPr="002D525E">
              <w:t>11.7</w:t>
            </w:r>
          </w:p>
        </w:tc>
        <w:tc>
          <w:tcPr>
            <w:tcW w:w="1119" w:type="dxa"/>
          </w:tcPr>
          <w:p w14:paraId="063B68E2" w14:textId="4B5812D8" w:rsidR="00330451" w:rsidRPr="002D525E" w:rsidRDefault="00330451" w:rsidP="00AB7D78">
            <w:pPr>
              <w:spacing w:line="360" w:lineRule="auto"/>
              <w:jc w:val="both"/>
            </w:pPr>
            <w:r>
              <w:t>257</w:t>
            </w:r>
          </w:p>
        </w:tc>
        <w:tc>
          <w:tcPr>
            <w:tcW w:w="1399" w:type="dxa"/>
          </w:tcPr>
          <w:p w14:paraId="4757A359" w14:textId="31F8259F" w:rsidR="00330451" w:rsidRDefault="00330451" w:rsidP="00AB7D78">
            <w:pPr>
              <w:spacing w:line="360" w:lineRule="auto"/>
              <w:jc w:val="both"/>
            </w:pPr>
            <w:r>
              <w:t>55/188/103/39</w:t>
            </w:r>
          </w:p>
        </w:tc>
      </w:tr>
      <w:tr w:rsidR="00330451" w14:paraId="655AA15A" w14:textId="08226706" w:rsidTr="009754FD">
        <w:tc>
          <w:tcPr>
            <w:tcW w:w="1911" w:type="dxa"/>
          </w:tcPr>
          <w:p w14:paraId="6631A9AC" w14:textId="2833B9B6" w:rsidR="00330451" w:rsidRDefault="00330451" w:rsidP="00AB7D78">
            <w:pPr>
              <w:spacing w:line="360" w:lineRule="auto"/>
              <w:jc w:val="both"/>
            </w:pPr>
            <w:r>
              <w:t>Macroinvertebrate</w:t>
            </w:r>
          </w:p>
        </w:tc>
        <w:tc>
          <w:tcPr>
            <w:tcW w:w="764" w:type="dxa"/>
          </w:tcPr>
          <w:p w14:paraId="1A47240C" w14:textId="756C9D9C" w:rsidR="00330451" w:rsidRDefault="00330451" w:rsidP="00AB7D78">
            <w:pPr>
              <w:spacing w:line="360" w:lineRule="auto"/>
              <w:jc w:val="both"/>
            </w:pPr>
            <w:r>
              <w:t>RT 15 + 16</w:t>
            </w:r>
          </w:p>
        </w:tc>
        <w:tc>
          <w:tcPr>
            <w:tcW w:w="954" w:type="dxa"/>
          </w:tcPr>
          <w:p w14:paraId="3134AC7E" w14:textId="4662E565" w:rsidR="00330451" w:rsidRPr="002D525E" w:rsidRDefault="00330451" w:rsidP="00AB7D78">
            <w:pPr>
              <w:spacing w:line="360" w:lineRule="auto"/>
              <w:jc w:val="both"/>
            </w:pPr>
            <w:r>
              <w:t>112</w:t>
            </w:r>
          </w:p>
        </w:tc>
        <w:tc>
          <w:tcPr>
            <w:tcW w:w="997" w:type="dxa"/>
          </w:tcPr>
          <w:p w14:paraId="363E9DCD" w14:textId="4F8EB7F9" w:rsidR="00330451" w:rsidRDefault="00330451" w:rsidP="00AB7D78">
            <w:pPr>
              <w:spacing w:line="360" w:lineRule="auto"/>
              <w:jc w:val="both"/>
            </w:pPr>
            <w:r w:rsidRPr="002D525E">
              <w:t>22.9</w:t>
            </w:r>
          </w:p>
        </w:tc>
        <w:tc>
          <w:tcPr>
            <w:tcW w:w="999" w:type="dxa"/>
          </w:tcPr>
          <w:p w14:paraId="1B389937" w14:textId="74B8E78A" w:rsidR="00330451" w:rsidRDefault="00330451" w:rsidP="00AB7D78">
            <w:pPr>
              <w:spacing w:line="360" w:lineRule="auto"/>
              <w:jc w:val="both"/>
            </w:pPr>
            <w:r w:rsidRPr="002D525E">
              <w:t>23.0</w:t>
            </w:r>
          </w:p>
        </w:tc>
        <w:tc>
          <w:tcPr>
            <w:tcW w:w="1053" w:type="dxa"/>
          </w:tcPr>
          <w:p w14:paraId="3570C2B8" w14:textId="102D27C8" w:rsidR="00330451" w:rsidRDefault="00330451" w:rsidP="00AB7D78">
            <w:pPr>
              <w:spacing w:line="360" w:lineRule="auto"/>
              <w:jc w:val="both"/>
            </w:pPr>
            <w:r w:rsidRPr="002D525E">
              <w:t>9.</w:t>
            </w:r>
            <w:r>
              <w:t>3</w:t>
            </w:r>
          </w:p>
        </w:tc>
        <w:tc>
          <w:tcPr>
            <w:tcW w:w="1119" w:type="dxa"/>
          </w:tcPr>
          <w:p w14:paraId="765214AC" w14:textId="6C15B4F4" w:rsidR="00330451" w:rsidRPr="002D525E" w:rsidRDefault="00330451" w:rsidP="00AB7D78">
            <w:pPr>
              <w:spacing w:line="360" w:lineRule="auto"/>
              <w:jc w:val="both"/>
            </w:pPr>
            <w:r>
              <w:t>113</w:t>
            </w:r>
          </w:p>
        </w:tc>
        <w:tc>
          <w:tcPr>
            <w:tcW w:w="1399" w:type="dxa"/>
          </w:tcPr>
          <w:p w14:paraId="2AD714EB" w14:textId="286D2596" w:rsidR="00330451" w:rsidRDefault="00330451" w:rsidP="00AB7D78">
            <w:pPr>
              <w:spacing w:line="360" w:lineRule="auto"/>
              <w:jc w:val="both"/>
            </w:pPr>
            <w:r>
              <w:t>7/42/27/36</w:t>
            </w:r>
          </w:p>
        </w:tc>
      </w:tr>
      <w:tr w:rsidR="00330451" w14:paraId="4CD90EAE" w14:textId="184A36A4" w:rsidTr="009754FD">
        <w:tc>
          <w:tcPr>
            <w:tcW w:w="1911" w:type="dxa"/>
          </w:tcPr>
          <w:p w14:paraId="60ECF9BF" w14:textId="70EC7994" w:rsidR="00330451" w:rsidRDefault="00330451" w:rsidP="00AB7D78">
            <w:pPr>
              <w:spacing w:line="360" w:lineRule="auto"/>
              <w:jc w:val="both"/>
            </w:pPr>
            <w:r>
              <w:t>Diatom</w:t>
            </w:r>
          </w:p>
        </w:tc>
        <w:tc>
          <w:tcPr>
            <w:tcW w:w="764" w:type="dxa"/>
          </w:tcPr>
          <w:p w14:paraId="7E35FE7B" w14:textId="76086057" w:rsidR="00330451" w:rsidRDefault="00330451" w:rsidP="00AB7D78">
            <w:pPr>
              <w:spacing w:line="360" w:lineRule="auto"/>
              <w:jc w:val="both"/>
            </w:pPr>
            <w:r>
              <w:t>RT 11</w:t>
            </w:r>
          </w:p>
        </w:tc>
        <w:tc>
          <w:tcPr>
            <w:tcW w:w="954" w:type="dxa"/>
          </w:tcPr>
          <w:p w14:paraId="004F270E" w14:textId="67213AC1" w:rsidR="00330451" w:rsidRDefault="00330451" w:rsidP="00AB7D78">
            <w:pPr>
              <w:spacing w:line="360" w:lineRule="auto"/>
              <w:jc w:val="both"/>
            </w:pPr>
            <w:r>
              <w:t>265</w:t>
            </w:r>
          </w:p>
        </w:tc>
        <w:tc>
          <w:tcPr>
            <w:tcW w:w="997" w:type="dxa"/>
          </w:tcPr>
          <w:p w14:paraId="7870BCAD" w14:textId="5905857E" w:rsidR="00330451" w:rsidRDefault="00330451" w:rsidP="00AB7D78">
            <w:pPr>
              <w:spacing w:line="360" w:lineRule="auto"/>
              <w:jc w:val="both"/>
            </w:pPr>
            <w:r>
              <w:t>23.3</w:t>
            </w:r>
          </w:p>
        </w:tc>
        <w:tc>
          <w:tcPr>
            <w:tcW w:w="999" w:type="dxa"/>
          </w:tcPr>
          <w:p w14:paraId="18032CC4" w14:textId="56B02A37" w:rsidR="00330451" w:rsidRDefault="00330451" w:rsidP="00AB7D78">
            <w:pPr>
              <w:spacing w:line="360" w:lineRule="auto"/>
              <w:jc w:val="both"/>
            </w:pPr>
            <w:r w:rsidRPr="002D525E">
              <w:t>22.5</w:t>
            </w:r>
          </w:p>
        </w:tc>
        <w:tc>
          <w:tcPr>
            <w:tcW w:w="1053" w:type="dxa"/>
          </w:tcPr>
          <w:p w14:paraId="6C8C4EA4" w14:textId="058C492E" w:rsidR="00330451" w:rsidRDefault="00330451" w:rsidP="00AB7D78">
            <w:pPr>
              <w:spacing w:line="360" w:lineRule="auto"/>
              <w:jc w:val="both"/>
            </w:pPr>
            <w:r>
              <w:t>7.1</w:t>
            </w:r>
          </w:p>
        </w:tc>
        <w:tc>
          <w:tcPr>
            <w:tcW w:w="1119" w:type="dxa"/>
          </w:tcPr>
          <w:p w14:paraId="6C179FA9" w14:textId="5000D3FD" w:rsidR="00330451" w:rsidRDefault="00330451" w:rsidP="00AB7D78">
            <w:pPr>
              <w:spacing w:line="360" w:lineRule="auto"/>
              <w:jc w:val="both"/>
            </w:pPr>
            <w:r>
              <w:t>140</w:t>
            </w:r>
          </w:p>
        </w:tc>
        <w:tc>
          <w:tcPr>
            <w:tcW w:w="1399" w:type="dxa"/>
          </w:tcPr>
          <w:p w14:paraId="721EFF0D" w14:textId="6E22B3A3" w:rsidR="00330451" w:rsidRDefault="00330451" w:rsidP="00AB7D78">
            <w:pPr>
              <w:spacing w:line="360" w:lineRule="auto"/>
              <w:jc w:val="both"/>
            </w:pPr>
            <w:r>
              <w:t>0/157/52/13</w:t>
            </w:r>
          </w:p>
        </w:tc>
      </w:tr>
      <w:tr w:rsidR="00330451" w14:paraId="115A5418" w14:textId="2A2B8EE2" w:rsidTr="009754FD">
        <w:tc>
          <w:tcPr>
            <w:tcW w:w="1911" w:type="dxa"/>
          </w:tcPr>
          <w:p w14:paraId="3E14FAE2" w14:textId="0E36370B" w:rsidR="00330451" w:rsidRDefault="00330451" w:rsidP="00AB7D78">
            <w:pPr>
              <w:spacing w:line="360" w:lineRule="auto"/>
              <w:jc w:val="both"/>
            </w:pPr>
            <w:r>
              <w:t>Diatom</w:t>
            </w:r>
          </w:p>
        </w:tc>
        <w:tc>
          <w:tcPr>
            <w:tcW w:w="764" w:type="dxa"/>
          </w:tcPr>
          <w:p w14:paraId="45E9897E" w14:textId="3C087AE5" w:rsidR="00330451" w:rsidRDefault="00330451" w:rsidP="00AB7D78">
            <w:pPr>
              <w:spacing w:line="360" w:lineRule="auto"/>
              <w:jc w:val="both"/>
            </w:pPr>
            <w:r>
              <w:t>RT 15</w:t>
            </w:r>
          </w:p>
        </w:tc>
        <w:tc>
          <w:tcPr>
            <w:tcW w:w="954" w:type="dxa"/>
          </w:tcPr>
          <w:p w14:paraId="66A1992B" w14:textId="4F68C783" w:rsidR="00330451" w:rsidRDefault="00330451" w:rsidP="00AB7D78">
            <w:pPr>
              <w:spacing w:line="360" w:lineRule="auto"/>
              <w:jc w:val="both"/>
            </w:pPr>
            <w:r>
              <w:t>230</w:t>
            </w:r>
          </w:p>
        </w:tc>
        <w:tc>
          <w:tcPr>
            <w:tcW w:w="997" w:type="dxa"/>
          </w:tcPr>
          <w:p w14:paraId="2B4C7500" w14:textId="58C2708B" w:rsidR="00330451" w:rsidRDefault="00330451" w:rsidP="00AB7D78">
            <w:pPr>
              <w:spacing w:line="360" w:lineRule="auto"/>
              <w:jc w:val="both"/>
            </w:pPr>
            <w:r w:rsidRPr="002D525E">
              <w:t>17.1</w:t>
            </w:r>
          </w:p>
        </w:tc>
        <w:tc>
          <w:tcPr>
            <w:tcW w:w="999" w:type="dxa"/>
          </w:tcPr>
          <w:p w14:paraId="2F314CC1" w14:textId="36646827" w:rsidR="00330451" w:rsidRDefault="00330451" w:rsidP="00AB7D78">
            <w:pPr>
              <w:spacing w:line="360" w:lineRule="auto"/>
              <w:jc w:val="both"/>
            </w:pPr>
            <w:r w:rsidRPr="002D525E">
              <w:t>16.0</w:t>
            </w:r>
          </w:p>
        </w:tc>
        <w:tc>
          <w:tcPr>
            <w:tcW w:w="1053" w:type="dxa"/>
          </w:tcPr>
          <w:p w14:paraId="08AB25B9" w14:textId="48C54DD8" w:rsidR="00330451" w:rsidRDefault="00330451" w:rsidP="00AB7D78">
            <w:pPr>
              <w:spacing w:line="360" w:lineRule="auto"/>
              <w:jc w:val="both"/>
            </w:pPr>
            <w:r>
              <w:t>6.5</w:t>
            </w:r>
          </w:p>
        </w:tc>
        <w:tc>
          <w:tcPr>
            <w:tcW w:w="1119" w:type="dxa"/>
          </w:tcPr>
          <w:p w14:paraId="40179FE7" w14:textId="5D8EE9B7" w:rsidR="00330451" w:rsidRDefault="00330451" w:rsidP="00AB7D78">
            <w:pPr>
              <w:spacing w:line="360" w:lineRule="auto"/>
              <w:jc w:val="both"/>
            </w:pPr>
            <w:r>
              <w:t>99</w:t>
            </w:r>
          </w:p>
        </w:tc>
        <w:tc>
          <w:tcPr>
            <w:tcW w:w="1399" w:type="dxa"/>
          </w:tcPr>
          <w:p w14:paraId="64154300" w14:textId="1DB79E57" w:rsidR="00330451" w:rsidRDefault="00330451" w:rsidP="00AB7D78">
            <w:pPr>
              <w:spacing w:line="360" w:lineRule="auto"/>
              <w:jc w:val="both"/>
            </w:pPr>
            <w:r>
              <w:t>0/82/19/52</w:t>
            </w:r>
          </w:p>
        </w:tc>
      </w:tr>
    </w:tbl>
    <w:p w14:paraId="1EB65605" w14:textId="77777777" w:rsidR="009754FD" w:rsidRDefault="009754FD" w:rsidP="009754FD">
      <w:pPr>
        <w:spacing w:line="360" w:lineRule="auto"/>
        <w:jc w:val="both"/>
      </w:pPr>
    </w:p>
    <w:p w14:paraId="02CC85E7" w14:textId="23F8A7AF" w:rsidR="00B26D31" w:rsidRDefault="00B26D31" w:rsidP="009754FD">
      <w:pPr>
        <w:spacing w:line="360" w:lineRule="auto"/>
        <w:jc w:val="both"/>
      </w:pPr>
      <w:r>
        <w:t xml:space="preserve">There is some indication of a weak positive relationship between number of samples and size of the TA. This is the opposite of what we hypothesized. Note however, that a negative or no relationship are also well within the 95% Confidence Interval. </w:t>
      </w:r>
      <w:proofErr w:type="gramStart"/>
      <w:r>
        <w:t>Additionally</w:t>
      </w:r>
      <w:proofErr w:type="gramEnd"/>
      <w:r>
        <w:t xml:space="preserve"> the higher number of taxa in diatom </w:t>
      </w:r>
      <w:proofErr w:type="spellStart"/>
      <w:r>
        <w:t>sTAs</w:t>
      </w:r>
      <w:proofErr w:type="spellEnd"/>
      <w:r>
        <w:t xml:space="preserve"> is well visible in Figure X and is independent of the sample size. </w:t>
      </w:r>
    </w:p>
    <w:p w14:paraId="3FC5B884" w14:textId="1647251D" w:rsidR="00C877FB" w:rsidRDefault="00B26D31" w:rsidP="009754FD">
      <w:pPr>
        <w:spacing w:line="360" w:lineRule="auto"/>
        <w:jc w:val="both"/>
      </w:pPr>
      <w:r>
        <w:rPr>
          <w:noProof/>
        </w:rPr>
        <w:drawing>
          <wp:inline distT="0" distB="0" distL="0" distR="0" wp14:anchorId="42678A20" wp14:editId="6BF0CCB8">
            <wp:extent cx="5760720" cy="28524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2852420"/>
                    </a:xfrm>
                    <a:prstGeom prst="rect">
                      <a:avLst/>
                    </a:prstGeom>
                  </pic:spPr>
                </pic:pic>
              </a:graphicData>
            </a:graphic>
          </wp:inline>
        </w:drawing>
      </w:r>
      <w:r w:rsidR="002D525E">
        <w:tab/>
      </w:r>
    </w:p>
    <w:p w14:paraId="7BE80C0D" w14:textId="77777777" w:rsidR="00C877FB" w:rsidRPr="00C877FB" w:rsidRDefault="00C877FB" w:rsidP="00C877FB"/>
    <w:p w14:paraId="71B93264" w14:textId="0C9B469A" w:rsidR="008D0623" w:rsidRDefault="009E3F53" w:rsidP="008D0623">
      <w:pPr>
        <w:spacing w:line="360" w:lineRule="auto"/>
        <w:jc w:val="both"/>
      </w:pPr>
      <w:r>
        <w:t xml:space="preserve">The two following pages show the typical assemblages and their connections. </w:t>
      </w:r>
    </w:p>
    <w:p w14:paraId="3BF02683" w14:textId="07023BA5" w:rsidR="009E3F53" w:rsidRDefault="009E3F53" w:rsidP="008D0623">
      <w:pPr>
        <w:spacing w:line="360" w:lineRule="auto"/>
        <w:jc w:val="both"/>
      </w:pPr>
    </w:p>
    <w:p w14:paraId="1166F585" w14:textId="77777777" w:rsidR="009E3F53" w:rsidRDefault="009E3F53" w:rsidP="008D0623">
      <w:pPr>
        <w:spacing w:line="360" w:lineRule="auto"/>
        <w:jc w:val="both"/>
        <w:sectPr w:rsidR="009E3F53" w:rsidSect="004E411F">
          <w:pgSz w:w="11906" w:h="16838"/>
          <w:pgMar w:top="1417" w:right="1417" w:bottom="1134" w:left="1417" w:header="708" w:footer="708" w:gutter="0"/>
          <w:cols w:space="708"/>
          <w:docGrid w:linePitch="360"/>
        </w:sectPr>
      </w:pPr>
    </w:p>
    <w:p w14:paraId="7B50F161" w14:textId="77777777" w:rsidR="00950630" w:rsidRDefault="00950630" w:rsidP="009E3F53">
      <w:pPr>
        <w:spacing w:line="360" w:lineRule="auto"/>
        <w:jc w:val="both"/>
      </w:pPr>
    </w:p>
    <w:p w14:paraId="6FBAAA1A" w14:textId="77AFE047" w:rsidR="00950630" w:rsidRDefault="00950630" w:rsidP="009E3F53">
      <w:pPr>
        <w:spacing w:line="360" w:lineRule="auto"/>
        <w:jc w:val="both"/>
      </w:pPr>
    </w:p>
    <w:p w14:paraId="51415E16" w14:textId="77777777" w:rsidR="00950630" w:rsidRDefault="00950630" w:rsidP="009E3F53">
      <w:pPr>
        <w:spacing w:line="360" w:lineRule="auto"/>
        <w:jc w:val="both"/>
      </w:pPr>
    </w:p>
    <w:p w14:paraId="066C1A1D" w14:textId="77777777" w:rsidR="00950630" w:rsidRDefault="00950630" w:rsidP="009E3F53">
      <w:pPr>
        <w:spacing w:line="360" w:lineRule="auto"/>
        <w:jc w:val="both"/>
      </w:pPr>
    </w:p>
    <w:p w14:paraId="3A43D1CD" w14:textId="77777777" w:rsidR="00950630" w:rsidRDefault="00950630" w:rsidP="009E3F53">
      <w:pPr>
        <w:spacing w:line="360" w:lineRule="auto"/>
        <w:jc w:val="both"/>
      </w:pPr>
    </w:p>
    <w:p w14:paraId="32A060AA" w14:textId="77777777" w:rsidR="00950630" w:rsidRDefault="00950630" w:rsidP="009E3F53">
      <w:pPr>
        <w:spacing w:line="360" w:lineRule="auto"/>
        <w:jc w:val="both"/>
      </w:pPr>
    </w:p>
    <w:p w14:paraId="7586938C" w14:textId="77777777" w:rsidR="0004352A" w:rsidRDefault="0004352A" w:rsidP="0004352A">
      <w:pPr>
        <w:keepNext/>
        <w:spacing w:line="360" w:lineRule="auto"/>
        <w:jc w:val="both"/>
      </w:pPr>
      <w:r>
        <w:rPr>
          <w:noProof/>
        </w:rPr>
        <w:lastRenderedPageBreak/>
        <w:drawing>
          <wp:inline distT="0" distB="0" distL="0" distR="0" wp14:anchorId="4BD454AC" wp14:editId="5FAB55E0">
            <wp:extent cx="9072245" cy="4053205"/>
            <wp:effectExtent l="0" t="0" r="0"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072245" cy="4053205"/>
                    </a:xfrm>
                    <a:prstGeom prst="rect">
                      <a:avLst/>
                    </a:prstGeom>
                    <a:noFill/>
                    <a:ln>
                      <a:noFill/>
                    </a:ln>
                  </pic:spPr>
                </pic:pic>
              </a:graphicData>
            </a:graphic>
          </wp:inline>
        </w:drawing>
      </w:r>
    </w:p>
    <w:p w14:paraId="7BB6EA6D" w14:textId="0CD14C03" w:rsidR="009E3F53" w:rsidRPr="00325490" w:rsidRDefault="0004352A" w:rsidP="0004352A">
      <w:pPr>
        <w:pStyle w:val="Caption"/>
        <w:jc w:val="both"/>
      </w:pPr>
      <w:r>
        <w:t xml:space="preserve">Figure </w:t>
      </w:r>
      <w:fldSimple w:instr=" SEQ Figure \* ARABIC ">
        <w:r>
          <w:rPr>
            <w:noProof/>
          </w:rPr>
          <w:t>1</w:t>
        </w:r>
      </w:fldSimple>
      <w:r>
        <w:t>: Seasonal typical macroinvertebrate assemblages</w:t>
      </w:r>
      <w:r w:rsidR="00B83B27">
        <w:t xml:space="preserve"> (sTA)</w:t>
      </w:r>
      <w:r>
        <w:t>.</w:t>
      </w:r>
      <w:r w:rsidR="00B83B27">
        <w:t xml:space="preserve"> The figure can be read as follows: The sTA for RT10+11 winter consists of all taxa that are present in all RT10+11 </w:t>
      </w:r>
      <w:proofErr w:type="spellStart"/>
      <w:r w:rsidR="00B83B27">
        <w:t>sTAs</w:t>
      </w:r>
      <w:proofErr w:type="spellEnd"/>
      <w:r w:rsidR="00B83B27">
        <w:t xml:space="preserve"> (none),  all taxa that are present in spring and winter (</w:t>
      </w:r>
      <w:r w:rsidR="00B83B27" w:rsidRPr="00B83B27">
        <w:t>Baetis</w:t>
      </w:r>
      <w:r w:rsidR="00B83B27">
        <w:t xml:space="preserve"> and Limnephilidae), taxa that are present in summer and winter (Chironomidae and Limoniidae),  taxa that are present in autumn and winter (Baetis, Leuctra, Chironomidae) and taxa that are only present in winter (Rhithrogena). The numbers in the yellow boxes show the number of taxa that are associated with a knot. </w:t>
      </w:r>
    </w:p>
    <w:sectPr w:rsidR="009E3F53" w:rsidRPr="00325490" w:rsidSect="009E3F53">
      <w:pgSz w:w="16838" w:h="11906" w:orient="landscape"/>
      <w:pgMar w:top="1417" w:right="1134"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490"/>
    <w:rsid w:val="0002160F"/>
    <w:rsid w:val="0004352A"/>
    <w:rsid w:val="000A0BC8"/>
    <w:rsid w:val="000A2A66"/>
    <w:rsid w:val="000A486C"/>
    <w:rsid w:val="00174966"/>
    <w:rsid w:val="001E6414"/>
    <w:rsid w:val="0025606B"/>
    <w:rsid w:val="002C238F"/>
    <w:rsid w:val="002C4392"/>
    <w:rsid w:val="002D525E"/>
    <w:rsid w:val="00325490"/>
    <w:rsid w:val="00330451"/>
    <w:rsid w:val="0036006C"/>
    <w:rsid w:val="00370208"/>
    <w:rsid w:val="003C00CE"/>
    <w:rsid w:val="00430873"/>
    <w:rsid w:val="004553D2"/>
    <w:rsid w:val="004D0032"/>
    <w:rsid w:val="004E411F"/>
    <w:rsid w:val="004F345F"/>
    <w:rsid w:val="00576A81"/>
    <w:rsid w:val="00623323"/>
    <w:rsid w:val="00625FCB"/>
    <w:rsid w:val="00650ACB"/>
    <w:rsid w:val="007C56D7"/>
    <w:rsid w:val="00850DDA"/>
    <w:rsid w:val="008D0623"/>
    <w:rsid w:val="00950630"/>
    <w:rsid w:val="009754FD"/>
    <w:rsid w:val="00996EE9"/>
    <w:rsid w:val="009D2FFE"/>
    <w:rsid w:val="009D4B94"/>
    <w:rsid w:val="009E3F53"/>
    <w:rsid w:val="009F54A2"/>
    <w:rsid w:val="00AB7D78"/>
    <w:rsid w:val="00B26D31"/>
    <w:rsid w:val="00B83B27"/>
    <w:rsid w:val="00C34A1C"/>
    <w:rsid w:val="00C526FD"/>
    <w:rsid w:val="00C54505"/>
    <w:rsid w:val="00C877FB"/>
    <w:rsid w:val="00CA54F9"/>
    <w:rsid w:val="00D06D38"/>
    <w:rsid w:val="00D452FF"/>
    <w:rsid w:val="00D9750E"/>
    <w:rsid w:val="00E62CA8"/>
    <w:rsid w:val="00E74D85"/>
    <w:rsid w:val="00F17F6F"/>
    <w:rsid w:val="00F56B8D"/>
    <w:rsid w:val="00F91651"/>
    <w:rsid w:val="00FB0B34"/>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E7791"/>
  <w15:chartTrackingRefBased/>
  <w15:docId w15:val="{113C9FA9-DA46-4195-B201-5F8F1E939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77FB"/>
  </w:style>
  <w:style w:type="paragraph" w:styleId="Heading1">
    <w:name w:val="heading 1"/>
    <w:basedOn w:val="Normal"/>
    <w:next w:val="Normal"/>
    <w:link w:val="Heading1Char"/>
    <w:uiPriority w:val="9"/>
    <w:qFormat/>
    <w:rsid w:val="003254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34A1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34A1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34A1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5490"/>
    <w:rPr>
      <w:rFonts w:asciiTheme="majorHAnsi" w:eastAsiaTheme="majorEastAsia" w:hAnsiTheme="majorHAnsi" w:cstheme="majorBidi"/>
      <w:color w:val="2F5496" w:themeColor="accent1" w:themeShade="BF"/>
      <w:sz w:val="32"/>
      <w:szCs w:val="32"/>
    </w:rPr>
  </w:style>
  <w:style w:type="character" w:customStyle="1" w:styleId="hgkelc">
    <w:name w:val="hgkelc"/>
    <w:basedOn w:val="DefaultParagraphFont"/>
    <w:rsid w:val="002C4392"/>
  </w:style>
  <w:style w:type="table" w:styleId="TableGrid">
    <w:name w:val="Table Grid"/>
    <w:basedOn w:val="TableNormal"/>
    <w:uiPriority w:val="39"/>
    <w:rsid w:val="009F54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96EE9"/>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C34A1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34A1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C34A1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7377037">
      <w:bodyDiv w:val="1"/>
      <w:marLeft w:val="0"/>
      <w:marRight w:val="0"/>
      <w:marTop w:val="0"/>
      <w:marBottom w:val="0"/>
      <w:divBdr>
        <w:top w:val="none" w:sz="0" w:space="0" w:color="auto"/>
        <w:left w:val="none" w:sz="0" w:space="0" w:color="auto"/>
        <w:bottom w:val="none" w:sz="0" w:space="0" w:color="auto"/>
        <w:right w:val="none" w:sz="0" w:space="0" w:color="auto"/>
      </w:divBdr>
    </w:div>
    <w:div w:id="1260792088">
      <w:bodyDiv w:val="1"/>
      <w:marLeft w:val="0"/>
      <w:marRight w:val="0"/>
      <w:marTop w:val="0"/>
      <w:marBottom w:val="0"/>
      <w:divBdr>
        <w:top w:val="none" w:sz="0" w:space="0" w:color="auto"/>
        <w:left w:val="none" w:sz="0" w:space="0" w:color="auto"/>
        <w:bottom w:val="none" w:sz="0" w:space="0" w:color="auto"/>
        <w:right w:val="none" w:sz="0" w:space="0" w:color="auto"/>
      </w:divBdr>
    </w:div>
    <w:div w:id="1295209426">
      <w:bodyDiv w:val="1"/>
      <w:marLeft w:val="0"/>
      <w:marRight w:val="0"/>
      <w:marTop w:val="0"/>
      <w:marBottom w:val="0"/>
      <w:divBdr>
        <w:top w:val="none" w:sz="0" w:space="0" w:color="auto"/>
        <w:left w:val="none" w:sz="0" w:space="0" w:color="auto"/>
        <w:bottom w:val="none" w:sz="0" w:space="0" w:color="auto"/>
        <w:right w:val="none" w:sz="0" w:space="0" w:color="auto"/>
      </w:divBdr>
      <w:divsChild>
        <w:div w:id="6442438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8AADF8-2F3A-42D6-A470-FEE63E0635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1180</Words>
  <Characters>6727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Jupke</dc:creator>
  <cp:keywords/>
  <dc:description/>
  <cp:lastModifiedBy>Jonathan Jupke</cp:lastModifiedBy>
  <cp:revision>20</cp:revision>
  <dcterms:created xsi:type="dcterms:W3CDTF">2020-08-28T13:04:00Z</dcterms:created>
  <dcterms:modified xsi:type="dcterms:W3CDTF">2020-09-17T13:50:00Z</dcterms:modified>
</cp:coreProperties>
</file>