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1A1A2E" w:val="clear"/>
            <w:tcMar>
              <w:top w:type="dxa" w:w="360"/>
              <w:left w:type="dxa" w:w="400"/>
              <w:bottom w:type="dxa" w:w="280"/>
              <w:right w:type="dxa" w:w="400"/>
            </w:tcMar>
          </w:tcPr>
          <w:p>
            <w:pPr>
              <w:spacing w:after="80" w:before="0"/>
            </w:pPr>
            <w:r>
              <w:rPr>
                <w:rFonts w:ascii="Arial" w:cs="Arial" w:eastAsia="Arial" w:hAnsi="Arial"/>
                <w:b/>
                <w:bCs/>
                <w:color w:val="FFFFFF"/>
                <w:sz w:val="52"/>
                <w:szCs w:val="52"/>
              </w:rPr>
              <w:t xml:space="preserve">One Unit, One Delivery</w:t>
            </w:r>
          </w:p>
          <w:p>
            <w:pPr>
              <w:spacing w:after="120" w:before="0"/>
            </w:pPr>
            <w:r>
              <w:rPr>
                <w:rFonts w:ascii="Arial" w:cs="Arial" w:eastAsia="Arial" w:hAnsi="Arial"/>
                <w:i/>
                <w:iCs/>
                <w:color w:val="C7D2FE"/>
                <w:sz w:val="22"/>
                <w:szCs w:val="22"/>
              </w:rPr>
              <w:t xml:space="preserve">A model for cross-functional workstream ownership across the Treat org</w:t>
            </w:r>
          </w:p>
          <w:p>
            <w:pPr>
              <w:spacing w:after="120" w:before="0"/>
            </w:pPr>
            <w:r>
              <w:rPr>
                <w:rFonts w:ascii="Arial" w:cs="Arial" w:eastAsia="Arial" w:hAnsi="Arial"/>
                <w:color w:val="6B7280"/>
                <w:sz w:val="18"/>
                <w:szCs w:val="18"/>
              </w:rPr>
              <w:t xml:space="preserve">Jonathan Aghimien  ·  June 2026</w:t>
            </w:r>
          </w:p>
          <w:p>
            <w:pPr>
              <w:spacing w:after="0" w:before="0"/>
            </w:pPr>
            <w:r>
              <w:rPr>
                <w:rFonts w:ascii="Arial" w:cs="Arial" w:eastAsia="Arial" w:hAnsi="Arial"/>
                <w:b/>
                <w:bCs/>
                <w:color w:val="C7D2FE"/>
                <w:sz w:val="16"/>
                <w:szCs w:val="16"/>
              </w:rPr>
              <w:t xml:space="preserve">■  TREAT-LEVEL IMPLEMENTATION OF THE TECH ORG'S DYNAMIC RETEAMING DIRECTION</w:t>
            </w:r>
          </w:p>
        </w:tc>
      </w:tr>
    </w:tbl>
    <w:p>
      <w:pPr>
        <w:spacing w:after="0" w:before="180"/>
      </w:pPr>
    </w:p>
    <w:p>
      <w:pPr>
        <w:spacing w:after="60" w:before="200"/>
      </w:pPr>
      <w:r>
        <w:rPr>
          <w:rFonts w:ascii="Arial" w:cs="Arial" w:eastAsia="Arial" w:hAnsi="Arial"/>
          <w:b/>
          <w:bCs/>
          <w:caps/>
          <w:color w:val="534AB7"/>
          <w:sz w:val="16"/>
          <w:szCs w:val="16"/>
        </w:rPr>
        <w:t xml:space="preserve">STRATEGIC CONTEXT</w:t>
      </w:r>
    </w:p>
    <w:p>
      <w:pPr>
        <w:pBdr>
          <w:bottom w:val="single" w:color="CECBF6" w:sz="8"/>
        </w:pBd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EEEDFE" w:val="clear"/>
            <w:tcMar>
              <w:top w:type="dxa" w:w="140"/>
              <w:left w:type="dxa" w:w="220"/>
              <w:bottom w:type="dxa" w:w="140"/>
              <w:right w:type="dxa" w:w="220"/>
            </w:tcMar>
          </w:tcPr>
          <w:p>
            <w:pPr>
              <w:spacing w:after="0" w:before="0"/>
            </w:pPr>
            <w:r>
              <w:rPr>
                <w:rFonts w:ascii="Arial" w:cs="Arial" w:eastAsia="Arial" w:hAnsi="Arial"/>
                <w:color w:val="3C3489"/>
                <w:sz w:val="19"/>
                <w:szCs w:val="19"/>
              </w:rPr>
              <w:t xml:space="preserve">The MVLT offsite (June 10--11) surfaced three recurring challenges: </w:t>
            </w:r>
            <w:r>
              <w:rPr>
                <w:rFonts w:ascii="Arial" w:cs="Arial" w:eastAsia="Arial" w:hAnsi="Arial"/>
                <w:b/>
                <w:bCs/>
                <w:color w:val="3C3489"/>
                <w:sz w:val="19"/>
                <w:szCs w:val="19"/>
              </w:rPr>
              <w:t xml:space="preserve">knowledge silos</w:t>
            </w:r>
            <w:r>
              <w:rPr>
                <w:rFonts w:ascii="Arial" w:cs="Arial" w:eastAsia="Arial" w:hAnsi="Arial"/>
                <w:color w:val="3C3489"/>
                <w:sz w:val="19"/>
                <w:szCs w:val="19"/>
              </w:rPr>
              <w:t xml:space="preserve">, unclear cross-functional collaboration, and the need for </w:t>
            </w:r>
            <w:r>
              <w:rPr>
                <w:rFonts w:ascii="Arial" w:cs="Arial" w:eastAsia="Arial" w:hAnsi="Arial"/>
                <w:b/>
                <w:bCs/>
                <w:color w:val="3C3489"/>
                <w:sz w:val="19"/>
                <w:szCs w:val="19"/>
              </w:rPr>
              <w:t xml:space="preserve">organisational agility</w:t>
            </w:r>
            <w:r>
              <w:rPr>
                <w:rFonts w:ascii="Arial" w:cs="Arial" w:eastAsia="Arial" w:hAnsi="Arial"/>
                <w:color w:val="3C3489"/>
                <w:sz w:val="19"/>
                <w:szCs w:val="19"/>
              </w:rPr>
              <w:t xml:space="preserve">. The Tech AMA (June 17) confirmed the direction: dynamic reteaming is the destination -- gradual, safe-to-fail, with anchor teams remaining intact. This model is the Treat-level implementation: people drawn from their anchor teams into one virtual squad, focused entirely on delivering a single experience to the customer. Applicable to any team delivering work that crosses squad boundaries.</w:t>
            </w:r>
          </w:p>
        </w:tc>
      </w:tr>
    </w:tbl>
    <w:p>
      <w:pPr>
        <w:spacing w:after="0" w:before="180"/>
      </w:pPr>
    </w:p>
    <w:p>
      <w:pPr>
        <w:spacing w:after="60" w:before="200"/>
      </w:pPr>
      <w:r>
        <w:rPr>
          <w:rFonts w:ascii="Arial" w:cs="Arial" w:eastAsia="Arial" w:hAnsi="Arial"/>
          <w:b/>
          <w:bCs/>
          <w:caps/>
          <w:color w:val="534AB7"/>
          <w:sz w:val="16"/>
          <w:szCs w:val="16"/>
        </w:rPr>
        <w:t xml:space="preserve">THE PROBLEM</w:t>
      </w:r>
    </w:p>
    <w:p>
      <w:pPr>
        <w:pBdr>
          <w:bottom w:val="single" w:color="CECBF6" w:sz="8"/>
        </w:pBdr>
        <w:spacing w:after="120" w:before="0"/>
      </w:pPr>
    </w:p>
    <w:p>
      <w:pPr>
        <w:spacing w:after="0" w:before="0"/>
      </w:pPr>
      <w:r>
        <w:rPr>
          <w:rFonts w:ascii="Arial" w:cs="Arial" w:eastAsia="Arial" w:hAnsi="Arial"/>
          <w:color w:val="1E1E2E"/>
          <w:sz w:val="20"/>
          <w:szCs w:val="20"/>
        </w:rPr>
        <w:t xml:space="preserve">As initiatives span more of the product -- OTJ, Atlas, coaching, the manager side -- teams still collaborate the old way: each squad designs and builds its own slice, then throws it over the fence. People focus on "what's my bit" rather than "what's the thing." The result is fragmented experiences, knowledge that never travels, and no single owner of the outcome. This isn't a coordination problem -- it's a culture problem.</w:t>
      </w:r>
    </w:p>
    <w:p>
      <w:pPr>
        <w:spacing w:after="0" w:before="180"/>
      </w:pPr>
    </w:p>
    <w:p>
      <w:pPr>
        <w:spacing w:after="60" w:before="200"/>
      </w:pPr>
      <w:r>
        <w:rPr>
          <w:rFonts w:ascii="Arial" w:cs="Arial" w:eastAsia="Arial" w:hAnsi="Arial"/>
          <w:b/>
          <w:bCs/>
          <w:caps/>
          <w:color w:val="534AB7"/>
          <w:sz w:val="16"/>
          <w:szCs w:val="16"/>
        </w:rPr>
        <w:t xml:space="preserve">THE MODEL -- ONE VIRTUAL SQUAD</w:t>
      </w:r>
    </w:p>
    <w:p>
      <w:pPr>
        <w:pBdr>
          <w:bottom w:val="single" w:color="CECBF6" w:sz="8"/>
        </w:pBdr>
        <w:spacing w:after="120" w:before="0"/>
      </w:pPr>
    </w:p>
    <w:p>
      <w:pPr>
        <w:spacing w:after="120" w:before="0"/>
      </w:pPr>
      <w:r>
        <w:rPr>
          <w:rFonts w:ascii="Arial" w:cs="Arial" w:eastAsia="Arial" w:hAnsi="Arial"/>
          <w:color w:val="1E1E2E"/>
          <w:sz w:val="20"/>
          <w:szCs w:val="20"/>
        </w:rPr>
        <w:t xml:space="preserve">People are drawn from their anchor teams into a single virtual squad for the duration of the workstream. That squad owns the delivery entirely -- it designs, plans, executes, and ships as one unit. Anchor team membership and line management remain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45"/>
        <w:gridCol w:w="270"/>
        <w:gridCol w:w="4545"/>
      </w:tblGrid>
      <w:tr>
        <w:tc>
          <w:tcPr>
            <w:tcW w:type="dxa" w:w="4545"/>
            <w:tcBorders>
              <w:top w:val="none" w:color="auto" w:sz="0"/>
              <w:left w:val="none" w:color="auto" w:sz="0"/>
              <w:bottom w:val="none" w:color="auto" w:sz="0"/>
              <w:right w:val="none" w:color="auto" w:sz="0"/>
            </w:tcBorders>
            <w:shd w:fill="EEEDFE" w:val="clear"/>
            <w:tcMar>
              <w:top w:type="dxa" w:w="160"/>
              <w:left w:type="dxa" w:w="200"/>
              <w:bottom w:type="dxa" w:w="160"/>
              <w:right w:type="dxa" w:w="200"/>
            </w:tcMar>
          </w:tcPr>
          <w:p>
            <w:pPr>
              <w:spacing w:after="80" w:before="0"/>
            </w:pPr>
            <w:r>
              <w:rPr>
                <w:rFonts w:ascii="Arial" w:cs="Arial" w:eastAsia="Arial" w:hAnsi="Arial"/>
                <w:b/>
                <w:bCs/>
                <w:color w:val="534AB7"/>
                <w:sz w:val="22"/>
                <w:szCs w:val="22"/>
              </w:rPr>
              <w:t xml:space="preserve">Design lead</w:t>
            </w:r>
          </w:p>
          <w:p>
            <w:pPr>
              <w:spacing w:after="0" w:before="0"/>
            </w:pPr>
            <w:r>
              <w:rPr>
                <w:rFonts w:ascii="Arial" w:cs="Arial" w:eastAsia="Arial" w:hAnsi="Arial"/>
                <w:color w:val="3C3489"/>
                <w:sz w:val="18"/>
                <w:szCs w:val="18"/>
              </w:rPr>
              <w:t xml:space="preserve">Holds the experience vision for the full customer journey. Consults with everyone on the squad throughout -- the experience brief is the shared contract the whole team builds against.</w:t>
            </w:r>
          </w:p>
        </w:tc>
        <w:tc>
          <w:tcPr>
            <w:tcW w:type="dxa" w:w="270"/>
            <w:tcBorders>
              <w:top w:val="none" w:color="auto" w:sz="0"/>
              <w:left w:val="none" w:color="auto" w:sz="0"/>
              <w:bottom w:val="none" w:color="auto" w:sz="0"/>
              <w:right w:val="none" w:color="auto" w:sz="0"/>
            </w:tcBorders>
          </w:tcPr>
          <w:p>
            <w:pPr>
              <w:spacing w:after="0" w:before="0"/>
            </w:pPr>
          </w:p>
        </w:tc>
        <w:tc>
          <w:tcPr>
            <w:tcW w:type="dxa" w:w="4545"/>
            <w:tcBorders>
              <w:top w:val="none" w:color="auto" w:sz="0"/>
              <w:left w:val="none" w:color="auto" w:sz="0"/>
              <w:bottom w:val="none" w:color="auto" w:sz="0"/>
              <w:right w:val="none" w:color="auto" w:sz="0"/>
            </w:tcBorders>
            <w:shd w:fill="EEEDFE" w:val="clear"/>
            <w:tcMar>
              <w:top w:type="dxa" w:w="160"/>
              <w:left w:type="dxa" w:w="200"/>
              <w:bottom w:type="dxa" w:w="160"/>
              <w:right w:type="dxa" w:w="200"/>
            </w:tcMar>
          </w:tcPr>
          <w:p>
            <w:pPr>
              <w:spacing w:after="80" w:before="0"/>
            </w:pPr>
            <w:r>
              <w:rPr>
                <w:rFonts w:ascii="Arial" w:cs="Arial" w:eastAsia="Arial" w:hAnsi="Arial"/>
                <w:b/>
                <w:bCs/>
                <w:color w:val="534AB7"/>
                <w:sz w:val="22"/>
                <w:szCs w:val="22"/>
              </w:rPr>
              <w:t xml:space="preserve">Delivery lead</w:t>
            </w:r>
          </w:p>
          <w:p>
            <w:pPr>
              <w:spacing w:after="0" w:before="0"/>
            </w:pPr>
            <w:r>
              <w:rPr>
                <w:rFonts w:ascii="Arial" w:cs="Arial" w:eastAsia="Arial" w:hAnsi="Arial"/>
                <w:color w:val="3C3489"/>
                <w:sz w:val="18"/>
                <w:szCs w:val="18"/>
              </w:rPr>
              <w:t xml:space="preserve">Owns direction, planning, stakeholder alignment, and execution. The single point of accountability for the squad's output -- no split between product and engineering ownership.</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24"/>
              <w:left w:val="single" w:color="534AB7" w:sz="24"/>
              <w:bottom w:val="none" w:color="auto" w:sz="0"/>
              <w:right w:val="none" w:color="auto" w:sz="0"/>
            </w:tcBorders>
            <w:tcMar>
              <w:top w:type="dxa" w:w="100"/>
              <w:left w:type="dxa" w:w="260"/>
              <w:bottom w:type="dxa" w:w="120"/>
              <w:right w:type="dxa" w:w="120"/>
            </w:tcMar>
          </w:tcPr>
          <w:p>
            <w:pPr>
              <w:spacing w:after="60" w:before="0"/>
            </w:pPr>
            <w:r>
              <w:rPr>
                <w:rFonts w:ascii="Arial" w:cs="Arial" w:eastAsia="Arial" w:hAnsi="Arial"/>
                <w:b/>
                <w:bCs/>
                <w:caps/>
                <w:color w:val="534AB7"/>
                <w:sz w:val="17"/>
                <w:szCs w:val="17"/>
              </w:rPr>
              <w:t xml:space="preserve">THE VIRTUAL SQUAD</w:t>
            </w:r>
          </w:p>
          <w:p>
            <w:pPr>
              <w:spacing w:after="0" w:before="0"/>
            </w:pPr>
            <w:r>
              <w:rPr>
                <w:rFonts w:ascii="Arial" w:cs="Arial" w:eastAsia="Arial" w:hAnsi="Arial"/>
                <w:color w:val="1E1E2E"/>
                <w:sz w:val="19"/>
                <w:szCs w:val="19"/>
              </w:rPr>
              <w:t xml:space="preserve">Everyone on the squad is empowered to question and influence any part of the SDLC -- design, planning, build, test, release. The shared north star is the customer experience. The squad owns it end-to-end.</w:t>
            </w:r>
          </w:p>
        </w:tc>
      </w:tr>
    </w:tbl>
    <w:p>
      <w:pPr>
        <w:spacing w:after="0" w:before="120"/>
      </w:pPr>
    </w:p>
    <w:p>
      <w:pPr>
        <w:spacing w:after="60" w:before="200"/>
      </w:pPr>
      <w:r>
        <w:rPr>
          <w:rFonts w:ascii="Arial" w:cs="Arial" w:eastAsia="Arial" w:hAnsi="Arial"/>
          <w:b/>
          <w:bCs/>
          <w:caps/>
          <w:color w:val="534AB7"/>
          <w:sz w:val="16"/>
          <w:szCs w:val="16"/>
        </w:rPr>
        <w:t xml:space="preserve">HOW THE SQUAD WORKS</w:t>
      </w:r>
    </w:p>
    <w:p>
      <w:pPr>
        <w:pBdr>
          <w:bottom w:val="single" w:color="CECBF6" w:sz="8"/>
        </w:pBd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50"/>
        <w:gridCol w:w="120"/>
        <w:gridCol w:w="2250"/>
        <w:gridCol w:w="120"/>
        <w:gridCol w:w="2250"/>
        <w:gridCol w:w="120"/>
        <w:gridCol w:w="2250"/>
      </w:tblGrid>
      <w:tr>
        <w:tc>
          <w:tcPr>
            <w:tcW w:type="dxa" w:w="2250"/>
            <w:tcBorders>
              <w:top w:val="none" w:color="auto" w:sz="0"/>
              <w:left w:val="none" w:color="auto" w:sz="0"/>
              <w:bottom w:val="none" w:color="auto" w:sz="0"/>
              <w:right w:val="none" w:color="auto" w:sz="0"/>
            </w:tcBorders>
            <w:shd w:fill="EEEDFE" w:val="clear"/>
            <w:tcMar>
              <w:top w:type="dxa" w:w="120"/>
              <w:left w:type="dxa" w:w="0"/>
              <w:bottom w:type="dxa" w:w="120"/>
              <w:right w:type="dxa" w:w="0"/>
            </w:tcMar>
            <w:vAlign w:val="center"/>
          </w:tcPr>
          <w:p>
            <w:pPr>
              <w:spacing w:after="0" w:before="0"/>
              <w:jc w:val="center"/>
            </w:pPr>
            <w:r>
              <w:rPr>
                <w:rFonts w:ascii="Arial" w:cs="Arial" w:eastAsia="Arial" w:hAnsi="Arial"/>
                <w:b/>
                <w:bCs/>
                <w:color w:val="534AB7"/>
                <w:sz w:val="20"/>
                <w:szCs w:val="20"/>
              </w:rPr>
              <w:t xml:space="preserve">Designs</w:t>
            </w:r>
          </w:p>
        </w:tc>
        <w:tc>
          <w:tcPr>
            <w:tcW w:type="dxa" w:w="120"/>
            <w:tcBorders>
              <w:top w:val="none" w:color="auto" w:sz="0"/>
              <w:left w:val="none" w:color="auto" w:sz="0"/>
              <w:bottom w:val="none" w:color="auto" w:sz="0"/>
              <w:right w:val="none" w:color="auto" w:sz="0"/>
            </w:tcBorders>
          </w:tcPr>
          <w:p>
            <w:pPr>
              <w:spacing w:after="0" w:before="0"/>
            </w:pPr>
          </w:p>
        </w:tc>
        <w:tc>
          <w:tcPr>
            <w:tcW w:type="dxa" w:w="2250"/>
            <w:tcBorders>
              <w:top w:val="none" w:color="auto" w:sz="0"/>
              <w:left w:val="none" w:color="auto" w:sz="0"/>
              <w:bottom w:val="none" w:color="auto" w:sz="0"/>
              <w:right w:val="none" w:color="auto" w:sz="0"/>
            </w:tcBorders>
            <w:shd w:fill="EEEDFE" w:val="clear"/>
            <w:tcMar>
              <w:top w:type="dxa" w:w="120"/>
              <w:left w:type="dxa" w:w="0"/>
              <w:bottom w:type="dxa" w:w="120"/>
              <w:right w:type="dxa" w:w="0"/>
            </w:tcMar>
            <w:vAlign w:val="center"/>
          </w:tcPr>
          <w:p>
            <w:pPr>
              <w:spacing w:after="0" w:before="0"/>
              <w:jc w:val="center"/>
            </w:pPr>
            <w:r>
              <w:rPr>
                <w:rFonts w:ascii="Arial" w:cs="Arial" w:eastAsia="Arial" w:hAnsi="Arial"/>
                <w:b/>
                <w:bCs/>
                <w:color w:val="534AB7"/>
                <w:sz w:val="20"/>
                <w:szCs w:val="20"/>
              </w:rPr>
              <w:t xml:space="preserve">Plans</w:t>
            </w:r>
          </w:p>
        </w:tc>
        <w:tc>
          <w:tcPr>
            <w:tcW w:type="dxa" w:w="120"/>
            <w:tcBorders>
              <w:top w:val="none" w:color="auto" w:sz="0"/>
              <w:left w:val="none" w:color="auto" w:sz="0"/>
              <w:bottom w:val="none" w:color="auto" w:sz="0"/>
              <w:right w:val="none" w:color="auto" w:sz="0"/>
            </w:tcBorders>
          </w:tcPr>
          <w:p>
            <w:pPr>
              <w:spacing w:after="0" w:before="0"/>
            </w:pPr>
          </w:p>
        </w:tc>
        <w:tc>
          <w:tcPr>
            <w:tcW w:type="dxa" w:w="2250"/>
            <w:tcBorders>
              <w:top w:val="none" w:color="auto" w:sz="0"/>
              <w:left w:val="none" w:color="auto" w:sz="0"/>
              <w:bottom w:val="none" w:color="auto" w:sz="0"/>
              <w:right w:val="none" w:color="auto" w:sz="0"/>
            </w:tcBorders>
            <w:shd w:fill="EEEDFE" w:val="clear"/>
            <w:tcMar>
              <w:top w:type="dxa" w:w="120"/>
              <w:left w:type="dxa" w:w="0"/>
              <w:bottom w:type="dxa" w:w="120"/>
              <w:right w:type="dxa" w:w="0"/>
            </w:tcMar>
            <w:vAlign w:val="center"/>
          </w:tcPr>
          <w:p>
            <w:pPr>
              <w:spacing w:after="0" w:before="0"/>
              <w:jc w:val="center"/>
            </w:pPr>
            <w:r>
              <w:rPr>
                <w:rFonts w:ascii="Arial" w:cs="Arial" w:eastAsia="Arial" w:hAnsi="Arial"/>
                <w:b/>
                <w:bCs/>
                <w:color w:val="534AB7"/>
                <w:sz w:val="20"/>
                <w:szCs w:val="20"/>
              </w:rPr>
              <w:t xml:space="preserve">Executes</w:t>
            </w:r>
          </w:p>
        </w:tc>
        <w:tc>
          <w:tcPr>
            <w:tcW w:type="dxa" w:w="120"/>
            <w:tcBorders>
              <w:top w:val="none" w:color="auto" w:sz="0"/>
              <w:left w:val="none" w:color="auto" w:sz="0"/>
              <w:bottom w:val="none" w:color="auto" w:sz="0"/>
              <w:right w:val="none" w:color="auto" w:sz="0"/>
            </w:tcBorders>
          </w:tcPr>
          <w:p>
            <w:pPr>
              <w:spacing w:after="0" w:before="0"/>
            </w:pPr>
          </w:p>
        </w:tc>
        <w:tc>
          <w:tcPr>
            <w:tcW w:type="dxa" w:w="2250"/>
            <w:tcBorders>
              <w:top w:val="none" w:color="auto" w:sz="0"/>
              <w:left w:val="none" w:color="auto" w:sz="0"/>
              <w:bottom w:val="none" w:color="auto" w:sz="0"/>
              <w:right w:val="none" w:color="auto" w:sz="0"/>
            </w:tcBorders>
            <w:shd w:fill="EEEDFE" w:val="clear"/>
            <w:tcMar>
              <w:top w:type="dxa" w:w="120"/>
              <w:left w:type="dxa" w:w="0"/>
              <w:bottom w:type="dxa" w:w="120"/>
              <w:right w:type="dxa" w:w="0"/>
            </w:tcMar>
            <w:vAlign w:val="center"/>
          </w:tcPr>
          <w:p>
            <w:pPr>
              <w:spacing w:after="0" w:before="0"/>
              <w:jc w:val="center"/>
            </w:pPr>
            <w:r>
              <w:rPr>
                <w:rFonts w:ascii="Arial" w:cs="Arial" w:eastAsia="Arial" w:hAnsi="Arial"/>
                <w:b/>
                <w:bCs/>
                <w:color w:val="534AB7"/>
                <w:sz w:val="20"/>
                <w:szCs w:val="20"/>
              </w:rPr>
              <w:t xml:space="preserve">Delivers</w:t>
            </w:r>
          </w:p>
        </w:tc>
      </w:tr>
    </w:tbl>
    <w:p>
      <w:pPr>
        <w:spacing w:after="0" w:before="180"/>
      </w:pPr>
    </w:p>
    <w:p>
      <w:pPr>
        <w:spacing w:after="60" w:before="200"/>
      </w:pPr>
      <w:r>
        <w:rPr>
          <w:rFonts w:ascii="Arial" w:cs="Arial" w:eastAsia="Arial" w:hAnsi="Arial"/>
          <w:b/>
          <w:bCs/>
          <w:caps/>
          <w:color w:val="534AB7"/>
          <w:sz w:val="16"/>
          <w:szCs w:val="16"/>
        </w:rPr>
        <w:t xml:space="preserve">THE SHIFT IN LANGUAGE</w:t>
      </w:r>
    </w:p>
    <w:p>
      <w:pPr>
        <w:pBdr>
          <w:bottom w:val="single" w:color="CECBF6" w:sz="8"/>
        </w:pBd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534AB7" w:sz="18"/>
              <w:bottom w:val="none" w:color="auto" w:sz="0"/>
              <w:right w:val="none" w:color="auto" w:sz="0"/>
            </w:tcBorders>
            <w:tcMar>
              <w:top w:type="dxa" w:w="80"/>
              <w:left w:type="dxa" w:w="260"/>
              <w:bottom w:type="dxa" w:w="80"/>
              <w:right w:type="dxa" w:w="120"/>
            </w:tcMar>
          </w:tcPr>
          <w:p>
            <w:pPr>
              <w:spacing w:after="80" w:before="0"/>
            </w:pPr>
            <w:r>
              <w:rPr>
                <w:rFonts w:ascii="Arial" w:cs="Arial" w:eastAsia="Arial" w:hAnsi="Arial"/>
                <w:b/>
                <w:bCs/>
                <w:color w:val="6B7280"/>
                <w:sz w:val="19"/>
                <w:szCs w:val="19"/>
              </w:rPr>
              <w:t xml:space="preserve">Before: </w:t>
            </w:r>
            <w:r>
              <w:rPr>
                <w:rFonts w:ascii="Arial" w:cs="Arial" w:eastAsia="Arial" w:hAnsi="Arial"/>
                <w:i/>
                <w:iCs/>
                <w:color w:val="6B7280"/>
                <w:sz w:val="19"/>
                <w:szCs w:val="19"/>
              </w:rPr>
              <w:t xml:space="preserve">"How do I support my team to deliver my team's commitment to a business goal?"</w:t>
            </w:r>
          </w:p>
          <w:p>
            <w:pPr>
              <w:spacing w:after="0" w:before="0"/>
            </w:pPr>
            <w:r>
              <w:rPr>
                <w:rFonts w:ascii="Arial" w:cs="Arial" w:eastAsia="Arial" w:hAnsi="Arial"/>
                <w:b/>
                <w:bCs/>
                <w:color w:val="534AB7"/>
                <w:sz w:val="19"/>
                <w:szCs w:val="19"/>
              </w:rPr>
              <w:t xml:space="preserve">After: </w:t>
            </w:r>
            <w:r>
              <w:rPr>
                <w:rFonts w:ascii="Arial" w:cs="Arial" w:eastAsia="Arial" w:hAnsi="Arial"/>
                <w:i/>
                <w:iCs/>
                <w:color w:val="1E1E2E"/>
                <w:sz w:val="19"/>
                <w:szCs w:val="19"/>
              </w:rPr>
              <w:t xml:space="preserve">"How does our squad deliver this experience to the customer?"</w:t>
            </w:r>
          </w:p>
        </w:tc>
      </w:tr>
    </w:tbl>
    <w:p>
      <w:pPr>
        <w:spacing w:after="0" w:before="180"/>
      </w:pPr>
    </w:p>
    <w:p>
      <w:pPr>
        <w:spacing w:after="60" w:before="200"/>
      </w:pPr>
      <w:r>
        <w:rPr>
          <w:rFonts w:ascii="Arial" w:cs="Arial" w:eastAsia="Arial" w:hAnsi="Arial"/>
          <w:b/>
          <w:bCs/>
          <w:caps/>
          <w:color w:val="534AB7"/>
          <w:sz w:val="16"/>
          <w:szCs w:val="16"/>
        </w:rPr>
        <w:t xml:space="preserve">CONNECTION TO DYNAMIC RETEAMING</w:t>
      </w:r>
    </w:p>
    <w:p>
      <w:pPr>
        <w:pBdr>
          <w:bottom w:val="single" w:color="CECBF6" w:sz="8"/>
        </w:pBdr>
        <w:spacing w:after="120" w:before="0"/>
      </w:pPr>
    </w:p>
    <w:p>
      <w:pPr>
        <w:spacing w:after="120" w:before="0"/>
      </w:pPr>
      <w:r>
        <w:rPr>
          <w:rFonts w:ascii="Arial" w:cs="Arial" w:eastAsia="Arial" w:hAnsi="Arial"/>
          <w:color w:val="1E1E2E"/>
          <w:sz w:val="20"/>
          <w:szCs w:val="20"/>
        </w:rPr>
        <w:t xml:space="preserve">The tech org has named dynamic reteaming as the organisational destination -- gradual, grounded in psychological safety, with anchor teams persisting for maintenance and stability. This model is a stepping stone, not a jump. People stay in their anchor teams. Line management does not change. The virtual squad is a temporary, mission-based unit. Over time, people who work in virtual squads build the cross-domain context and trust that make fluid, mission-based teams safe and normal -- without forcing a structural change before the culture is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26215C" w:val="clear"/>
            <w:tcMar>
              <w:top w:type="dxa" w:w="140"/>
              <w:left w:type="dxa" w:w="220"/>
              <w:bottom w:type="dxa" w:w="140"/>
              <w:right w:type="dxa" w:w="220"/>
            </w:tcMar>
          </w:tcPr>
          <w:p>
            <w:pPr>
              <w:spacing w:after="60" w:before="0"/>
            </w:pPr>
            <w:r>
              <w:rPr>
                <w:rFonts w:ascii="Arial" w:cs="Arial" w:eastAsia="Arial" w:hAnsi="Arial"/>
                <w:b/>
                <w:bCs/>
                <w:caps/>
                <w:color w:val="AFA9EC"/>
                <w:sz w:val="16"/>
                <w:szCs w:val="16"/>
              </w:rPr>
              <w:t xml:space="preserve">Success metric</w:t>
            </w:r>
          </w:p>
          <w:p>
            <w:pPr>
              <w:spacing w:after="0" w:before="0"/>
            </w:pPr>
            <w:r>
              <w:rPr>
                <w:rFonts w:ascii="Arial" w:cs="Arial" w:eastAsia="Arial" w:hAnsi="Arial"/>
                <w:b/>
                <w:bCs/>
                <w:color w:val="FFFFFF"/>
                <w:sz w:val="22"/>
                <w:szCs w:val="22"/>
              </w:rPr>
              <w:t xml:space="preserve">"Velocity of problem solving"</w:t>
            </w:r>
          </w:p>
        </w:tc>
      </w:tr>
    </w:tbl>
    <w:p>
      <w:pPr>
        <w:spacing w:after="0" w:before="180"/>
      </w:pPr>
    </w:p>
    <w:p>
      <w:pPr>
        <w:spacing w:after="60" w:before="200"/>
      </w:pPr>
      <w:r>
        <w:rPr>
          <w:rFonts w:ascii="Arial" w:cs="Arial" w:eastAsia="Arial" w:hAnsi="Arial"/>
          <w:b/>
          <w:bCs/>
          <w:caps/>
          <w:color w:val="534AB7"/>
          <w:sz w:val="16"/>
          <w:szCs w:val="16"/>
        </w:rPr>
        <w:t xml:space="preserve">APPLIED TO A REAL EXAMPLE</w:t>
      </w:r>
    </w:p>
    <w:p>
      <w:pPr>
        <w:pBdr>
          <w:bottom w:val="single" w:color="CECBF6" w:sz="8"/>
        </w:pBdr>
        <w:spacing w:after="120" w:before="0"/>
      </w:pPr>
    </w:p>
    <w:p>
      <w:pPr>
        <w:spacing w:after="120" w:before="0"/>
      </w:pPr>
      <w:r>
        <w:rPr>
          <w:rFonts w:ascii="Arial" w:cs="Arial" w:eastAsia="Arial" w:hAnsi="Arial"/>
          <w:b/>
          <w:bCs/>
          <w:color w:val="534AB7"/>
          <w:sz w:val="18"/>
          <w:szCs w:val="18"/>
        </w:rPr>
        <w:t xml:space="preserve">Scenario: A virtual squad forms to own the full OTJ experience -- learner, manager, and coach surfaces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CECBF6" w:sz="4"/>
              <w:left w:val="none" w:color="auto" w:sz="0"/>
              <w:bottom w:val="single" w:color="CECBF6" w:sz="4"/>
              <w:right w:val="none" w:color="auto" w:sz="0"/>
            </w:tcBorders>
            <w:shd w:fill="EEEDFE" w:val="clear"/>
            <w:tcMar>
              <w:top w:type="dxa" w:w="100"/>
              <w:left w:type="dxa" w:w="160"/>
              <w:bottom w:type="dxa" w:w="100"/>
              <w:right w:type="dxa" w:w="160"/>
            </w:tcMar>
            <w:vAlign w:val="center"/>
          </w:tcPr>
          <w:p>
            <w:pPr>
              <w:spacing w:after="0" w:before="0"/>
            </w:pPr>
            <w:r>
              <w:rPr>
                <w:rFonts w:ascii="Arial" w:cs="Arial" w:eastAsia="Arial" w:hAnsi="Arial"/>
                <w:b/>
                <w:bCs/>
                <w:color w:val="534AB7"/>
                <w:sz w:val="18"/>
                <w:szCs w:val="18"/>
              </w:rPr>
              <w:t xml:space="preserve">Design lead</w:t>
            </w:r>
          </w:p>
        </w:tc>
        <w:tc>
          <w:tcPr>
            <w:tcW w:type="dxa" w:w="7800"/>
            <w:tcBorders>
              <w:top w:val="single" w:color="CECBF6" w:sz="4"/>
              <w:left w:val="none" w:color="auto" w:sz="0"/>
              <w:bottom w:val="single" w:color="CECBF6" w:sz="4"/>
              <w:right w:val="none" w:color="auto" w:sz="0"/>
            </w:tcBorders>
            <w:tcMar>
              <w:top w:type="dxa" w:w="100"/>
              <w:left w:type="dxa" w:w="200"/>
              <w:bottom w:type="dxa" w:w="100"/>
              <w:right w:type="dxa" w:w="120"/>
            </w:tcMar>
          </w:tcPr>
          <w:p>
            <w:pPr>
              <w:spacing w:after="0" w:before="0"/>
            </w:pPr>
            <w:r>
              <w:rPr>
                <w:rFonts w:ascii="Arial" w:cs="Arial" w:eastAsia="Arial" w:hAnsi="Arial"/>
                <w:color w:val="1E1E2E"/>
                <w:sz w:val="19"/>
                <w:szCs w:val="19"/>
              </w:rPr>
              <w:t xml:space="preserve">Owns the experience vision across all surfaces. Works with the whole squad from day one -- engineers and the delivery lead consult into design decisions. The experience brief is shared, not handed over.</w:t>
            </w:r>
          </w:p>
        </w:tc>
      </w:tr>
      <w:tr>
        <w:tc>
          <w:tcPr>
            <w:tcW w:type="dxa" w:w="1560"/>
            <w:tcBorders>
              <w:top w:val="single" w:color="CECBF6" w:sz="4"/>
              <w:left w:val="none" w:color="auto" w:sz="0"/>
              <w:bottom w:val="single" w:color="CECBF6" w:sz="4"/>
              <w:right w:val="none" w:color="auto" w:sz="0"/>
            </w:tcBorders>
            <w:shd w:fill="EEEDFE" w:val="clear"/>
            <w:tcMar>
              <w:top w:type="dxa" w:w="100"/>
              <w:left w:type="dxa" w:w="160"/>
              <w:bottom w:type="dxa" w:w="100"/>
              <w:right w:type="dxa" w:w="160"/>
            </w:tcMar>
            <w:vAlign w:val="center"/>
          </w:tcPr>
          <w:p>
            <w:pPr>
              <w:spacing w:after="0" w:before="0"/>
            </w:pPr>
            <w:r>
              <w:rPr>
                <w:rFonts w:ascii="Arial" w:cs="Arial" w:eastAsia="Arial" w:hAnsi="Arial"/>
                <w:b/>
                <w:bCs/>
                <w:color w:val="534AB7"/>
                <w:sz w:val="18"/>
                <w:szCs w:val="18"/>
              </w:rPr>
              <w:t xml:space="preserve">Delivery lead</w:t>
            </w:r>
          </w:p>
        </w:tc>
        <w:tc>
          <w:tcPr>
            <w:tcW w:type="dxa" w:w="7800"/>
            <w:tcBorders>
              <w:top w:val="single" w:color="CECBF6" w:sz="4"/>
              <w:left w:val="none" w:color="auto" w:sz="0"/>
              <w:bottom w:val="single" w:color="CECBF6" w:sz="4"/>
              <w:right w:val="none" w:color="auto" w:sz="0"/>
            </w:tcBorders>
            <w:tcMar>
              <w:top w:type="dxa" w:w="100"/>
              <w:left w:type="dxa" w:w="200"/>
              <w:bottom w:type="dxa" w:w="100"/>
              <w:right w:type="dxa" w:w="120"/>
            </w:tcMar>
          </w:tcPr>
          <w:p>
            <w:pPr>
              <w:spacing w:after="0" w:before="0"/>
            </w:pPr>
            <w:r>
              <w:rPr>
                <w:rFonts w:ascii="Arial" w:cs="Arial" w:eastAsia="Arial" w:hAnsi="Arial"/>
                <w:color w:val="1E1E2E"/>
                <w:sz w:val="19"/>
                <w:szCs w:val="19"/>
              </w:rPr>
              <w:t xml:space="preserve">Owns the plan, the priorities, and the release. Sets direction with the squad, aligns external stakeholders, and keeps the squad focused on shipping the experience rather than managing across teams.</w:t>
            </w:r>
          </w:p>
        </w:tc>
      </w:tr>
      <w:tr>
        <w:tc>
          <w:tcPr>
            <w:tcW w:type="dxa" w:w="1560"/>
            <w:tcBorders>
              <w:top w:val="single" w:color="CECBF6" w:sz="4"/>
              <w:left w:val="none" w:color="auto" w:sz="0"/>
              <w:bottom w:val="single" w:color="CECBF6" w:sz="4"/>
              <w:right w:val="none" w:color="auto" w:sz="0"/>
            </w:tcBorders>
            <w:shd w:fill="EEEDFE" w:val="clear"/>
            <w:tcMar>
              <w:top w:type="dxa" w:w="100"/>
              <w:left w:type="dxa" w:w="160"/>
              <w:bottom w:type="dxa" w:w="100"/>
              <w:right w:type="dxa" w:w="160"/>
            </w:tcMar>
            <w:vAlign w:val="center"/>
          </w:tcPr>
          <w:p>
            <w:pPr>
              <w:spacing w:after="0" w:before="0"/>
            </w:pPr>
            <w:r>
              <w:rPr>
                <w:rFonts w:ascii="Arial" w:cs="Arial" w:eastAsia="Arial" w:hAnsi="Arial"/>
                <w:b/>
                <w:bCs/>
                <w:color w:val="534AB7"/>
                <w:sz w:val="18"/>
                <w:szCs w:val="18"/>
              </w:rPr>
              <w:t xml:space="preserve">The squad</w:t>
            </w:r>
          </w:p>
        </w:tc>
        <w:tc>
          <w:tcPr>
            <w:tcW w:type="dxa" w:w="7800"/>
            <w:tcBorders>
              <w:top w:val="single" w:color="CECBF6" w:sz="4"/>
              <w:left w:val="none" w:color="auto" w:sz="0"/>
              <w:bottom w:val="single" w:color="CECBF6" w:sz="4"/>
              <w:right w:val="none" w:color="auto" w:sz="0"/>
            </w:tcBorders>
            <w:tcMar>
              <w:top w:type="dxa" w:w="100"/>
              <w:left w:type="dxa" w:w="200"/>
              <w:bottom w:type="dxa" w:w="100"/>
              <w:right w:type="dxa" w:w="120"/>
            </w:tcMar>
          </w:tcPr>
          <w:p>
            <w:pPr>
              <w:spacing w:after="0" w:before="0"/>
            </w:pPr>
            <w:r>
              <w:rPr>
                <w:rFonts w:ascii="Arial" w:cs="Arial" w:eastAsia="Arial" w:hAnsi="Arial"/>
                <w:color w:val="1E1E2E"/>
                <w:sz w:val="19"/>
                <w:szCs w:val="19"/>
              </w:rPr>
              <w:t xml:space="preserve">Engineers, designers, and anyone else needed -- drawn from Atlas, OTJ, or wherever the skill sits. They operate as one unit: design together, plan together, build together, ship together. No handoffs at the boundary.</w:t>
            </w:r>
          </w:p>
        </w:tc>
      </w:tr>
    </w:tbl>
    <w:p>
      <w:pPr>
        <w:spacing w:after="0" w:before="180"/>
      </w:pPr>
    </w:p>
    <w:p>
      <w:pPr>
        <w:spacing w:after="60" w:before="200"/>
      </w:pPr>
      <w:r>
        <w:rPr>
          <w:rFonts w:ascii="Arial" w:cs="Arial" w:eastAsia="Arial" w:hAnsi="Arial"/>
          <w:b/>
          <w:bCs/>
          <w:caps/>
          <w:color w:val="534AB7"/>
          <w:sz w:val="16"/>
          <w:szCs w:val="16"/>
        </w:rPr>
        <w:t xml:space="preserve">WHY IT MATTERS</w:t>
      </w:r>
    </w:p>
    <w:p>
      <w:pPr>
        <w:pBdr>
          <w:bottom w:val="single" w:color="CECBF6" w:sz="8"/>
        </w:pBd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auto" w:sz="0"/>
              <w:left w:val="none" w:color="auto" w:sz="0"/>
              <w:bottom w:val="none" w:color="auto" w:sz="0"/>
              <w:right w:val="none" w:color="auto" w:sz="0"/>
            </w:tcBorders>
            <w:tcMar>
              <w:top w:type="dxa" w:w="60"/>
              <w:left w:type="dxa" w:w="0"/>
              <w:bottom w:type="dxa" w:w="60"/>
              <w:right w:type="dxa" w:w="160"/>
            </w:tcMar>
          </w:tcPr>
          <w:p>
            <w:pPr>
              <w:spacing w:after="0" w:before="0"/>
            </w:pPr>
            <w:r>
              <w:rPr>
                <w:rFonts w:ascii="Arial" w:cs="Arial" w:eastAsia="Arial" w:hAnsi="Arial"/>
                <w:b/>
                <w:bCs/>
                <w:color w:val="534AB7"/>
                <w:sz w:val="20"/>
                <w:szCs w:val="20"/>
              </w:rPr>
              <w:t xml:space="preserve">→</w:t>
            </w:r>
          </w:p>
        </w:tc>
        <w:tc>
          <w:tcPr>
            <w:tcW w:type="dxa" w:w="9060"/>
            <w:tcBorders>
              <w:top w:val="none" w:color="auto" w:sz="0"/>
              <w:left w:val="none" w:color="auto" w:sz="0"/>
              <w:bottom w:val="none" w:color="auto" w:sz="0"/>
              <w:right w:val="none" w:color="auto" w:sz="0"/>
            </w:tcBorders>
            <w:tcMar>
              <w:top w:type="dxa" w:w="60"/>
              <w:left w:type="dxa" w:w="0"/>
              <w:bottom w:type="dxa" w:w="60"/>
              <w:right w:type="dxa" w:w="0"/>
            </w:tcMar>
          </w:tcPr>
          <w:p>
            <w:pPr>
              <w:spacing w:after="0" w:before="0"/>
            </w:pPr>
            <w:r>
              <w:rPr>
                <w:rFonts w:ascii="Arial" w:cs="Arial" w:eastAsia="Arial" w:hAnsi="Arial"/>
                <w:b/>
                <w:bCs/>
                <w:color w:val="1E1E2E"/>
                <w:sz w:val="19"/>
                <w:szCs w:val="19"/>
              </w:rPr>
              <w:t xml:space="preserve">One owner, one outcome. </w:t>
            </w:r>
            <w:r>
              <w:rPr>
                <w:rFonts w:ascii="Arial" w:cs="Arial" w:eastAsia="Arial" w:hAnsi="Arial"/>
                <w:color w:val="1E1E2E"/>
                <w:sz w:val="19"/>
                <w:szCs w:val="19"/>
              </w:rPr>
              <w:t xml:space="preserve">The squad owns the experience end-to-end. There is no fence to throw things over -- design, build, and delivery are the same team's responsibility.</w:t>
            </w:r>
          </w:p>
        </w:tc>
      </w:tr>
      <w:tr>
        <w:tc>
          <w:tcPr>
            <w:tcW w:type="dxa" w:w="300"/>
            <w:tcBorders>
              <w:top w:val="none" w:color="auto" w:sz="0"/>
              <w:left w:val="none" w:color="auto" w:sz="0"/>
              <w:bottom w:val="none" w:color="auto" w:sz="0"/>
              <w:right w:val="none" w:color="auto" w:sz="0"/>
            </w:tcBorders>
            <w:tcMar>
              <w:top w:type="dxa" w:w="60"/>
              <w:left w:type="dxa" w:w="0"/>
              <w:bottom w:type="dxa" w:w="60"/>
              <w:right w:type="dxa" w:w="160"/>
            </w:tcMar>
          </w:tcPr>
          <w:p>
            <w:pPr>
              <w:spacing w:after="0" w:before="0"/>
            </w:pPr>
            <w:r>
              <w:rPr>
                <w:rFonts w:ascii="Arial" w:cs="Arial" w:eastAsia="Arial" w:hAnsi="Arial"/>
                <w:b/>
                <w:bCs/>
                <w:color w:val="534AB7"/>
                <w:sz w:val="20"/>
                <w:szCs w:val="20"/>
              </w:rPr>
              <w:t xml:space="preserve">→</w:t>
            </w:r>
          </w:p>
        </w:tc>
        <w:tc>
          <w:tcPr>
            <w:tcW w:type="dxa" w:w="9060"/>
            <w:tcBorders>
              <w:top w:val="none" w:color="auto" w:sz="0"/>
              <w:left w:val="none" w:color="auto" w:sz="0"/>
              <w:bottom w:val="none" w:color="auto" w:sz="0"/>
              <w:right w:val="none" w:color="auto" w:sz="0"/>
            </w:tcBorders>
            <w:tcMar>
              <w:top w:type="dxa" w:w="60"/>
              <w:left w:type="dxa" w:w="0"/>
              <w:bottom w:type="dxa" w:w="60"/>
              <w:right w:type="dxa" w:w="0"/>
            </w:tcMar>
          </w:tcPr>
          <w:p>
            <w:pPr>
              <w:spacing w:after="0" w:before="0"/>
            </w:pPr>
            <w:r>
              <w:rPr>
                <w:rFonts w:ascii="Arial" w:cs="Arial" w:eastAsia="Arial" w:hAnsi="Arial"/>
                <w:b/>
                <w:bCs/>
                <w:color w:val="1E1E2E"/>
                <w:sz w:val="19"/>
                <w:szCs w:val="19"/>
              </w:rPr>
              <w:t xml:space="preserve">Knowledge travels with the work. </w:t>
            </w:r>
            <w:r>
              <w:rPr>
                <w:rFonts w:ascii="Arial" w:cs="Arial" w:eastAsia="Arial" w:hAnsi="Arial"/>
                <w:color w:val="1E1E2E"/>
                <w:sz w:val="19"/>
                <w:szCs w:val="19"/>
              </w:rPr>
              <w:t xml:space="preserve">When the people building something also own the design and release, context stops being siloed -- it becomes the squad's shared understanding.</w:t>
            </w:r>
          </w:p>
        </w:tc>
      </w:tr>
      <w:tr>
        <w:tc>
          <w:tcPr>
            <w:tcW w:type="dxa" w:w="300"/>
            <w:tcBorders>
              <w:top w:val="none" w:color="auto" w:sz="0"/>
              <w:left w:val="none" w:color="auto" w:sz="0"/>
              <w:bottom w:val="none" w:color="auto" w:sz="0"/>
              <w:right w:val="none" w:color="auto" w:sz="0"/>
            </w:tcBorders>
            <w:tcMar>
              <w:top w:type="dxa" w:w="60"/>
              <w:left w:type="dxa" w:w="0"/>
              <w:bottom w:type="dxa" w:w="60"/>
              <w:right w:type="dxa" w:w="160"/>
            </w:tcMar>
          </w:tcPr>
          <w:p>
            <w:pPr>
              <w:spacing w:after="0" w:before="0"/>
            </w:pPr>
            <w:r>
              <w:rPr>
                <w:rFonts w:ascii="Arial" w:cs="Arial" w:eastAsia="Arial" w:hAnsi="Arial"/>
                <w:b/>
                <w:bCs/>
                <w:color w:val="534AB7"/>
                <w:sz w:val="20"/>
                <w:szCs w:val="20"/>
              </w:rPr>
              <w:t xml:space="preserve">→</w:t>
            </w:r>
          </w:p>
        </w:tc>
        <w:tc>
          <w:tcPr>
            <w:tcW w:type="dxa" w:w="9060"/>
            <w:tcBorders>
              <w:top w:val="none" w:color="auto" w:sz="0"/>
              <w:left w:val="none" w:color="auto" w:sz="0"/>
              <w:bottom w:val="none" w:color="auto" w:sz="0"/>
              <w:right w:val="none" w:color="auto" w:sz="0"/>
            </w:tcBorders>
            <w:tcMar>
              <w:top w:type="dxa" w:w="60"/>
              <w:left w:type="dxa" w:w="0"/>
              <w:bottom w:type="dxa" w:w="60"/>
              <w:right w:type="dxa" w:w="0"/>
            </w:tcMar>
          </w:tcPr>
          <w:p>
            <w:pPr>
              <w:spacing w:after="0" w:before="0"/>
            </w:pPr>
            <w:r>
              <w:rPr>
                <w:rFonts w:ascii="Arial" w:cs="Arial" w:eastAsia="Arial" w:hAnsi="Arial"/>
                <w:b/>
                <w:bCs/>
                <w:color w:val="1E1E2E"/>
                <w:sz w:val="19"/>
                <w:szCs w:val="19"/>
              </w:rPr>
              <w:t xml:space="preserve">Faster, better decisions. </w:t>
            </w:r>
            <w:r>
              <w:rPr>
                <w:rFonts w:ascii="Arial" w:cs="Arial" w:eastAsia="Arial" w:hAnsi="Arial"/>
                <w:color w:val="1E1E2E"/>
                <w:sz w:val="19"/>
                <w:szCs w:val="19"/>
              </w:rPr>
              <w:t xml:space="preserve">Engineering is in the room from the start. Design sees the constraints. Everyone can challenge any part of the SDLC -- the goal is a better outcome, not a cleaner handoff.</w:t>
            </w:r>
          </w:p>
        </w:tc>
      </w:tr>
      <w:tr>
        <w:tc>
          <w:tcPr>
            <w:tcW w:type="dxa" w:w="300"/>
            <w:tcBorders>
              <w:top w:val="none" w:color="auto" w:sz="0"/>
              <w:left w:val="none" w:color="auto" w:sz="0"/>
              <w:bottom w:val="none" w:color="auto" w:sz="0"/>
              <w:right w:val="none" w:color="auto" w:sz="0"/>
            </w:tcBorders>
            <w:tcMar>
              <w:top w:type="dxa" w:w="60"/>
              <w:left w:type="dxa" w:w="0"/>
              <w:bottom w:type="dxa" w:w="60"/>
              <w:right w:type="dxa" w:w="160"/>
            </w:tcMar>
          </w:tcPr>
          <w:p>
            <w:pPr>
              <w:spacing w:after="0" w:before="0"/>
            </w:pPr>
            <w:r>
              <w:rPr>
                <w:rFonts w:ascii="Arial" w:cs="Arial" w:eastAsia="Arial" w:hAnsi="Arial"/>
                <w:b/>
                <w:bCs/>
                <w:color w:val="534AB7"/>
                <w:sz w:val="20"/>
                <w:szCs w:val="20"/>
              </w:rPr>
              <w:t xml:space="preserve">→</w:t>
            </w:r>
          </w:p>
        </w:tc>
        <w:tc>
          <w:tcPr>
            <w:tcW w:type="dxa" w:w="9060"/>
            <w:tcBorders>
              <w:top w:val="none" w:color="auto" w:sz="0"/>
              <w:left w:val="none" w:color="auto" w:sz="0"/>
              <w:bottom w:val="none" w:color="auto" w:sz="0"/>
              <w:right w:val="none" w:color="auto" w:sz="0"/>
            </w:tcBorders>
            <w:tcMar>
              <w:top w:type="dxa" w:w="60"/>
              <w:left w:type="dxa" w:w="0"/>
              <w:bottom w:type="dxa" w:w="60"/>
              <w:right w:type="dxa" w:w="0"/>
            </w:tcMar>
          </w:tcPr>
          <w:p>
            <w:pPr>
              <w:spacing w:after="0" w:before="0"/>
            </w:pPr>
            <w:r>
              <w:rPr>
                <w:rFonts w:ascii="Arial" w:cs="Arial" w:eastAsia="Arial" w:hAnsi="Arial"/>
                <w:b/>
                <w:bCs/>
                <w:color w:val="1E1E2E"/>
                <w:sz w:val="19"/>
                <w:szCs w:val="19"/>
              </w:rPr>
              <w:t xml:space="preserve">Eliminates the coordination tax. </w:t>
            </w:r>
            <w:r>
              <w:rPr>
                <w:rFonts w:ascii="Arial" w:cs="Arial" w:eastAsia="Arial" w:hAnsi="Arial"/>
                <w:color w:val="1E1E2E"/>
                <w:sz w:val="19"/>
                <w:szCs w:val="19"/>
              </w:rPr>
              <w:t xml:space="preserve">No cross-squad alignment meetings, dependency tracking, or status chasing. One squad means one standup, one retro, one plan -- all of that overhead disappears.</w:t>
            </w:r>
          </w:p>
        </w:tc>
      </w:tr>
      <w:tr>
        <w:tc>
          <w:tcPr>
            <w:tcW w:type="dxa" w:w="300"/>
            <w:tcBorders>
              <w:top w:val="none" w:color="auto" w:sz="0"/>
              <w:left w:val="none" w:color="auto" w:sz="0"/>
              <w:bottom w:val="none" w:color="auto" w:sz="0"/>
              <w:right w:val="none" w:color="auto" w:sz="0"/>
            </w:tcBorders>
            <w:tcMar>
              <w:top w:type="dxa" w:w="60"/>
              <w:left w:type="dxa" w:w="0"/>
              <w:bottom w:type="dxa" w:w="60"/>
              <w:right w:type="dxa" w:w="160"/>
            </w:tcMar>
          </w:tcPr>
          <w:p>
            <w:pPr>
              <w:spacing w:after="0" w:before="0"/>
            </w:pPr>
            <w:r>
              <w:rPr>
                <w:rFonts w:ascii="Arial" w:cs="Arial" w:eastAsia="Arial" w:hAnsi="Arial"/>
                <w:b/>
                <w:bCs/>
                <w:color w:val="534AB7"/>
                <w:sz w:val="20"/>
                <w:szCs w:val="20"/>
              </w:rPr>
              <w:t xml:space="preserve">→</w:t>
            </w:r>
          </w:p>
        </w:tc>
        <w:tc>
          <w:tcPr>
            <w:tcW w:type="dxa" w:w="9060"/>
            <w:tcBorders>
              <w:top w:val="none" w:color="auto" w:sz="0"/>
              <w:left w:val="none" w:color="auto" w:sz="0"/>
              <w:bottom w:val="none" w:color="auto" w:sz="0"/>
              <w:right w:val="none" w:color="auto" w:sz="0"/>
            </w:tcBorders>
            <w:tcMar>
              <w:top w:type="dxa" w:w="60"/>
              <w:left w:type="dxa" w:w="0"/>
              <w:bottom w:type="dxa" w:w="60"/>
              <w:right w:type="dxa" w:w="0"/>
            </w:tcMar>
          </w:tcPr>
          <w:p>
            <w:pPr>
              <w:spacing w:after="0" w:before="0"/>
            </w:pPr>
            <w:r>
              <w:rPr>
                <w:rFonts w:ascii="Arial" w:cs="Arial" w:eastAsia="Arial" w:hAnsi="Arial"/>
                <w:b/>
                <w:bCs/>
                <w:color w:val="1E1E2E"/>
                <w:sz w:val="19"/>
                <w:szCs w:val="19"/>
              </w:rPr>
              <w:t xml:space="preserve">No visible seam in the customer experience. </w:t>
            </w:r>
            <w:r>
              <w:rPr>
                <w:rFonts w:ascii="Arial" w:cs="Arial" w:eastAsia="Arial" w:hAnsi="Arial"/>
                <w:color w:val="1E1E2E"/>
                <w:sz w:val="19"/>
                <w:szCs w:val="19"/>
              </w:rPr>
              <w:t xml:space="preserve">When different squads build adjacent parts, the joins show -- inconsistent patterns, interactions that don't connect. One squad designing and building the whole journey means the customer sees a coherent experience, not the org chart.</w:t>
            </w:r>
          </w:p>
        </w:tc>
      </w:tr>
      <w:tr>
        <w:tc>
          <w:tcPr>
            <w:tcW w:type="dxa" w:w="300"/>
            <w:tcBorders>
              <w:top w:val="none" w:color="auto" w:sz="0"/>
              <w:left w:val="none" w:color="auto" w:sz="0"/>
              <w:bottom w:val="none" w:color="auto" w:sz="0"/>
              <w:right w:val="none" w:color="auto" w:sz="0"/>
            </w:tcBorders>
            <w:tcMar>
              <w:top w:type="dxa" w:w="60"/>
              <w:left w:type="dxa" w:w="0"/>
              <w:bottom w:type="dxa" w:w="60"/>
              <w:right w:type="dxa" w:w="160"/>
            </w:tcMar>
          </w:tcPr>
          <w:p>
            <w:pPr>
              <w:spacing w:after="0" w:before="0"/>
            </w:pPr>
            <w:r>
              <w:rPr>
                <w:rFonts w:ascii="Arial" w:cs="Arial" w:eastAsia="Arial" w:hAnsi="Arial"/>
                <w:b/>
                <w:bCs/>
                <w:color w:val="534AB7"/>
                <w:sz w:val="20"/>
                <w:szCs w:val="20"/>
              </w:rPr>
              <w:t xml:space="preserve">→</w:t>
            </w:r>
          </w:p>
        </w:tc>
        <w:tc>
          <w:tcPr>
            <w:tcW w:type="dxa" w:w="9060"/>
            <w:tcBorders>
              <w:top w:val="none" w:color="auto" w:sz="0"/>
              <w:left w:val="none" w:color="auto" w:sz="0"/>
              <w:bottom w:val="none" w:color="auto" w:sz="0"/>
              <w:right w:val="none" w:color="auto" w:sz="0"/>
            </w:tcBorders>
            <w:tcMar>
              <w:top w:type="dxa" w:w="60"/>
              <w:left w:type="dxa" w:w="0"/>
              <w:bottom w:type="dxa" w:w="60"/>
              <w:right w:type="dxa" w:w="0"/>
            </w:tcMar>
          </w:tcPr>
          <w:p>
            <w:pPr>
              <w:spacing w:after="0" w:before="0"/>
            </w:pPr>
            <w:r>
              <w:rPr>
                <w:rFonts w:ascii="Arial" w:cs="Arial" w:eastAsia="Arial" w:hAnsi="Arial"/>
                <w:b/>
                <w:bCs/>
                <w:color w:val="1E1E2E"/>
                <w:sz w:val="19"/>
                <w:szCs w:val="19"/>
              </w:rPr>
              <w:t xml:space="preserve">Builds reteaming readiness. </w:t>
            </w:r>
            <w:r>
              <w:rPr>
                <w:rFonts w:ascii="Arial" w:cs="Arial" w:eastAsia="Arial" w:hAnsi="Arial"/>
                <w:color w:val="1E1E2E"/>
                <w:sz w:val="19"/>
                <w:szCs w:val="19"/>
              </w:rPr>
              <w:t xml:space="preserve">People who work in virtual squads build the cross-domain trust and context that make dynamic reteaming natural -- without waiting for a structural reorganisation to force it.</w:t>
            </w:r>
          </w:p>
        </w:tc>
      </w:tr>
    </w:tbl>
    <w:p>
      <w:pPr>
        <w:spacing w:after="0" w:before="160"/>
      </w:pPr>
    </w:p>
    <w:p>
      <w:pPr>
        <w:spacing w:after="0" w:before="0"/>
      </w:pPr>
      <w:r>
        <w:rPr>
          <w:rFonts w:ascii="Arial" w:cs="Arial" w:eastAsia="Arial" w:hAnsi="Arial"/>
          <w:i/>
          <w:iCs/>
          <w:color w:val="6B7280"/>
          <w:sz w:val="17"/>
          <w:szCs w:val="17"/>
        </w:rPr>
        <w:t xml:space="preserve">Being shared with the Treat leadership group following the Tech AMA (June 17, 2026). Trial begins Q2 -- virtual squads formed per workstream, no line manager changes, anchor teams remain. Part of the Treat ways of working initiative (Jonathan Aghimien · Yuval Rubin).</w:t>
      </w:r>
    </w:p>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2026-06-17T16:14:02.178Z</dcterms:created>
  <dcterms:modified xsi:type="dcterms:W3CDTF">2026-06-17T16:14:02.185Z</dcterms:modified>
</cp:coreProperties>
</file>

<file path=docProps/custom.xml><?xml version="1.0" encoding="utf-8"?>
<Properties xmlns="http://schemas.openxmlformats.org/officeDocument/2006/custom-properties" xmlns:vt="http://schemas.openxmlformats.org/officeDocument/2006/docPropsVTypes"/>
</file>