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B7" w:rsidRDefault="00805EB7"/>
    <w:p w:rsidR="00805EB7" w:rsidRPr="00805EB7" w:rsidRDefault="00805EB7">
      <w:pPr>
        <w:rPr>
          <w:b/>
        </w:rPr>
      </w:pPr>
      <w:r w:rsidRPr="00805EB7">
        <w:rPr>
          <w:b/>
        </w:rPr>
        <w:t xml:space="preserve">Number: </w:t>
      </w:r>
    </w:p>
    <w:p w:rsidR="00805EB7" w:rsidRDefault="00805EB7">
      <w:r>
        <w:t xml:space="preserve">Project Number. There are 522 (521) projects in the data set. Instead of a long number, I have taken the line number as their </w:t>
      </w:r>
      <w:proofErr w:type="spellStart"/>
      <w:r>
        <w:t>indentification</w:t>
      </w:r>
      <w:proofErr w:type="spellEnd"/>
      <w:r>
        <w:t xml:space="preserve">. </w:t>
      </w:r>
    </w:p>
    <w:p w:rsidR="00805EB7" w:rsidRDefault="00805EB7"/>
    <w:p w:rsidR="00805EB7" w:rsidRPr="00805EB7" w:rsidRDefault="00805EB7">
      <w:pPr>
        <w:rPr>
          <w:b/>
        </w:rPr>
      </w:pPr>
      <w:proofErr w:type="spellStart"/>
      <w:r w:rsidRPr="00805EB7">
        <w:rPr>
          <w:b/>
        </w:rPr>
        <w:t>Programme</w:t>
      </w:r>
      <w:proofErr w:type="spellEnd"/>
      <w:r w:rsidRPr="00805EB7">
        <w:rPr>
          <w:b/>
        </w:rPr>
        <w:t>:</w:t>
      </w:r>
    </w:p>
    <w:p w:rsidR="00805EB7" w:rsidRDefault="00805EB7">
      <w:r>
        <w:t xml:space="preserve">There are 4 different </w:t>
      </w:r>
      <w:proofErr w:type="spellStart"/>
      <w:r>
        <w:t>programmes</w:t>
      </w:r>
      <w:proofErr w:type="spellEnd"/>
      <w:r>
        <w:t xml:space="preserve"> in which the projects can be implemented, namely</w:t>
      </w:r>
      <w:proofErr w:type="gramStart"/>
      <w:r>
        <w:t>;</w:t>
      </w:r>
      <w:proofErr w:type="gramEnd"/>
      <w:r>
        <w:t xml:space="preserve"> Highlands and Islands ERDF, Highlands and Islands ESF, Lowlands and Uplands ERDF, and Lowlands and Uplands ESF. </w:t>
      </w:r>
    </w:p>
    <w:p w:rsidR="00805EB7" w:rsidRDefault="00805EB7"/>
    <w:p w:rsidR="00805EB7" w:rsidRDefault="00805EB7">
      <w:r>
        <w:t xml:space="preserve">ERDF </w:t>
      </w:r>
      <w:proofErr w:type="spellStart"/>
      <w:r>
        <w:t>programmes</w:t>
      </w:r>
      <w:proofErr w:type="spellEnd"/>
      <w:r>
        <w:t xml:space="preserve"> are more focused on business support and regional development. While ESF is more focused on getting people into work – focusing on the development of education, skills, life long learning. </w:t>
      </w:r>
    </w:p>
    <w:p w:rsidR="00805EB7" w:rsidRDefault="00805EB7"/>
    <w:p w:rsidR="00805EB7" w:rsidRPr="00805EB7" w:rsidRDefault="00805EB7">
      <w:pPr>
        <w:rPr>
          <w:b/>
        </w:rPr>
      </w:pPr>
      <w:r w:rsidRPr="00805EB7">
        <w:rPr>
          <w:b/>
        </w:rPr>
        <w:t>Priority</w:t>
      </w:r>
      <w:r w:rsidRPr="00805EB7">
        <w:rPr>
          <w:b/>
        </w:rPr>
        <w:tab/>
      </w:r>
    </w:p>
    <w:p w:rsidR="00805EB7" w:rsidRDefault="00805EB7">
      <w:r>
        <w:t>Within each fund there are specific prioritie</w:t>
      </w:r>
      <w:r w:rsidR="00492817">
        <w:t xml:space="preserve">s. Within Scotland there are 13 </w:t>
      </w:r>
      <w:r>
        <w:t>different priorities. Namely:</w:t>
      </w:r>
    </w:p>
    <w:p w:rsidR="00492817" w:rsidRDefault="00492817"/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90"/>
        <w:gridCol w:w="891"/>
        <w:gridCol w:w="891"/>
        <w:gridCol w:w="5844"/>
      </w:tblGrid>
      <w:tr w:rsidR="00492817" w:rsidRPr="00F02EC5" w:rsidTr="00492817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OP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Fund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Priority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Objective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H&amp;I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ERDF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1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 xml:space="preserve">Enhancing business competitiveness, </w:t>
            </w:r>
            <w:proofErr w:type="spellStart"/>
            <w:r w:rsidRPr="00F02EC5">
              <w:t>commercialisation</w:t>
            </w:r>
            <w:proofErr w:type="spellEnd"/>
            <w:r w:rsidRPr="00F02EC5">
              <w:t xml:space="preserve"> and innovation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Enhancing key drivers of sustainable growth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3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Enhancing peripheral and fragile communities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H&amp;I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ESF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1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Increasing the workforce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Investing in the workforce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3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Improving access to lifelong learning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L&amp;U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ERDF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1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Research and innovation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Enterprise growth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3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Urban regeneration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4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Rural development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>
              <w:t>L&amp;U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ESF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1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Progressing into employment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Progressing through employment</w:t>
            </w:r>
          </w:p>
        </w:tc>
      </w:tr>
      <w:tr w:rsidR="00492817" w:rsidRPr="00F02EC5" w:rsidTr="0049281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3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492817" w:rsidRPr="00F02EC5" w:rsidRDefault="00492817" w:rsidP="00492817">
            <w:pPr>
              <w:contextualSpacing/>
            </w:pPr>
            <w:r w:rsidRPr="00F02EC5">
              <w:t>Improving access to lifelong learning</w:t>
            </w:r>
          </w:p>
        </w:tc>
      </w:tr>
    </w:tbl>
    <w:p w:rsidR="00805EB7" w:rsidRDefault="00805EB7"/>
    <w:p w:rsidR="00805EB7" w:rsidRDefault="00805EB7">
      <w:pPr>
        <w:rPr>
          <w:b/>
        </w:rPr>
      </w:pPr>
      <w:r w:rsidRPr="00805EB7">
        <w:rPr>
          <w:b/>
        </w:rPr>
        <w:t>Dependent variables:</w:t>
      </w:r>
    </w:p>
    <w:p w:rsidR="00492817" w:rsidRDefault="00492817">
      <w:r>
        <w:t xml:space="preserve">The projects are </w:t>
      </w:r>
      <w:proofErr w:type="spellStart"/>
      <w:r>
        <w:t>assesd</w:t>
      </w:r>
      <w:proofErr w:type="spellEnd"/>
      <w:r>
        <w:t xml:space="preserve"> based upon their financial spending and achieved outputs. All projects before they begin set how much they will </w:t>
      </w:r>
      <w:proofErr w:type="gramStart"/>
      <w:r>
        <w:t>spent</w:t>
      </w:r>
      <w:proofErr w:type="gramEnd"/>
      <w:r>
        <w:t xml:space="preserve">, and how much of which output they will achieve. </w:t>
      </w:r>
    </w:p>
    <w:p w:rsidR="00492817" w:rsidRPr="00492817" w:rsidRDefault="00492817"/>
    <w:p w:rsidR="00805EB7" w:rsidRPr="00492817" w:rsidRDefault="00805EB7">
      <w:r w:rsidRPr="00492817">
        <w:rPr>
          <w:b/>
        </w:rPr>
        <w:t>Absorption.Capacity.2</w:t>
      </w:r>
      <w:r w:rsidR="00492817">
        <w:rPr>
          <w:b/>
        </w:rPr>
        <w:t xml:space="preserve">: </w:t>
      </w:r>
      <w:r w:rsidR="00492817">
        <w:t>is a percentage of their financial spent.</w:t>
      </w:r>
    </w:p>
    <w:p w:rsidR="00805EB7" w:rsidRDefault="00805EB7" w:rsidP="00805EB7">
      <w:proofErr w:type="spellStart"/>
      <w:r w:rsidRPr="00492817">
        <w:rPr>
          <w:b/>
        </w:rPr>
        <w:t>Percentage.achieved</w:t>
      </w:r>
      <w:proofErr w:type="spellEnd"/>
      <w:r w:rsidR="00492817" w:rsidRPr="00492817">
        <w:rPr>
          <w:b/>
        </w:rPr>
        <w:t xml:space="preserve">: </w:t>
      </w:r>
      <w:r w:rsidR="00492817">
        <w:t xml:space="preserve"> </w:t>
      </w:r>
      <w:proofErr w:type="gramStart"/>
      <w:r w:rsidR="00492817">
        <w:t>is</w:t>
      </w:r>
      <w:proofErr w:type="gramEnd"/>
      <w:r w:rsidR="00492817">
        <w:t xml:space="preserve"> a percentage of their achieved outcomes. </w:t>
      </w:r>
    </w:p>
    <w:p w:rsidR="00492817" w:rsidRPr="00492817" w:rsidRDefault="00492817" w:rsidP="00805EB7"/>
    <w:p w:rsidR="00805EB7" w:rsidRDefault="00805EB7"/>
    <w:p w:rsidR="00805EB7" w:rsidRDefault="00805EB7">
      <w:pPr>
        <w:rPr>
          <w:b/>
        </w:rPr>
      </w:pPr>
      <w:r w:rsidRPr="00805EB7">
        <w:rPr>
          <w:b/>
        </w:rPr>
        <w:t>Independent vari</w:t>
      </w:r>
      <w:r w:rsidR="00492817">
        <w:rPr>
          <w:b/>
        </w:rPr>
        <w:t>ables</w:t>
      </w:r>
    </w:p>
    <w:p w:rsidR="00492817" w:rsidRPr="00805EB7" w:rsidRDefault="00492817">
      <w:pPr>
        <w:rPr>
          <w:b/>
        </w:rPr>
      </w:pPr>
      <w:r>
        <w:rPr>
          <w:b/>
        </w:rPr>
        <w:t xml:space="preserve">These are network variables calculated in </w:t>
      </w:r>
      <w:proofErr w:type="spellStart"/>
      <w:r>
        <w:rPr>
          <w:b/>
        </w:rPr>
        <w:t>Pajek</w:t>
      </w:r>
      <w:proofErr w:type="spellEnd"/>
      <w:r>
        <w:rPr>
          <w:b/>
        </w:rPr>
        <w:t xml:space="preserve">. </w:t>
      </w:r>
    </w:p>
    <w:p w:rsidR="00492817" w:rsidRDefault="00805EB7" w:rsidP="00316199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D49FC">
        <w:rPr>
          <w:b/>
        </w:rPr>
        <w:t>Degree.Centrality</w:t>
      </w:r>
      <w:proofErr w:type="spellEnd"/>
      <w:r w:rsidR="00492817">
        <w:t xml:space="preserve">: Count of the number of partners in the project. </w:t>
      </w:r>
    </w:p>
    <w:p w:rsidR="00805EB7" w:rsidRDefault="00492817" w:rsidP="00316199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D49FC">
        <w:rPr>
          <w:b/>
        </w:rPr>
        <w:lastRenderedPageBreak/>
        <w:t>Eigenfactor</w:t>
      </w:r>
      <w:proofErr w:type="spellEnd"/>
      <w:r w:rsidRPr="008D49FC">
        <w:rPr>
          <w:b/>
        </w:rPr>
        <w:t>:</w:t>
      </w:r>
      <w:r>
        <w:t xml:space="preserve"> Centrality measure of the project based on the centralities of its </w:t>
      </w:r>
      <w:r w:rsidR="00316199">
        <w:t>partners</w:t>
      </w:r>
    </w:p>
    <w:p w:rsidR="00805EB7" w:rsidRDefault="00316199" w:rsidP="00316199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D49FC">
        <w:rPr>
          <w:b/>
        </w:rPr>
        <w:t>Betweenness.Centrality</w:t>
      </w:r>
      <w:proofErr w:type="spellEnd"/>
      <w:r>
        <w:t xml:space="preserve">: the extent to which the project connects parts of the network that otherwise would not be connected </w:t>
      </w:r>
    </w:p>
    <w:p w:rsidR="00805EB7" w:rsidRDefault="00316199" w:rsidP="00316199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D49FC">
        <w:rPr>
          <w:b/>
        </w:rPr>
        <w:t>Cohesive.Subgroup</w:t>
      </w:r>
      <w:proofErr w:type="spellEnd"/>
      <w:r>
        <w:t xml:space="preserve">: </w:t>
      </w:r>
      <w:r w:rsidR="008D49FC">
        <w:t xml:space="preserve">the extent to which the project is embedded in the network. </w:t>
      </w:r>
    </w:p>
    <w:p w:rsidR="00805EB7" w:rsidRDefault="008D49FC" w:rsidP="00316199">
      <w:pPr>
        <w:pStyle w:val="ListParagraph"/>
        <w:numPr>
          <w:ilvl w:val="0"/>
          <w:numId w:val="1"/>
        </w:numPr>
        <w:spacing w:line="480" w:lineRule="auto"/>
      </w:pPr>
      <w:r w:rsidRPr="008D49FC">
        <w:rPr>
          <w:b/>
        </w:rPr>
        <w:t>LADC:</w:t>
      </w:r>
      <w:r>
        <w:t xml:space="preserve"> The number of projects in which the lead applicant is also a lead applicant. </w:t>
      </w:r>
    </w:p>
    <w:p w:rsidR="00805EB7" w:rsidRDefault="008D49FC" w:rsidP="00316199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D49FC">
        <w:rPr>
          <w:b/>
        </w:rPr>
        <w:t>ProjDC</w:t>
      </w:r>
      <w:proofErr w:type="spellEnd"/>
      <w:r w:rsidRPr="008D49FC">
        <w:rPr>
          <w:b/>
        </w:rPr>
        <w:t>:</w:t>
      </w:r>
      <w:r>
        <w:t xml:space="preserve"> The number of projects in which the lead applicant is a partner in a project.</w:t>
      </w:r>
    </w:p>
    <w:p w:rsidR="008D49FC" w:rsidRDefault="008D49FC" w:rsidP="008D49FC">
      <w:pPr>
        <w:pStyle w:val="ListParagraph"/>
        <w:numPr>
          <w:ilvl w:val="0"/>
          <w:numId w:val="1"/>
        </w:numPr>
        <w:spacing w:line="480" w:lineRule="auto"/>
      </w:pPr>
      <w:r w:rsidRPr="008D49FC">
        <w:rPr>
          <w:b/>
        </w:rPr>
        <w:t>BTC:</w:t>
      </w:r>
      <w:r>
        <w:t xml:space="preserve"> </w:t>
      </w:r>
      <w:proofErr w:type="spellStart"/>
      <w:r>
        <w:t>Betweenness</w:t>
      </w:r>
      <w:proofErr w:type="spellEnd"/>
      <w:r>
        <w:t xml:space="preserve"> centrality of the lead applicant- to what extent is the lead applicant a connecter of parts of the network that otherwise would not be connected. </w:t>
      </w:r>
    </w:p>
    <w:p w:rsidR="008D49FC" w:rsidRDefault="008D49FC" w:rsidP="008D49FC">
      <w:pPr>
        <w:pStyle w:val="ListParagraph"/>
        <w:numPr>
          <w:ilvl w:val="0"/>
          <w:numId w:val="1"/>
        </w:numPr>
        <w:spacing w:line="480" w:lineRule="auto"/>
      </w:pPr>
      <w:r w:rsidRPr="008D49FC">
        <w:rPr>
          <w:b/>
        </w:rPr>
        <w:t>EVC:</w:t>
      </w:r>
      <w:r>
        <w:t xml:space="preserve"> </w:t>
      </w:r>
      <w:proofErr w:type="spellStart"/>
      <w:r>
        <w:t>Eigenfactor</w:t>
      </w:r>
      <w:proofErr w:type="spellEnd"/>
      <w:r>
        <w:t xml:space="preserve"> centrality of the lead applicant: To what extent is the lead applicant connected to projects with lots of partners.</w:t>
      </w:r>
    </w:p>
    <w:p w:rsidR="00805EB7" w:rsidRDefault="008D49FC" w:rsidP="00316199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D49FC">
        <w:rPr>
          <w:b/>
        </w:rPr>
        <w:t>Kcore</w:t>
      </w:r>
      <w:proofErr w:type="spellEnd"/>
      <w:r w:rsidRPr="008D49FC">
        <w:rPr>
          <w:b/>
        </w:rPr>
        <w:t>:</w:t>
      </w:r>
      <w:r>
        <w:t xml:space="preserve"> To what extent is the lead applicant embedded in the network. </w:t>
      </w:r>
    </w:p>
    <w:p w:rsidR="00805EB7" w:rsidRDefault="00805EB7"/>
    <w:p w:rsidR="00805EB7" w:rsidRPr="00805EB7" w:rsidRDefault="00805EB7">
      <w:pPr>
        <w:rPr>
          <w:b/>
        </w:rPr>
      </w:pPr>
      <w:r>
        <w:rPr>
          <w:b/>
        </w:rPr>
        <w:t>Control variables:</w:t>
      </w:r>
    </w:p>
    <w:p w:rsidR="00316199" w:rsidRPr="008D49FC" w:rsidRDefault="00805EB7" w:rsidP="0031619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D49FC">
        <w:rPr>
          <w:b/>
        </w:rPr>
        <w:t>Approved.Intervention.Rate</w:t>
      </w:r>
      <w:proofErr w:type="spellEnd"/>
      <w:r w:rsidR="00316199" w:rsidRPr="008D49FC">
        <w:rPr>
          <w:b/>
        </w:rPr>
        <w:t xml:space="preserve">: </w:t>
      </w:r>
    </w:p>
    <w:p w:rsidR="00805EB7" w:rsidRDefault="00316199" w:rsidP="00316199">
      <w:pPr>
        <w:ind w:left="360"/>
      </w:pPr>
      <w:proofErr w:type="gramStart"/>
      <w:r>
        <w:t>the</w:t>
      </w:r>
      <w:proofErr w:type="gramEnd"/>
      <w:r>
        <w:t xml:space="preserve"> set percentage of the project that’s is allowed to be funded by the ERDF or ESF.</w:t>
      </w:r>
    </w:p>
    <w:p w:rsidR="00316199" w:rsidRPr="008D49FC" w:rsidRDefault="00805EB7" w:rsidP="0031619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D49FC">
        <w:rPr>
          <w:b/>
        </w:rPr>
        <w:t>Grant.Award</w:t>
      </w:r>
      <w:proofErr w:type="spellEnd"/>
      <w:r w:rsidR="00316199" w:rsidRPr="008D49FC">
        <w:rPr>
          <w:b/>
        </w:rPr>
        <w:t>:</w:t>
      </w:r>
    </w:p>
    <w:p w:rsidR="00805EB7" w:rsidRDefault="00316199" w:rsidP="00316199">
      <w:pPr>
        <w:ind w:left="360"/>
      </w:pPr>
      <w:r>
        <w:t>The amount that is actually awarded to the project</w:t>
      </w:r>
      <w:r w:rsidR="00805EB7" w:rsidRPr="00805EB7">
        <w:tab/>
      </w:r>
    </w:p>
    <w:p w:rsidR="00805EB7" w:rsidRPr="008D49FC" w:rsidRDefault="00316199" w:rsidP="00316199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8D49FC">
        <w:rPr>
          <w:b/>
        </w:rPr>
        <w:t>total.actual.spend</w:t>
      </w:r>
      <w:proofErr w:type="spellEnd"/>
      <w:proofErr w:type="gramEnd"/>
      <w:r w:rsidRPr="008D49FC">
        <w:rPr>
          <w:b/>
        </w:rPr>
        <w:t>:</w:t>
      </w:r>
    </w:p>
    <w:p w:rsidR="00316199" w:rsidRDefault="00316199" w:rsidP="00316199">
      <w:pPr>
        <w:ind w:left="360"/>
      </w:pPr>
      <w:r>
        <w:t xml:space="preserve">The amount of money the project actually spent, including the fund but also </w:t>
      </w:r>
      <w:r w:rsidR="00CD6542">
        <w:t xml:space="preserve">other match funding. </w:t>
      </w:r>
    </w:p>
    <w:p w:rsidR="00805EB7" w:rsidRDefault="00CD6542" w:rsidP="00316199">
      <w:pPr>
        <w:pStyle w:val="ListParagraph"/>
        <w:numPr>
          <w:ilvl w:val="0"/>
          <w:numId w:val="2"/>
        </w:numPr>
      </w:pPr>
      <w:proofErr w:type="spellStart"/>
      <w:r w:rsidRPr="008D49FC">
        <w:rPr>
          <w:b/>
        </w:rPr>
        <w:t>New.Type.Organisation</w:t>
      </w:r>
      <w:proofErr w:type="spellEnd"/>
      <w:r>
        <w:t>:</w:t>
      </w:r>
    </w:p>
    <w:p w:rsidR="00CD6542" w:rsidRDefault="00CD6542" w:rsidP="00CD6542">
      <w:pPr>
        <w:ind w:left="360"/>
      </w:pPr>
      <w:r>
        <w:t>Type of lead applicant</w:t>
      </w:r>
    </w:p>
    <w:p w:rsidR="00805EB7" w:rsidRDefault="008D49FC" w:rsidP="0031619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Type.Expenditure</w:t>
      </w:r>
      <w:proofErr w:type="spellEnd"/>
      <w:r>
        <w:rPr>
          <w:b/>
        </w:rPr>
        <w:t>:</w:t>
      </w:r>
    </w:p>
    <w:p w:rsidR="008D49FC" w:rsidRPr="008D49FC" w:rsidRDefault="008D49FC" w:rsidP="008D49FC">
      <w:pPr>
        <w:ind w:left="360"/>
      </w:pPr>
      <w:r>
        <w:t xml:space="preserve">Is the project a capital or expenditure </w:t>
      </w:r>
      <w:proofErr w:type="gramStart"/>
      <w:r>
        <w:t>project.</w:t>
      </w:r>
      <w:proofErr w:type="gramEnd"/>
      <w:r>
        <w:t xml:space="preserve"> There are </w:t>
      </w:r>
      <w:proofErr w:type="spellStart"/>
      <w:r>
        <w:t>differet</w:t>
      </w:r>
      <w:proofErr w:type="spellEnd"/>
      <w:r>
        <w:t xml:space="preserve"> eligibility criteria for the different projects. </w:t>
      </w:r>
      <w:bookmarkStart w:id="0" w:name="_GoBack"/>
      <w:bookmarkEnd w:id="0"/>
    </w:p>
    <w:sectPr w:rsidR="008D49FC" w:rsidRPr="008D49FC" w:rsidSect="006142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DA9"/>
    <w:multiLevelType w:val="hybridMultilevel"/>
    <w:tmpl w:val="9310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7471F"/>
    <w:multiLevelType w:val="hybridMultilevel"/>
    <w:tmpl w:val="5332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B7"/>
    <w:rsid w:val="00316199"/>
    <w:rsid w:val="00492817"/>
    <w:rsid w:val="006142C4"/>
    <w:rsid w:val="00805EB7"/>
    <w:rsid w:val="008D49FC"/>
    <w:rsid w:val="00CD6542"/>
    <w:rsid w:val="00D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9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817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817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Macintosh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Dorine Boumans</dc:creator>
  <cp:keywords/>
  <dc:description/>
  <cp:lastModifiedBy>Dorine Boumans</cp:lastModifiedBy>
  <cp:revision>2</cp:revision>
  <dcterms:created xsi:type="dcterms:W3CDTF">2014-10-22T07:07:00Z</dcterms:created>
  <dcterms:modified xsi:type="dcterms:W3CDTF">2014-10-22T07:07:00Z</dcterms:modified>
</cp:coreProperties>
</file>