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10" w:rsidRPr="00B41D10" w:rsidRDefault="00B41D10" w:rsidP="00B41D10">
      <w:r w:rsidRPr="00B41D10">
        <w:rPr>
          <w:b/>
          <w:bCs/>
        </w:rPr>
        <w:t>Introduction</w:t>
      </w:r>
    </w:p>
    <w:p w:rsidR="00B41D10" w:rsidRPr="00B41D10" w:rsidRDefault="00B41D10" w:rsidP="00B41D10">
      <w:r w:rsidRPr="00B41D10">
        <w:t xml:space="preserve">Lexis surfaces are a way of representing data that vary by both absolute time (year) and relative time (age). Usually, the horizontal axis is year and the vertical axis is age. </w:t>
      </w:r>
    </w:p>
    <w:p w:rsidR="00B41D10" w:rsidRPr="00B41D10" w:rsidRDefault="00B41D10" w:rsidP="00B41D10">
      <w:r w:rsidRPr="00B41D10">
        <w:t xml:space="preserve">Lexis surfaces for different groups, but over the same ranges of age and year can be compared, to identify where and how the groups differ over the Lexis surface. </w:t>
      </w:r>
    </w:p>
    <w:p w:rsidR="00B41D10" w:rsidRPr="00B41D10" w:rsidRDefault="00B41D10" w:rsidP="00B41D10">
      <w:r w:rsidRPr="00B41D10">
        <w:t>Scotland has a reputation as the ‘sick man of Europe’. Lexis surfaces are used here to identify firstly whether this reputation is justified, and secondly in which years and over which ages the burden of excess mortality is greatest.</w:t>
      </w:r>
    </w:p>
    <w:p w:rsidR="00B41D10" w:rsidRPr="00B41D10" w:rsidRDefault="00B41D10" w:rsidP="00B41D10">
      <w:r w:rsidRPr="00B41D10">
        <w:rPr>
          <w:b/>
          <w:bCs/>
        </w:rPr>
        <w:t>Method</w:t>
      </w:r>
    </w:p>
    <w:p w:rsidR="00B41D10" w:rsidRPr="00B41D10" w:rsidRDefault="00B41D10" w:rsidP="00B41D10">
      <w:r w:rsidRPr="00B41D10">
        <w:t xml:space="preserve">Data from the Human Mortality Database were used to crude death rates for Europe as a whole from 1950 to 2010, and for each age from 0 to 80 years. The Lexis surface for Scotland was calculated, and the differences in </w:t>
      </w:r>
      <w:proofErr w:type="gramStart"/>
      <w:r w:rsidRPr="00B41D10">
        <w:t>log(</w:t>
      </w:r>
      <w:proofErr w:type="gramEnd"/>
      <w:r w:rsidRPr="00B41D10">
        <w:t xml:space="preserve">mortality), for each age-year configuration, were calculated. </w:t>
      </w:r>
    </w:p>
    <w:p w:rsidR="00B41D10" w:rsidRPr="00B41D10" w:rsidRDefault="00B41D10" w:rsidP="00B41D10">
      <w:r w:rsidRPr="00B41D10">
        <w:t xml:space="preserve">The Lexis surface for Europe as a whole was visualised as a shaded contour plot (top figure), in which both shading and contour lines are used to represent values across the surface. The Lexis surface comparing Scotland with the </w:t>
      </w:r>
      <w:bookmarkStart w:id="0" w:name="_GoBack"/>
      <w:bookmarkEnd w:id="0"/>
      <w:r w:rsidRPr="00B41D10">
        <w:t xml:space="preserve">rest of the Europe was visualised as a level plot (lower figure). Red shading indicates higher age-year specific mortality </w:t>
      </w:r>
      <w:proofErr w:type="gramStart"/>
      <w:r w:rsidRPr="00B41D10">
        <w:t>rates ,</w:t>
      </w:r>
      <w:proofErr w:type="gramEnd"/>
      <w:r w:rsidRPr="00B41D10">
        <w:t xml:space="preserve"> and blue shading indicates lower mortality rates. The intensity of the shading indicates the extent of the deviation from the European average. </w:t>
      </w:r>
    </w:p>
    <w:p w:rsidR="00B41D10" w:rsidRPr="00B41D10" w:rsidRDefault="00B41D10" w:rsidP="00B41D10">
      <w:r w:rsidRPr="00B41D10">
        <w:t>For comparison, Lexis surfaces of differences are also presented for England &amp; Wales, France, and Norway, over the same age-year range.</w:t>
      </w:r>
    </w:p>
    <w:p w:rsidR="00B41D10" w:rsidRPr="00B41D10" w:rsidRDefault="00B41D10" w:rsidP="00B41D10">
      <w:r w:rsidRPr="00B41D10">
        <w:t>The R script file used to generate the Lexis surfaces is available from:</w:t>
      </w:r>
    </w:p>
    <w:p w:rsidR="00B41D10" w:rsidRPr="00B41D10" w:rsidRDefault="00B41D10" w:rsidP="00B41D10">
      <w:hyperlink r:id="rId6" w:history="1">
        <w:r w:rsidRPr="00B41D10">
          <w:rPr>
            <w:rStyle w:val="Hyperlink"/>
          </w:rPr>
          <w:t>https://github.com/JonMinton/ASPHER_Poster</w:t>
        </w:r>
      </w:hyperlink>
    </w:p>
    <w:p w:rsidR="00B41D10" w:rsidRPr="00B41D10" w:rsidRDefault="00B41D10" w:rsidP="00B41D10">
      <w:r w:rsidRPr="00B41D10">
        <w:rPr>
          <w:b/>
          <w:bCs/>
        </w:rPr>
        <w:t>Results</w:t>
      </w:r>
    </w:p>
    <w:p w:rsidR="00B41D10" w:rsidRPr="00B41D10" w:rsidRDefault="00B41D10" w:rsidP="00B41D10">
      <w:r w:rsidRPr="00B41D10">
        <w:t xml:space="preserve">The shaded contour map for Europe as a whole, showing </w:t>
      </w:r>
      <w:proofErr w:type="gramStart"/>
      <w:r w:rsidRPr="00B41D10">
        <w:t>log(</w:t>
      </w:r>
      <w:proofErr w:type="gramEnd"/>
      <w:r w:rsidRPr="00B41D10">
        <w:t xml:space="preserve">mortality), shows a number of patterns, including: </w:t>
      </w:r>
    </w:p>
    <w:p w:rsidR="00000000" w:rsidRPr="00B41D10" w:rsidRDefault="00B41D10" w:rsidP="00B41D10">
      <w:pPr>
        <w:numPr>
          <w:ilvl w:val="0"/>
          <w:numId w:val="1"/>
        </w:numPr>
      </w:pPr>
      <w:r w:rsidRPr="00B41D10">
        <w:t xml:space="preserve">A cohort effect associated with being born in the wake of The Great War; </w:t>
      </w:r>
    </w:p>
    <w:p w:rsidR="00000000" w:rsidRPr="00B41D10" w:rsidRDefault="00B41D10" w:rsidP="00B41D10">
      <w:pPr>
        <w:numPr>
          <w:ilvl w:val="0"/>
          <w:numId w:val="1"/>
        </w:numPr>
      </w:pPr>
      <w:r w:rsidRPr="00B41D10">
        <w:t>Comparatively high, but historically low, rates of mortality in infancy</w:t>
      </w:r>
    </w:p>
    <w:p w:rsidR="00000000" w:rsidRPr="00B41D10" w:rsidRDefault="00B41D10" w:rsidP="00B41D10">
      <w:pPr>
        <w:numPr>
          <w:ilvl w:val="0"/>
          <w:numId w:val="1"/>
        </w:numPr>
      </w:pPr>
      <w:r w:rsidRPr="00B41D10">
        <w:t>A growing protective childhood effect</w:t>
      </w:r>
    </w:p>
    <w:p w:rsidR="00000000" w:rsidRPr="00B41D10" w:rsidRDefault="00B41D10" w:rsidP="00B41D10">
      <w:pPr>
        <w:numPr>
          <w:ilvl w:val="0"/>
          <w:numId w:val="1"/>
        </w:numPr>
      </w:pPr>
      <w:r w:rsidRPr="00B41D10">
        <w:t>Broad tendencies towards reduced mortality risks at all ages in adulthood</w:t>
      </w:r>
    </w:p>
    <w:p w:rsidR="00B41D10" w:rsidRPr="00B41D10" w:rsidRDefault="00B41D10" w:rsidP="00B41D10">
      <w:r w:rsidRPr="00B41D10">
        <w:t xml:space="preserve">The level plot for Scotland, showing deviation in </w:t>
      </w:r>
      <w:proofErr w:type="gramStart"/>
      <w:r w:rsidRPr="00B41D10">
        <w:t>log(</w:t>
      </w:r>
      <w:proofErr w:type="gramEnd"/>
      <w:r w:rsidRPr="00B41D10">
        <w:t>mortality), suggests:</w:t>
      </w:r>
    </w:p>
    <w:p w:rsidR="00000000" w:rsidRPr="00B41D10" w:rsidRDefault="00B41D10" w:rsidP="00B41D10">
      <w:pPr>
        <w:numPr>
          <w:ilvl w:val="0"/>
          <w:numId w:val="2"/>
        </w:numPr>
      </w:pPr>
      <w:r w:rsidRPr="00B41D10">
        <w:t>The reputation for poor health compared with the European average is largely justified.</w:t>
      </w:r>
    </w:p>
    <w:p w:rsidR="00000000" w:rsidRPr="00B41D10" w:rsidRDefault="00B41D10" w:rsidP="00B41D10">
      <w:pPr>
        <w:numPr>
          <w:ilvl w:val="0"/>
          <w:numId w:val="2"/>
        </w:numPr>
      </w:pPr>
      <w:r w:rsidRPr="00B41D10">
        <w:t>The excess mortality risk affects histori</w:t>
      </w:r>
      <w:r w:rsidRPr="00B41D10">
        <w:t>cally affected both males and females only in middle age (approximately 40 years onwards).</w:t>
      </w:r>
    </w:p>
    <w:p w:rsidR="00000000" w:rsidRPr="00B41D10" w:rsidRDefault="00B41D10" w:rsidP="00B41D10">
      <w:pPr>
        <w:numPr>
          <w:ilvl w:val="0"/>
          <w:numId w:val="2"/>
        </w:numPr>
      </w:pPr>
      <w:r w:rsidRPr="00B41D10">
        <w:lastRenderedPageBreak/>
        <w:t>However, since the late 1990s/early 2000s, it has also started to affect adults of all ages.</w:t>
      </w:r>
    </w:p>
    <w:p w:rsidR="00B41D10" w:rsidRPr="00B41D10" w:rsidRDefault="00B41D10" w:rsidP="00B41D10">
      <w:r w:rsidRPr="00B41D10">
        <w:t>The level plots for England &amp; Wales, France, and Norway indicate:</w:t>
      </w:r>
    </w:p>
    <w:p w:rsidR="00000000" w:rsidRPr="00B41D10" w:rsidRDefault="00B41D10" w:rsidP="00B41D10">
      <w:pPr>
        <w:numPr>
          <w:ilvl w:val="0"/>
          <w:numId w:val="3"/>
        </w:numPr>
      </w:pPr>
      <w:r w:rsidRPr="00B41D10">
        <w:t>England &amp; Wales used to have substantially better health than Europe as a whole, with a hint of a broad protective cohort effect associated with male ‘baby boomers’. However in recent years</w:t>
      </w:r>
      <w:r w:rsidRPr="00B41D10">
        <w:t xml:space="preserve"> the advantage has been lost.</w:t>
      </w:r>
    </w:p>
    <w:p w:rsidR="00000000" w:rsidRPr="00B41D10" w:rsidRDefault="00B41D10" w:rsidP="00B41D10">
      <w:pPr>
        <w:numPr>
          <w:ilvl w:val="0"/>
          <w:numId w:val="3"/>
        </w:numPr>
      </w:pPr>
      <w:r w:rsidRPr="00B41D10">
        <w:t>France has always tended to be close to the European average.</w:t>
      </w:r>
    </w:p>
    <w:p w:rsidR="00000000" w:rsidRPr="00B41D10" w:rsidRDefault="00B41D10" w:rsidP="00B41D10">
      <w:pPr>
        <w:numPr>
          <w:ilvl w:val="0"/>
          <w:numId w:val="3"/>
        </w:numPr>
      </w:pPr>
      <w:r w:rsidRPr="00B41D10">
        <w:t>Norway has a ‘noisier’ level plo</w:t>
      </w:r>
      <w:r w:rsidRPr="00B41D10">
        <w:t>t, presumably due to a smaller population size. However, overall Norway has tended towards lower mortality risk at all ages. In recent years there is a suggestion that the mortality advantage for younger adults has been lost. However, this may be an artefa</w:t>
      </w:r>
      <w:r w:rsidRPr="00B41D10">
        <w:t>ct. (See discussion)</w:t>
      </w:r>
    </w:p>
    <w:p w:rsidR="00B41D10" w:rsidRPr="00B41D10" w:rsidRDefault="00B41D10" w:rsidP="00B41D10">
      <w:r w:rsidRPr="00B41D10">
        <w:rPr>
          <w:b/>
          <w:bCs/>
        </w:rPr>
        <w:t>Discussion</w:t>
      </w:r>
    </w:p>
    <w:p w:rsidR="00B41D10" w:rsidRPr="00B41D10" w:rsidRDefault="00B41D10" w:rsidP="00B41D10">
      <w:r w:rsidRPr="00B41D10">
        <w:t>Shaded contour maps have been used to show some very strong, and generally positive, long-term trends in age-specific mortality rates within Europe. Level plots of differences show how Scotland and other nations differ from the European average. As expected, Scotland has generally poorer health than Europe as a whole, and in recent years this disadvantage seems to have affected adults of all ages rather than just middle age.</w:t>
      </w:r>
    </w:p>
    <w:p w:rsidR="00B41D10" w:rsidRPr="00B41D10" w:rsidRDefault="00B41D10" w:rsidP="00B41D10">
      <w:r w:rsidRPr="00B41D10">
        <w:t xml:space="preserve">Some of the apparent disadvantage affecting younger adults in all four nations could be an artefact of population count estimates in these groups becoming more unreliable due to increased migration within Europe. This artefact is the focus of a paper I have written that is currently under review. </w:t>
      </w:r>
    </w:p>
    <w:p w:rsidR="00B41D10" w:rsidRPr="00B41D10" w:rsidRDefault="00B41D10" w:rsidP="00B41D10">
      <w:r w:rsidRPr="00B41D10">
        <w:rPr>
          <w:b/>
          <w:bCs/>
        </w:rPr>
        <w:t>Further Reading</w:t>
      </w:r>
    </w:p>
    <w:p w:rsidR="00000000" w:rsidRPr="00B41D10" w:rsidRDefault="00B41D10" w:rsidP="00B41D10">
      <w:pPr>
        <w:numPr>
          <w:ilvl w:val="0"/>
          <w:numId w:val="4"/>
        </w:numPr>
      </w:pPr>
      <w:r w:rsidRPr="00B41D10">
        <w:t xml:space="preserve">Minton, </w:t>
      </w:r>
      <w:proofErr w:type="spellStart"/>
      <w:r w:rsidRPr="00B41D10">
        <w:t>Vanderbloemen</w:t>
      </w:r>
      <w:proofErr w:type="spellEnd"/>
      <w:r w:rsidRPr="00B41D10">
        <w:t xml:space="preserve">, Dorling (2013), “Visualising Europe’s Demographic Scars with </w:t>
      </w:r>
      <w:proofErr w:type="spellStart"/>
      <w:r w:rsidRPr="00B41D10">
        <w:t>coplots</w:t>
      </w:r>
      <w:proofErr w:type="spellEnd"/>
      <w:r w:rsidRPr="00B41D10">
        <w:t xml:space="preserve"> and contour plots”, </w:t>
      </w:r>
      <w:r w:rsidRPr="00B41D10">
        <w:rPr>
          <w:i/>
          <w:iCs/>
        </w:rPr>
        <w:t>International Journal of Epidemiology</w:t>
      </w:r>
      <w:r w:rsidRPr="00B41D10">
        <w:t>. DOI: 10.1093/</w:t>
      </w:r>
      <w:proofErr w:type="spellStart"/>
      <w:r w:rsidRPr="00B41D10">
        <w:t>ije</w:t>
      </w:r>
      <w:proofErr w:type="spellEnd"/>
      <w:r w:rsidRPr="00B41D10">
        <w:t>/dyt115</w:t>
      </w:r>
    </w:p>
    <w:p w:rsidR="00000000" w:rsidRPr="00B41D10" w:rsidRDefault="00B41D10" w:rsidP="00B41D10">
      <w:pPr>
        <w:numPr>
          <w:ilvl w:val="0"/>
          <w:numId w:val="4"/>
        </w:numPr>
      </w:pPr>
      <w:r w:rsidRPr="00B41D10">
        <w:t>Minton (2014), “Real geographies and virtual landscap</w:t>
      </w:r>
      <w:r w:rsidRPr="00B41D10">
        <w:t xml:space="preserve">es: Exploring the influence of place and space on mortality Lexis surfaces using shaded contour maps”, </w:t>
      </w:r>
      <w:r w:rsidRPr="00B41D10">
        <w:rPr>
          <w:i/>
          <w:iCs/>
        </w:rPr>
        <w:t xml:space="preserve">Spatial and </w:t>
      </w:r>
      <w:proofErr w:type="spellStart"/>
      <w:r w:rsidRPr="00B41D10">
        <w:rPr>
          <w:i/>
          <w:iCs/>
        </w:rPr>
        <w:t>Spatio</w:t>
      </w:r>
      <w:proofErr w:type="spellEnd"/>
      <w:r w:rsidRPr="00B41D10">
        <w:rPr>
          <w:i/>
          <w:iCs/>
        </w:rPr>
        <w:t xml:space="preserve">-temporal Epidemiology. </w:t>
      </w:r>
      <w:r w:rsidRPr="00B41D10">
        <w:t>DOI: 0.1016/j.sste.2014.04.003</w:t>
      </w:r>
    </w:p>
    <w:p w:rsidR="00000000" w:rsidRPr="00B41D10" w:rsidRDefault="00B41D10" w:rsidP="00B41D10">
      <w:pPr>
        <w:numPr>
          <w:ilvl w:val="0"/>
          <w:numId w:val="4"/>
        </w:numPr>
      </w:pPr>
      <w:r w:rsidRPr="00B41D10">
        <w:t>Minton (Accepted), “If Europe were a country...</w:t>
      </w:r>
      <w:proofErr w:type="gramStart"/>
      <w:r w:rsidRPr="00B41D10">
        <w:t>”,</w:t>
      </w:r>
      <w:proofErr w:type="gramEnd"/>
      <w:r w:rsidRPr="00B41D10">
        <w:t xml:space="preserve"> </w:t>
      </w:r>
      <w:r w:rsidRPr="00B41D10">
        <w:rPr>
          <w:i/>
          <w:iCs/>
        </w:rPr>
        <w:t>Environment &amp; Planning</w:t>
      </w:r>
      <w:r w:rsidRPr="00B41D10">
        <w:rPr>
          <w:i/>
          <w:iCs/>
        </w:rPr>
        <w:t xml:space="preserve"> A. </w:t>
      </w:r>
    </w:p>
    <w:p w:rsidR="00000000" w:rsidRPr="00B41D10" w:rsidRDefault="00B41D10" w:rsidP="00B41D10">
      <w:pPr>
        <w:numPr>
          <w:ilvl w:val="0"/>
          <w:numId w:val="4"/>
        </w:numPr>
      </w:pPr>
      <w:r w:rsidRPr="00B41D10">
        <w:t xml:space="preserve"> Minton, </w:t>
      </w:r>
      <w:proofErr w:type="spellStart"/>
      <w:r w:rsidRPr="00B41D10">
        <w:t>Zalonzik</w:t>
      </w:r>
      <w:proofErr w:type="spellEnd"/>
      <w:r w:rsidRPr="00B41D10">
        <w:t>, Dorling (Under Review), “Hunting demographic ghosts: Do we need a census of Europe?</w:t>
      </w:r>
      <w:proofErr w:type="gramStart"/>
      <w:r w:rsidRPr="00B41D10">
        <w:t>”,</w:t>
      </w:r>
      <w:proofErr w:type="gramEnd"/>
      <w:r w:rsidRPr="00B41D10">
        <w:t xml:space="preserve"> </w:t>
      </w:r>
      <w:r w:rsidRPr="00B41D10">
        <w:rPr>
          <w:i/>
          <w:iCs/>
        </w:rPr>
        <w:t xml:space="preserve">Environment </w:t>
      </w:r>
      <w:r w:rsidRPr="00B41D10">
        <w:rPr>
          <w:i/>
          <w:iCs/>
        </w:rPr>
        <w:t xml:space="preserve">&amp; Planning A. </w:t>
      </w:r>
    </w:p>
    <w:p w:rsidR="00624286" w:rsidRDefault="00624286"/>
    <w:sectPr w:rsidR="006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C5760"/>
    <w:multiLevelType w:val="hybridMultilevel"/>
    <w:tmpl w:val="B27E2A2A"/>
    <w:lvl w:ilvl="0" w:tplc="1BCE0F08">
      <w:start w:val="1"/>
      <w:numFmt w:val="bullet"/>
      <w:lvlText w:val="•"/>
      <w:lvlJc w:val="left"/>
      <w:pPr>
        <w:tabs>
          <w:tab w:val="num" w:pos="720"/>
        </w:tabs>
        <w:ind w:left="720" w:hanging="360"/>
      </w:pPr>
      <w:rPr>
        <w:rFonts w:ascii="Arial" w:hAnsi="Arial" w:hint="default"/>
      </w:rPr>
    </w:lvl>
    <w:lvl w:ilvl="1" w:tplc="0452FCC4" w:tentative="1">
      <w:start w:val="1"/>
      <w:numFmt w:val="bullet"/>
      <w:lvlText w:val="•"/>
      <w:lvlJc w:val="left"/>
      <w:pPr>
        <w:tabs>
          <w:tab w:val="num" w:pos="1440"/>
        </w:tabs>
        <w:ind w:left="1440" w:hanging="360"/>
      </w:pPr>
      <w:rPr>
        <w:rFonts w:ascii="Arial" w:hAnsi="Arial" w:hint="default"/>
      </w:rPr>
    </w:lvl>
    <w:lvl w:ilvl="2" w:tplc="B33CA26A" w:tentative="1">
      <w:start w:val="1"/>
      <w:numFmt w:val="bullet"/>
      <w:lvlText w:val="•"/>
      <w:lvlJc w:val="left"/>
      <w:pPr>
        <w:tabs>
          <w:tab w:val="num" w:pos="2160"/>
        </w:tabs>
        <w:ind w:left="2160" w:hanging="360"/>
      </w:pPr>
      <w:rPr>
        <w:rFonts w:ascii="Arial" w:hAnsi="Arial" w:hint="default"/>
      </w:rPr>
    </w:lvl>
    <w:lvl w:ilvl="3" w:tplc="364A3036" w:tentative="1">
      <w:start w:val="1"/>
      <w:numFmt w:val="bullet"/>
      <w:lvlText w:val="•"/>
      <w:lvlJc w:val="left"/>
      <w:pPr>
        <w:tabs>
          <w:tab w:val="num" w:pos="2880"/>
        </w:tabs>
        <w:ind w:left="2880" w:hanging="360"/>
      </w:pPr>
      <w:rPr>
        <w:rFonts w:ascii="Arial" w:hAnsi="Arial" w:hint="default"/>
      </w:rPr>
    </w:lvl>
    <w:lvl w:ilvl="4" w:tplc="EE48E778" w:tentative="1">
      <w:start w:val="1"/>
      <w:numFmt w:val="bullet"/>
      <w:lvlText w:val="•"/>
      <w:lvlJc w:val="left"/>
      <w:pPr>
        <w:tabs>
          <w:tab w:val="num" w:pos="3600"/>
        </w:tabs>
        <w:ind w:left="3600" w:hanging="360"/>
      </w:pPr>
      <w:rPr>
        <w:rFonts w:ascii="Arial" w:hAnsi="Arial" w:hint="default"/>
      </w:rPr>
    </w:lvl>
    <w:lvl w:ilvl="5" w:tplc="AEC44C1C" w:tentative="1">
      <w:start w:val="1"/>
      <w:numFmt w:val="bullet"/>
      <w:lvlText w:val="•"/>
      <w:lvlJc w:val="left"/>
      <w:pPr>
        <w:tabs>
          <w:tab w:val="num" w:pos="4320"/>
        </w:tabs>
        <w:ind w:left="4320" w:hanging="360"/>
      </w:pPr>
      <w:rPr>
        <w:rFonts w:ascii="Arial" w:hAnsi="Arial" w:hint="default"/>
      </w:rPr>
    </w:lvl>
    <w:lvl w:ilvl="6" w:tplc="53601442" w:tentative="1">
      <w:start w:val="1"/>
      <w:numFmt w:val="bullet"/>
      <w:lvlText w:val="•"/>
      <w:lvlJc w:val="left"/>
      <w:pPr>
        <w:tabs>
          <w:tab w:val="num" w:pos="5040"/>
        </w:tabs>
        <w:ind w:left="5040" w:hanging="360"/>
      </w:pPr>
      <w:rPr>
        <w:rFonts w:ascii="Arial" w:hAnsi="Arial" w:hint="default"/>
      </w:rPr>
    </w:lvl>
    <w:lvl w:ilvl="7" w:tplc="7BF047F8" w:tentative="1">
      <w:start w:val="1"/>
      <w:numFmt w:val="bullet"/>
      <w:lvlText w:val="•"/>
      <w:lvlJc w:val="left"/>
      <w:pPr>
        <w:tabs>
          <w:tab w:val="num" w:pos="5760"/>
        </w:tabs>
        <w:ind w:left="5760" w:hanging="360"/>
      </w:pPr>
      <w:rPr>
        <w:rFonts w:ascii="Arial" w:hAnsi="Arial" w:hint="default"/>
      </w:rPr>
    </w:lvl>
    <w:lvl w:ilvl="8" w:tplc="5644CB32" w:tentative="1">
      <w:start w:val="1"/>
      <w:numFmt w:val="bullet"/>
      <w:lvlText w:val="•"/>
      <w:lvlJc w:val="left"/>
      <w:pPr>
        <w:tabs>
          <w:tab w:val="num" w:pos="6480"/>
        </w:tabs>
        <w:ind w:left="6480" w:hanging="360"/>
      </w:pPr>
      <w:rPr>
        <w:rFonts w:ascii="Arial" w:hAnsi="Arial" w:hint="default"/>
      </w:rPr>
    </w:lvl>
  </w:abstractNum>
  <w:abstractNum w:abstractNumId="1">
    <w:nsid w:val="20092ED6"/>
    <w:multiLevelType w:val="hybridMultilevel"/>
    <w:tmpl w:val="004CB564"/>
    <w:lvl w:ilvl="0" w:tplc="5DB43D36">
      <w:start w:val="1"/>
      <w:numFmt w:val="bullet"/>
      <w:lvlText w:val="•"/>
      <w:lvlJc w:val="left"/>
      <w:pPr>
        <w:tabs>
          <w:tab w:val="num" w:pos="720"/>
        </w:tabs>
        <w:ind w:left="720" w:hanging="360"/>
      </w:pPr>
      <w:rPr>
        <w:rFonts w:ascii="Arial" w:hAnsi="Arial" w:hint="default"/>
      </w:rPr>
    </w:lvl>
    <w:lvl w:ilvl="1" w:tplc="96163410" w:tentative="1">
      <w:start w:val="1"/>
      <w:numFmt w:val="bullet"/>
      <w:lvlText w:val="•"/>
      <w:lvlJc w:val="left"/>
      <w:pPr>
        <w:tabs>
          <w:tab w:val="num" w:pos="1440"/>
        </w:tabs>
        <w:ind w:left="1440" w:hanging="360"/>
      </w:pPr>
      <w:rPr>
        <w:rFonts w:ascii="Arial" w:hAnsi="Arial" w:hint="default"/>
      </w:rPr>
    </w:lvl>
    <w:lvl w:ilvl="2" w:tplc="98A8F050" w:tentative="1">
      <w:start w:val="1"/>
      <w:numFmt w:val="bullet"/>
      <w:lvlText w:val="•"/>
      <w:lvlJc w:val="left"/>
      <w:pPr>
        <w:tabs>
          <w:tab w:val="num" w:pos="2160"/>
        </w:tabs>
        <w:ind w:left="2160" w:hanging="360"/>
      </w:pPr>
      <w:rPr>
        <w:rFonts w:ascii="Arial" w:hAnsi="Arial" w:hint="default"/>
      </w:rPr>
    </w:lvl>
    <w:lvl w:ilvl="3" w:tplc="AD88E67C" w:tentative="1">
      <w:start w:val="1"/>
      <w:numFmt w:val="bullet"/>
      <w:lvlText w:val="•"/>
      <w:lvlJc w:val="left"/>
      <w:pPr>
        <w:tabs>
          <w:tab w:val="num" w:pos="2880"/>
        </w:tabs>
        <w:ind w:left="2880" w:hanging="360"/>
      </w:pPr>
      <w:rPr>
        <w:rFonts w:ascii="Arial" w:hAnsi="Arial" w:hint="default"/>
      </w:rPr>
    </w:lvl>
    <w:lvl w:ilvl="4" w:tplc="C9208098" w:tentative="1">
      <w:start w:val="1"/>
      <w:numFmt w:val="bullet"/>
      <w:lvlText w:val="•"/>
      <w:lvlJc w:val="left"/>
      <w:pPr>
        <w:tabs>
          <w:tab w:val="num" w:pos="3600"/>
        </w:tabs>
        <w:ind w:left="3600" w:hanging="360"/>
      </w:pPr>
      <w:rPr>
        <w:rFonts w:ascii="Arial" w:hAnsi="Arial" w:hint="default"/>
      </w:rPr>
    </w:lvl>
    <w:lvl w:ilvl="5" w:tplc="A7EEF360" w:tentative="1">
      <w:start w:val="1"/>
      <w:numFmt w:val="bullet"/>
      <w:lvlText w:val="•"/>
      <w:lvlJc w:val="left"/>
      <w:pPr>
        <w:tabs>
          <w:tab w:val="num" w:pos="4320"/>
        </w:tabs>
        <w:ind w:left="4320" w:hanging="360"/>
      </w:pPr>
      <w:rPr>
        <w:rFonts w:ascii="Arial" w:hAnsi="Arial" w:hint="default"/>
      </w:rPr>
    </w:lvl>
    <w:lvl w:ilvl="6" w:tplc="6BE80E42" w:tentative="1">
      <w:start w:val="1"/>
      <w:numFmt w:val="bullet"/>
      <w:lvlText w:val="•"/>
      <w:lvlJc w:val="left"/>
      <w:pPr>
        <w:tabs>
          <w:tab w:val="num" w:pos="5040"/>
        </w:tabs>
        <w:ind w:left="5040" w:hanging="360"/>
      </w:pPr>
      <w:rPr>
        <w:rFonts w:ascii="Arial" w:hAnsi="Arial" w:hint="default"/>
      </w:rPr>
    </w:lvl>
    <w:lvl w:ilvl="7" w:tplc="7C80D8BA" w:tentative="1">
      <w:start w:val="1"/>
      <w:numFmt w:val="bullet"/>
      <w:lvlText w:val="•"/>
      <w:lvlJc w:val="left"/>
      <w:pPr>
        <w:tabs>
          <w:tab w:val="num" w:pos="5760"/>
        </w:tabs>
        <w:ind w:left="5760" w:hanging="360"/>
      </w:pPr>
      <w:rPr>
        <w:rFonts w:ascii="Arial" w:hAnsi="Arial" w:hint="default"/>
      </w:rPr>
    </w:lvl>
    <w:lvl w:ilvl="8" w:tplc="EA705DA6" w:tentative="1">
      <w:start w:val="1"/>
      <w:numFmt w:val="bullet"/>
      <w:lvlText w:val="•"/>
      <w:lvlJc w:val="left"/>
      <w:pPr>
        <w:tabs>
          <w:tab w:val="num" w:pos="6480"/>
        </w:tabs>
        <w:ind w:left="6480" w:hanging="360"/>
      </w:pPr>
      <w:rPr>
        <w:rFonts w:ascii="Arial" w:hAnsi="Arial" w:hint="default"/>
      </w:rPr>
    </w:lvl>
  </w:abstractNum>
  <w:abstractNum w:abstractNumId="2">
    <w:nsid w:val="207B46BD"/>
    <w:multiLevelType w:val="hybridMultilevel"/>
    <w:tmpl w:val="1584BA5A"/>
    <w:lvl w:ilvl="0" w:tplc="C0645872">
      <w:start w:val="1"/>
      <w:numFmt w:val="bullet"/>
      <w:lvlText w:val="•"/>
      <w:lvlJc w:val="left"/>
      <w:pPr>
        <w:tabs>
          <w:tab w:val="num" w:pos="720"/>
        </w:tabs>
        <w:ind w:left="720" w:hanging="360"/>
      </w:pPr>
      <w:rPr>
        <w:rFonts w:ascii="Arial" w:hAnsi="Arial" w:hint="default"/>
      </w:rPr>
    </w:lvl>
    <w:lvl w:ilvl="1" w:tplc="A8EE4186" w:tentative="1">
      <w:start w:val="1"/>
      <w:numFmt w:val="bullet"/>
      <w:lvlText w:val="•"/>
      <w:lvlJc w:val="left"/>
      <w:pPr>
        <w:tabs>
          <w:tab w:val="num" w:pos="1440"/>
        </w:tabs>
        <w:ind w:left="1440" w:hanging="360"/>
      </w:pPr>
      <w:rPr>
        <w:rFonts w:ascii="Arial" w:hAnsi="Arial" w:hint="default"/>
      </w:rPr>
    </w:lvl>
    <w:lvl w:ilvl="2" w:tplc="0B90F1A0" w:tentative="1">
      <w:start w:val="1"/>
      <w:numFmt w:val="bullet"/>
      <w:lvlText w:val="•"/>
      <w:lvlJc w:val="left"/>
      <w:pPr>
        <w:tabs>
          <w:tab w:val="num" w:pos="2160"/>
        </w:tabs>
        <w:ind w:left="2160" w:hanging="360"/>
      </w:pPr>
      <w:rPr>
        <w:rFonts w:ascii="Arial" w:hAnsi="Arial" w:hint="default"/>
      </w:rPr>
    </w:lvl>
    <w:lvl w:ilvl="3" w:tplc="289A1522" w:tentative="1">
      <w:start w:val="1"/>
      <w:numFmt w:val="bullet"/>
      <w:lvlText w:val="•"/>
      <w:lvlJc w:val="left"/>
      <w:pPr>
        <w:tabs>
          <w:tab w:val="num" w:pos="2880"/>
        </w:tabs>
        <w:ind w:left="2880" w:hanging="360"/>
      </w:pPr>
      <w:rPr>
        <w:rFonts w:ascii="Arial" w:hAnsi="Arial" w:hint="default"/>
      </w:rPr>
    </w:lvl>
    <w:lvl w:ilvl="4" w:tplc="17AED146" w:tentative="1">
      <w:start w:val="1"/>
      <w:numFmt w:val="bullet"/>
      <w:lvlText w:val="•"/>
      <w:lvlJc w:val="left"/>
      <w:pPr>
        <w:tabs>
          <w:tab w:val="num" w:pos="3600"/>
        </w:tabs>
        <w:ind w:left="3600" w:hanging="360"/>
      </w:pPr>
      <w:rPr>
        <w:rFonts w:ascii="Arial" w:hAnsi="Arial" w:hint="default"/>
      </w:rPr>
    </w:lvl>
    <w:lvl w:ilvl="5" w:tplc="F31C1AD6" w:tentative="1">
      <w:start w:val="1"/>
      <w:numFmt w:val="bullet"/>
      <w:lvlText w:val="•"/>
      <w:lvlJc w:val="left"/>
      <w:pPr>
        <w:tabs>
          <w:tab w:val="num" w:pos="4320"/>
        </w:tabs>
        <w:ind w:left="4320" w:hanging="360"/>
      </w:pPr>
      <w:rPr>
        <w:rFonts w:ascii="Arial" w:hAnsi="Arial" w:hint="default"/>
      </w:rPr>
    </w:lvl>
    <w:lvl w:ilvl="6" w:tplc="F708829A" w:tentative="1">
      <w:start w:val="1"/>
      <w:numFmt w:val="bullet"/>
      <w:lvlText w:val="•"/>
      <w:lvlJc w:val="left"/>
      <w:pPr>
        <w:tabs>
          <w:tab w:val="num" w:pos="5040"/>
        </w:tabs>
        <w:ind w:left="5040" w:hanging="360"/>
      </w:pPr>
      <w:rPr>
        <w:rFonts w:ascii="Arial" w:hAnsi="Arial" w:hint="default"/>
      </w:rPr>
    </w:lvl>
    <w:lvl w:ilvl="7" w:tplc="F650F61E" w:tentative="1">
      <w:start w:val="1"/>
      <w:numFmt w:val="bullet"/>
      <w:lvlText w:val="•"/>
      <w:lvlJc w:val="left"/>
      <w:pPr>
        <w:tabs>
          <w:tab w:val="num" w:pos="5760"/>
        </w:tabs>
        <w:ind w:left="5760" w:hanging="360"/>
      </w:pPr>
      <w:rPr>
        <w:rFonts w:ascii="Arial" w:hAnsi="Arial" w:hint="default"/>
      </w:rPr>
    </w:lvl>
    <w:lvl w:ilvl="8" w:tplc="94364CC4" w:tentative="1">
      <w:start w:val="1"/>
      <w:numFmt w:val="bullet"/>
      <w:lvlText w:val="•"/>
      <w:lvlJc w:val="left"/>
      <w:pPr>
        <w:tabs>
          <w:tab w:val="num" w:pos="6480"/>
        </w:tabs>
        <w:ind w:left="6480" w:hanging="360"/>
      </w:pPr>
      <w:rPr>
        <w:rFonts w:ascii="Arial" w:hAnsi="Arial" w:hint="default"/>
      </w:rPr>
    </w:lvl>
  </w:abstractNum>
  <w:abstractNum w:abstractNumId="3">
    <w:nsid w:val="4B2B0588"/>
    <w:multiLevelType w:val="hybridMultilevel"/>
    <w:tmpl w:val="B2726036"/>
    <w:lvl w:ilvl="0" w:tplc="71FAEC7E">
      <w:start w:val="1"/>
      <w:numFmt w:val="bullet"/>
      <w:lvlText w:val="•"/>
      <w:lvlJc w:val="left"/>
      <w:pPr>
        <w:tabs>
          <w:tab w:val="num" w:pos="720"/>
        </w:tabs>
        <w:ind w:left="720" w:hanging="360"/>
      </w:pPr>
      <w:rPr>
        <w:rFonts w:ascii="Arial" w:hAnsi="Arial" w:hint="default"/>
      </w:rPr>
    </w:lvl>
    <w:lvl w:ilvl="1" w:tplc="4D0403A0" w:tentative="1">
      <w:start w:val="1"/>
      <w:numFmt w:val="bullet"/>
      <w:lvlText w:val="•"/>
      <w:lvlJc w:val="left"/>
      <w:pPr>
        <w:tabs>
          <w:tab w:val="num" w:pos="1440"/>
        </w:tabs>
        <w:ind w:left="1440" w:hanging="360"/>
      </w:pPr>
      <w:rPr>
        <w:rFonts w:ascii="Arial" w:hAnsi="Arial" w:hint="default"/>
      </w:rPr>
    </w:lvl>
    <w:lvl w:ilvl="2" w:tplc="8A66E272" w:tentative="1">
      <w:start w:val="1"/>
      <w:numFmt w:val="bullet"/>
      <w:lvlText w:val="•"/>
      <w:lvlJc w:val="left"/>
      <w:pPr>
        <w:tabs>
          <w:tab w:val="num" w:pos="2160"/>
        </w:tabs>
        <w:ind w:left="2160" w:hanging="360"/>
      </w:pPr>
      <w:rPr>
        <w:rFonts w:ascii="Arial" w:hAnsi="Arial" w:hint="default"/>
      </w:rPr>
    </w:lvl>
    <w:lvl w:ilvl="3" w:tplc="E4F65628" w:tentative="1">
      <w:start w:val="1"/>
      <w:numFmt w:val="bullet"/>
      <w:lvlText w:val="•"/>
      <w:lvlJc w:val="left"/>
      <w:pPr>
        <w:tabs>
          <w:tab w:val="num" w:pos="2880"/>
        </w:tabs>
        <w:ind w:left="2880" w:hanging="360"/>
      </w:pPr>
      <w:rPr>
        <w:rFonts w:ascii="Arial" w:hAnsi="Arial" w:hint="default"/>
      </w:rPr>
    </w:lvl>
    <w:lvl w:ilvl="4" w:tplc="BC64F580" w:tentative="1">
      <w:start w:val="1"/>
      <w:numFmt w:val="bullet"/>
      <w:lvlText w:val="•"/>
      <w:lvlJc w:val="left"/>
      <w:pPr>
        <w:tabs>
          <w:tab w:val="num" w:pos="3600"/>
        </w:tabs>
        <w:ind w:left="3600" w:hanging="360"/>
      </w:pPr>
      <w:rPr>
        <w:rFonts w:ascii="Arial" w:hAnsi="Arial" w:hint="default"/>
      </w:rPr>
    </w:lvl>
    <w:lvl w:ilvl="5" w:tplc="F0A456EC" w:tentative="1">
      <w:start w:val="1"/>
      <w:numFmt w:val="bullet"/>
      <w:lvlText w:val="•"/>
      <w:lvlJc w:val="left"/>
      <w:pPr>
        <w:tabs>
          <w:tab w:val="num" w:pos="4320"/>
        </w:tabs>
        <w:ind w:left="4320" w:hanging="360"/>
      </w:pPr>
      <w:rPr>
        <w:rFonts w:ascii="Arial" w:hAnsi="Arial" w:hint="default"/>
      </w:rPr>
    </w:lvl>
    <w:lvl w:ilvl="6" w:tplc="099AD098" w:tentative="1">
      <w:start w:val="1"/>
      <w:numFmt w:val="bullet"/>
      <w:lvlText w:val="•"/>
      <w:lvlJc w:val="left"/>
      <w:pPr>
        <w:tabs>
          <w:tab w:val="num" w:pos="5040"/>
        </w:tabs>
        <w:ind w:left="5040" w:hanging="360"/>
      </w:pPr>
      <w:rPr>
        <w:rFonts w:ascii="Arial" w:hAnsi="Arial" w:hint="default"/>
      </w:rPr>
    </w:lvl>
    <w:lvl w:ilvl="7" w:tplc="12524E90" w:tentative="1">
      <w:start w:val="1"/>
      <w:numFmt w:val="bullet"/>
      <w:lvlText w:val="•"/>
      <w:lvlJc w:val="left"/>
      <w:pPr>
        <w:tabs>
          <w:tab w:val="num" w:pos="5760"/>
        </w:tabs>
        <w:ind w:left="5760" w:hanging="360"/>
      </w:pPr>
      <w:rPr>
        <w:rFonts w:ascii="Arial" w:hAnsi="Arial" w:hint="default"/>
      </w:rPr>
    </w:lvl>
    <w:lvl w:ilvl="8" w:tplc="7E4A697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10"/>
    <w:rsid w:val="004B4A00"/>
    <w:rsid w:val="00624286"/>
    <w:rsid w:val="00B41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D10"/>
    <w:rPr>
      <w:color w:val="0000FF" w:themeColor="hyperlink"/>
      <w:u w:val="single"/>
    </w:rPr>
  </w:style>
  <w:style w:type="paragraph" w:styleId="ListParagraph">
    <w:name w:val="List Paragraph"/>
    <w:basedOn w:val="Normal"/>
    <w:uiPriority w:val="34"/>
    <w:qFormat/>
    <w:rsid w:val="00B41D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D10"/>
    <w:rPr>
      <w:color w:val="0000FF" w:themeColor="hyperlink"/>
      <w:u w:val="single"/>
    </w:rPr>
  </w:style>
  <w:style w:type="paragraph" w:styleId="ListParagraph">
    <w:name w:val="List Paragraph"/>
    <w:basedOn w:val="Normal"/>
    <w:uiPriority w:val="34"/>
    <w:qFormat/>
    <w:rsid w:val="00B41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700">
      <w:bodyDiv w:val="1"/>
      <w:marLeft w:val="0"/>
      <w:marRight w:val="0"/>
      <w:marTop w:val="0"/>
      <w:marBottom w:val="0"/>
      <w:divBdr>
        <w:top w:val="none" w:sz="0" w:space="0" w:color="auto"/>
        <w:left w:val="none" w:sz="0" w:space="0" w:color="auto"/>
        <w:bottom w:val="none" w:sz="0" w:space="0" w:color="auto"/>
        <w:right w:val="none" w:sz="0" w:space="0" w:color="auto"/>
      </w:divBdr>
    </w:div>
    <w:div w:id="184561189">
      <w:bodyDiv w:val="1"/>
      <w:marLeft w:val="0"/>
      <w:marRight w:val="0"/>
      <w:marTop w:val="0"/>
      <w:marBottom w:val="0"/>
      <w:divBdr>
        <w:top w:val="none" w:sz="0" w:space="0" w:color="auto"/>
        <w:left w:val="none" w:sz="0" w:space="0" w:color="auto"/>
        <w:bottom w:val="none" w:sz="0" w:space="0" w:color="auto"/>
        <w:right w:val="none" w:sz="0" w:space="0" w:color="auto"/>
      </w:divBdr>
      <w:divsChild>
        <w:div w:id="2002462705">
          <w:marLeft w:val="720"/>
          <w:marRight w:val="0"/>
          <w:marTop w:val="0"/>
          <w:marBottom w:val="0"/>
          <w:divBdr>
            <w:top w:val="none" w:sz="0" w:space="0" w:color="auto"/>
            <w:left w:val="none" w:sz="0" w:space="0" w:color="auto"/>
            <w:bottom w:val="none" w:sz="0" w:space="0" w:color="auto"/>
            <w:right w:val="none" w:sz="0" w:space="0" w:color="auto"/>
          </w:divBdr>
        </w:div>
        <w:div w:id="1699772162">
          <w:marLeft w:val="720"/>
          <w:marRight w:val="0"/>
          <w:marTop w:val="0"/>
          <w:marBottom w:val="0"/>
          <w:divBdr>
            <w:top w:val="none" w:sz="0" w:space="0" w:color="auto"/>
            <w:left w:val="none" w:sz="0" w:space="0" w:color="auto"/>
            <w:bottom w:val="none" w:sz="0" w:space="0" w:color="auto"/>
            <w:right w:val="none" w:sz="0" w:space="0" w:color="auto"/>
          </w:divBdr>
        </w:div>
        <w:div w:id="1202210694">
          <w:marLeft w:val="720"/>
          <w:marRight w:val="0"/>
          <w:marTop w:val="0"/>
          <w:marBottom w:val="0"/>
          <w:divBdr>
            <w:top w:val="none" w:sz="0" w:space="0" w:color="auto"/>
            <w:left w:val="none" w:sz="0" w:space="0" w:color="auto"/>
            <w:bottom w:val="none" w:sz="0" w:space="0" w:color="auto"/>
            <w:right w:val="none" w:sz="0" w:space="0" w:color="auto"/>
          </w:divBdr>
        </w:div>
        <w:div w:id="1720745012">
          <w:marLeft w:val="720"/>
          <w:marRight w:val="0"/>
          <w:marTop w:val="0"/>
          <w:marBottom w:val="0"/>
          <w:divBdr>
            <w:top w:val="none" w:sz="0" w:space="0" w:color="auto"/>
            <w:left w:val="none" w:sz="0" w:space="0" w:color="auto"/>
            <w:bottom w:val="none" w:sz="0" w:space="0" w:color="auto"/>
            <w:right w:val="none" w:sz="0" w:space="0" w:color="auto"/>
          </w:divBdr>
        </w:div>
      </w:divsChild>
    </w:div>
    <w:div w:id="653606961">
      <w:bodyDiv w:val="1"/>
      <w:marLeft w:val="0"/>
      <w:marRight w:val="0"/>
      <w:marTop w:val="0"/>
      <w:marBottom w:val="0"/>
      <w:divBdr>
        <w:top w:val="none" w:sz="0" w:space="0" w:color="auto"/>
        <w:left w:val="none" w:sz="0" w:space="0" w:color="auto"/>
        <w:bottom w:val="none" w:sz="0" w:space="0" w:color="auto"/>
        <w:right w:val="none" w:sz="0" w:space="0" w:color="auto"/>
      </w:divBdr>
      <w:divsChild>
        <w:div w:id="1484272789">
          <w:marLeft w:val="720"/>
          <w:marRight w:val="0"/>
          <w:marTop w:val="0"/>
          <w:marBottom w:val="0"/>
          <w:divBdr>
            <w:top w:val="none" w:sz="0" w:space="0" w:color="auto"/>
            <w:left w:val="none" w:sz="0" w:space="0" w:color="auto"/>
            <w:bottom w:val="none" w:sz="0" w:space="0" w:color="auto"/>
            <w:right w:val="none" w:sz="0" w:space="0" w:color="auto"/>
          </w:divBdr>
        </w:div>
        <w:div w:id="125203493">
          <w:marLeft w:val="720"/>
          <w:marRight w:val="0"/>
          <w:marTop w:val="0"/>
          <w:marBottom w:val="0"/>
          <w:divBdr>
            <w:top w:val="none" w:sz="0" w:space="0" w:color="auto"/>
            <w:left w:val="none" w:sz="0" w:space="0" w:color="auto"/>
            <w:bottom w:val="none" w:sz="0" w:space="0" w:color="auto"/>
            <w:right w:val="none" w:sz="0" w:space="0" w:color="auto"/>
          </w:divBdr>
        </w:div>
        <w:div w:id="994382793">
          <w:marLeft w:val="720"/>
          <w:marRight w:val="0"/>
          <w:marTop w:val="0"/>
          <w:marBottom w:val="0"/>
          <w:divBdr>
            <w:top w:val="none" w:sz="0" w:space="0" w:color="auto"/>
            <w:left w:val="none" w:sz="0" w:space="0" w:color="auto"/>
            <w:bottom w:val="none" w:sz="0" w:space="0" w:color="auto"/>
            <w:right w:val="none" w:sz="0" w:space="0" w:color="auto"/>
          </w:divBdr>
        </w:div>
      </w:divsChild>
    </w:div>
    <w:div w:id="1499268514">
      <w:bodyDiv w:val="1"/>
      <w:marLeft w:val="0"/>
      <w:marRight w:val="0"/>
      <w:marTop w:val="0"/>
      <w:marBottom w:val="0"/>
      <w:divBdr>
        <w:top w:val="none" w:sz="0" w:space="0" w:color="auto"/>
        <w:left w:val="none" w:sz="0" w:space="0" w:color="auto"/>
        <w:bottom w:val="none" w:sz="0" w:space="0" w:color="auto"/>
        <w:right w:val="none" w:sz="0" w:space="0" w:color="auto"/>
      </w:divBdr>
    </w:div>
    <w:div w:id="1500391793">
      <w:bodyDiv w:val="1"/>
      <w:marLeft w:val="0"/>
      <w:marRight w:val="0"/>
      <w:marTop w:val="0"/>
      <w:marBottom w:val="0"/>
      <w:divBdr>
        <w:top w:val="none" w:sz="0" w:space="0" w:color="auto"/>
        <w:left w:val="none" w:sz="0" w:space="0" w:color="auto"/>
        <w:bottom w:val="none" w:sz="0" w:space="0" w:color="auto"/>
        <w:right w:val="none" w:sz="0" w:space="0" w:color="auto"/>
      </w:divBdr>
      <w:divsChild>
        <w:div w:id="616062835">
          <w:marLeft w:val="907"/>
          <w:marRight w:val="0"/>
          <w:marTop w:val="0"/>
          <w:marBottom w:val="0"/>
          <w:divBdr>
            <w:top w:val="none" w:sz="0" w:space="0" w:color="auto"/>
            <w:left w:val="none" w:sz="0" w:space="0" w:color="auto"/>
            <w:bottom w:val="none" w:sz="0" w:space="0" w:color="auto"/>
            <w:right w:val="none" w:sz="0" w:space="0" w:color="auto"/>
          </w:divBdr>
        </w:div>
        <w:div w:id="859856994">
          <w:marLeft w:val="907"/>
          <w:marRight w:val="0"/>
          <w:marTop w:val="0"/>
          <w:marBottom w:val="0"/>
          <w:divBdr>
            <w:top w:val="none" w:sz="0" w:space="0" w:color="auto"/>
            <w:left w:val="none" w:sz="0" w:space="0" w:color="auto"/>
            <w:bottom w:val="none" w:sz="0" w:space="0" w:color="auto"/>
            <w:right w:val="none" w:sz="0" w:space="0" w:color="auto"/>
          </w:divBdr>
        </w:div>
        <w:div w:id="472600797">
          <w:marLeft w:val="907"/>
          <w:marRight w:val="0"/>
          <w:marTop w:val="0"/>
          <w:marBottom w:val="0"/>
          <w:divBdr>
            <w:top w:val="none" w:sz="0" w:space="0" w:color="auto"/>
            <w:left w:val="none" w:sz="0" w:space="0" w:color="auto"/>
            <w:bottom w:val="none" w:sz="0" w:space="0" w:color="auto"/>
            <w:right w:val="none" w:sz="0" w:space="0" w:color="auto"/>
          </w:divBdr>
        </w:div>
        <w:div w:id="2077623260">
          <w:marLeft w:val="907"/>
          <w:marRight w:val="0"/>
          <w:marTop w:val="0"/>
          <w:marBottom w:val="0"/>
          <w:divBdr>
            <w:top w:val="none" w:sz="0" w:space="0" w:color="auto"/>
            <w:left w:val="none" w:sz="0" w:space="0" w:color="auto"/>
            <w:bottom w:val="none" w:sz="0" w:space="0" w:color="auto"/>
            <w:right w:val="none" w:sz="0" w:space="0" w:color="auto"/>
          </w:divBdr>
        </w:div>
        <w:div w:id="569076901">
          <w:marLeft w:val="720"/>
          <w:marRight w:val="0"/>
          <w:marTop w:val="0"/>
          <w:marBottom w:val="0"/>
          <w:divBdr>
            <w:top w:val="none" w:sz="0" w:space="0" w:color="auto"/>
            <w:left w:val="none" w:sz="0" w:space="0" w:color="auto"/>
            <w:bottom w:val="none" w:sz="0" w:space="0" w:color="auto"/>
            <w:right w:val="none" w:sz="0" w:space="0" w:color="auto"/>
          </w:divBdr>
        </w:div>
        <w:div w:id="108553726">
          <w:marLeft w:val="720"/>
          <w:marRight w:val="0"/>
          <w:marTop w:val="0"/>
          <w:marBottom w:val="0"/>
          <w:divBdr>
            <w:top w:val="none" w:sz="0" w:space="0" w:color="auto"/>
            <w:left w:val="none" w:sz="0" w:space="0" w:color="auto"/>
            <w:bottom w:val="none" w:sz="0" w:space="0" w:color="auto"/>
            <w:right w:val="none" w:sz="0" w:space="0" w:color="auto"/>
          </w:divBdr>
        </w:div>
        <w:div w:id="21425284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Minton/ASPHER_Pos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cp:revision>
  <dcterms:created xsi:type="dcterms:W3CDTF">2014-11-28T09:17:00Z</dcterms:created>
  <dcterms:modified xsi:type="dcterms:W3CDTF">2014-11-28T09:24:00Z</dcterms:modified>
</cp:coreProperties>
</file>