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62A" w:rsidRDefault="0005390C" w:rsidP="003562A1">
      <w:pPr>
        <w:pStyle w:val="Heading1"/>
        <w:numPr>
          <w:ilvl w:val="0"/>
          <w:numId w:val="0"/>
        </w:numPr>
        <w:rPr>
          <w:lang w:val="en-GB"/>
        </w:rPr>
      </w:pPr>
      <w:r>
        <w:rPr>
          <w:lang w:val="en-GB"/>
        </w:rPr>
        <w:t>Abstract</w:t>
      </w:r>
      <w:bookmarkStart w:id="0" w:name="_GoBack"/>
      <w:bookmarkEnd w:id="0"/>
    </w:p>
    <w:p w:rsidR="00772D0B" w:rsidRDefault="00772D0B" w:rsidP="008D11C1">
      <w:pPr>
        <w:rPr>
          <w:rStyle w:val="apple-converted-space"/>
          <w:rFonts w:ascii="Arial" w:hAnsi="Arial" w:cs="Arial"/>
          <w:color w:val="333333"/>
          <w:sz w:val="20"/>
          <w:szCs w:val="20"/>
          <w:shd w:val="clear" w:color="auto" w:fill="FFFFFF"/>
        </w:rPr>
      </w:pPr>
      <w:proofErr w:type="gramStart"/>
      <w:r>
        <w:rPr>
          <w:b/>
          <w:shd w:val="clear" w:color="auto" w:fill="FFFFFF"/>
        </w:rPr>
        <w:t>Background :</w:t>
      </w:r>
      <w:proofErr w:type="gramEnd"/>
      <w:r>
        <w:rPr>
          <w:b/>
          <w:shd w:val="clear" w:color="auto" w:fill="FFFFFF"/>
        </w:rPr>
        <w:t xml:space="preserve"> </w:t>
      </w:r>
      <w:r w:rsidRPr="00772D0B">
        <w:rPr>
          <w:shd w:val="clear" w:color="auto" w:fill="FFFFFF"/>
        </w:rPr>
        <w:t>A</w:t>
      </w:r>
      <w:r>
        <w:rPr>
          <w:shd w:val="clear" w:color="auto" w:fill="FFFFFF"/>
        </w:rPr>
        <w:t>trial fibrillation is a progressive condition affecting up to</w:t>
      </w:r>
      <w:r w:rsidR="00356EEF">
        <w:rPr>
          <w:shd w:val="clear" w:color="auto" w:fill="FFFFFF"/>
        </w:rPr>
        <w:t xml:space="preserve"> one person in fifty in the UK. It </w:t>
      </w:r>
      <w:r>
        <w:rPr>
          <w:shd w:val="clear" w:color="auto" w:fill="FFFFFF"/>
        </w:rPr>
        <w:t>raises lifetime stroke risk</w:t>
      </w:r>
      <w:r w:rsidR="00356EEF">
        <w:rPr>
          <w:shd w:val="clear" w:color="auto" w:fill="FFFFFF"/>
        </w:rPr>
        <w:t xml:space="preserve">, and </w:t>
      </w:r>
      <w:r>
        <w:rPr>
          <w:shd w:val="clear" w:color="auto" w:fill="FFFFFF"/>
        </w:rPr>
        <w:t>is treated by prescribing oral anticoagulants</w:t>
      </w:r>
      <w:r w:rsidR="00AE69C3">
        <w:rPr>
          <w:shd w:val="clear" w:color="auto" w:fill="FFFFFF"/>
        </w:rPr>
        <w:t xml:space="preserve"> (OACs)</w:t>
      </w:r>
      <w:r>
        <w:rPr>
          <w:shd w:val="clear" w:color="auto" w:fill="FFFFFF"/>
        </w:rPr>
        <w:t xml:space="preserve">, which reduces </w:t>
      </w:r>
      <w:r w:rsidR="00356EEF">
        <w:rPr>
          <w:shd w:val="clear" w:color="auto" w:fill="FFFFFF"/>
        </w:rPr>
        <w:t xml:space="preserve">the risk of stroke, but in some cases cause severe </w:t>
      </w:r>
      <w:r w:rsidR="00356EEF" w:rsidRPr="00356EEF">
        <w:rPr>
          <w:shd w:val="clear" w:color="auto" w:fill="FFFFFF"/>
          <w:lang w:val="en-GB"/>
        </w:rPr>
        <w:t>haemorrhages</w:t>
      </w:r>
      <w:r w:rsidR="00356EEF">
        <w:rPr>
          <w:shd w:val="clear" w:color="auto" w:fill="FFFFFF"/>
        </w:rPr>
        <w:t xml:space="preserve"> which can be fatal.</w:t>
      </w:r>
      <w:r>
        <w:rPr>
          <w:shd w:val="clear" w:color="auto" w:fill="FFFFFF"/>
        </w:rPr>
        <w:t xml:space="preserve"> </w:t>
      </w:r>
    </w:p>
    <w:p w:rsidR="00772D0B" w:rsidRDefault="00772D0B" w:rsidP="008D11C1">
      <w:pPr>
        <w:rPr>
          <w:rStyle w:val="apple-converted-space"/>
          <w:rFonts w:ascii="Arial" w:hAnsi="Arial" w:cs="Arial"/>
          <w:color w:val="333333"/>
          <w:sz w:val="20"/>
          <w:szCs w:val="20"/>
          <w:shd w:val="clear" w:color="auto" w:fill="FFFFFF"/>
        </w:rPr>
      </w:pPr>
      <w:r>
        <w:rPr>
          <w:shd w:val="clear" w:color="auto" w:fill="FFFFFF"/>
        </w:rPr>
        <w:t xml:space="preserve">Objective: To assess the clinical and cost effectiveness of using transthoracic echocardiography </w:t>
      </w:r>
      <w:r w:rsidR="00AE69C3">
        <w:rPr>
          <w:shd w:val="clear" w:color="auto" w:fill="FFFFFF"/>
        </w:rPr>
        <w:t xml:space="preserve">(TTE) </w:t>
      </w:r>
      <w:r>
        <w:rPr>
          <w:shd w:val="clear" w:color="auto" w:fill="FFFFFF"/>
        </w:rPr>
        <w:t xml:space="preserve">to help make the decision whether to prescribe </w:t>
      </w:r>
      <w:r w:rsidR="00AE69C3">
        <w:rPr>
          <w:shd w:val="clear" w:color="auto" w:fill="FFFFFF"/>
        </w:rPr>
        <w:t>OACs</w:t>
      </w:r>
      <w:r>
        <w:rPr>
          <w:shd w:val="clear" w:color="auto" w:fill="FFFFFF"/>
        </w:rPr>
        <w:t>.</w:t>
      </w:r>
      <w:r>
        <w:rPr>
          <w:rStyle w:val="apple-converted-space"/>
          <w:rFonts w:ascii="Arial" w:hAnsi="Arial" w:cs="Arial"/>
          <w:color w:val="333333"/>
          <w:sz w:val="20"/>
          <w:szCs w:val="20"/>
          <w:shd w:val="clear" w:color="auto" w:fill="FFFFFF"/>
        </w:rPr>
        <w:t> </w:t>
      </w:r>
    </w:p>
    <w:p w:rsidR="00772D0B" w:rsidRDefault="00772D0B" w:rsidP="008D11C1">
      <w:pPr>
        <w:rPr>
          <w:rStyle w:val="apple-converted-space"/>
          <w:rFonts w:ascii="Arial" w:hAnsi="Arial" w:cs="Arial"/>
          <w:color w:val="333333"/>
          <w:sz w:val="20"/>
          <w:szCs w:val="20"/>
          <w:shd w:val="clear" w:color="auto" w:fill="FFFFFF"/>
        </w:rPr>
      </w:pPr>
      <w:r>
        <w:rPr>
          <w:b/>
          <w:shd w:val="clear" w:color="auto" w:fill="FFFFFF"/>
        </w:rPr>
        <w:t xml:space="preserve">Methods: </w:t>
      </w:r>
      <w:r>
        <w:rPr>
          <w:shd w:val="clear" w:color="auto" w:fill="FFFFFF"/>
        </w:rPr>
        <w:t xml:space="preserve">A discrete event simulation </w:t>
      </w:r>
      <w:r w:rsidR="00EF7137">
        <w:rPr>
          <w:shd w:val="clear" w:color="auto" w:fill="FFFFFF"/>
        </w:rPr>
        <w:t xml:space="preserve">(DES) </w:t>
      </w:r>
      <w:r>
        <w:rPr>
          <w:shd w:val="clear" w:color="auto" w:fill="FFFFFF"/>
        </w:rPr>
        <w:t>mathematic model</w:t>
      </w:r>
      <w:r w:rsidR="00DC2BB2">
        <w:rPr>
          <w:shd w:val="clear" w:color="auto" w:fill="FFFFFF"/>
        </w:rPr>
        <w:t xml:space="preserve"> was developed in order to simulate the </w:t>
      </w:r>
      <w:r w:rsidR="00EF7137">
        <w:rPr>
          <w:shd w:val="clear" w:color="auto" w:fill="FFFFFF"/>
        </w:rPr>
        <w:t xml:space="preserve">lifetime </w:t>
      </w:r>
      <w:r w:rsidR="00DC2BB2">
        <w:rPr>
          <w:shd w:val="clear" w:color="auto" w:fill="FFFFFF"/>
        </w:rPr>
        <w:t xml:space="preserve">patient experience </w:t>
      </w:r>
      <w:r w:rsidR="00EF7137">
        <w:rPr>
          <w:shd w:val="clear" w:color="auto" w:fill="FFFFFF"/>
        </w:rPr>
        <w:t>resulting from either an OAC prescription decision using a standard clinical decision tool (CHADS</w:t>
      </w:r>
      <w:r w:rsidR="00EF7137" w:rsidRPr="00EF7137">
        <w:rPr>
          <w:shd w:val="clear" w:color="auto" w:fill="FFFFFF"/>
          <w:vertAlign w:val="subscript"/>
        </w:rPr>
        <w:t>2</w:t>
      </w:r>
      <w:r w:rsidR="00EF7137">
        <w:rPr>
          <w:shd w:val="clear" w:color="auto" w:fill="FFFFFF"/>
        </w:rPr>
        <w:t xml:space="preserve"> or CHA</w:t>
      </w:r>
      <w:r w:rsidR="00EF7137" w:rsidRPr="00EF7137">
        <w:rPr>
          <w:shd w:val="clear" w:color="auto" w:fill="FFFFFF"/>
          <w:vertAlign w:val="subscript"/>
        </w:rPr>
        <w:t>2</w:t>
      </w:r>
      <w:r w:rsidR="00EF7137">
        <w:rPr>
          <w:shd w:val="clear" w:color="auto" w:fill="FFFFFF"/>
        </w:rPr>
        <w:t>DS</w:t>
      </w:r>
      <w:r w:rsidR="00EF7137" w:rsidRPr="00EF7137">
        <w:rPr>
          <w:shd w:val="clear" w:color="auto" w:fill="FFFFFF"/>
          <w:vertAlign w:val="subscript"/>
        </w:rPr>
        <w:t>2</w:t>
      </w:r>
      <w:r w:rsidR="00EF7137">
        <w:rPr>
          <w:shd w:val="clear" w:color="auto" w:fill="FFFFFF"/>
        </w:rPr>
        <w:t>-VASc)</w:t>
      </w:r>
      <w:r w:rsidR="00B37EDA">
        <w:rPr>
          <w:shd w:val="clear" w:color="auto" w:fill="FFFFFF"/>
        </w:rPr>
        <w:t xml:space="preserve"> alongside TTE, compared to a standard clinical decision tool along.</w:t>
      </w:r>
      <w:r w:rsidR="00EF7137">
        <w:rPr>
          <w:rStyle w:val="apple-converted-space"/>
          <w:rFonts w:ascii="Arial" w:hAnsi="Arial" w:cs="Arial"/>
          <w:color w:val="333333"/>
          <w:sz w:val="20"/>
          <w:szCs w:val="20"/>
          <w:shd w:val="clear" w:color="auto" w:fill="FFFFFF"/>
        </w:rPr>
        <w:t xml:space="preserve"> </w:t>
      </w:r>
      <w:r w:rsidR="00AE69C3">
        <w:rPr>
          <w:rStyle w:val="apple-converted-space"/>
          <w:rFonts w:ascii="Arial" w:hAnsi="Arial" w:cs="Arial"/>
          <w:color w:val="333333"/>
          <w:sz w:val="20"/>
          <w:szCs w:val="20"/>
          <w:shd w:val="clear" w:color="auto" w:fill="FFFFFF"/>
        </w:rPr>
        <w:t>From this, the incremental costs and utilities were estimated in order to calculate the incremental cost effectiveness ratio. (ICER)</w:t>
      </w:r>
    </w:p>
    <w:p w:rsidR="00772D0B" w:rsidRDefault="00772D0B" w:rsidP="008D11C1">
      <w:pPr>
        <w:rPr>
          <w:shd w:val="clear" w:color="auto" w:fill="FFFFFF"/>
        </w:rPr>
      </w:pPr>
      <w:proofErr w:type="gramStart"/>
      <w:r>
        <w:rPr>
          <w:shd w:val="clear" w:color="auto" w:fill="FFFFFF"/>
        </w:rPr>
        <w:t>Target Population</w:t>
      </w:r>
      <w:r w:rsidR="00DC2BB2">
        <w:rPr>
          <w:shd w:val="clear" w:color="auto" w:fill="FFFFFF"/>
        </w:rPr>
        <w:t>: Sixty year old males with newly diagnosed atrial fibrillation and without a previous history of coronary heart disease or stroke.</w:t>
      </w:r>
      <w:proofErr w:type="gramEnd"/>
    </w:p>
    <w:p w:rsidR="00772D0B" w:rsidRDefault="00772D0B" w:rsidP="008D11C1">
      <w:pPr>
        <w:rPr>
          <w:shd w:val="clear" w:color="auto" w:fill="FFFFFF"/>
        </w:rPr>
      </w:pPr>
      <w:r>
        <w:rPr>
          <w:shd w:val="clear" w:color="auto" w:fill="FFFFFF"/>
        </w:rPr>
        <w:t>Time Horizon</w:t>
      </w:r>
      <w:r w:rsidR="00DC2BB2">
        <w:rPr>
          <w:shd w:val="clear" w:color="auto" w:fill="FFFFFF"/>
        </w:rPr>
        <w:t>: lifetime.</w:t>
      </w:r>
    </w:p>
    <w:p w:rsidR="00772D0B" w:rsidRDefault="00772D0B" w:rsidP="008D11C1">
      <w:pPr>
        <w:rPr>
          <w:shd w:val="clear" w:color="auto" w:fill="FFFFFF"/>
        </w:rPr>
      </w:pPr>
      <w:r>
        <w:rPr>
          <w:shd w:val="clear" w:color="auto" w:fill="FFFFFF"/>
        </w:rPr>
        <w:t>Perspective</w:t>
      </w:r>
      <w:r w:rsidR="00DC2BB2">
        <w:rPr>
          <w:shd w:val="clear" w:color="auto" w:fill="FFFFFF"/>
        </w:rPr>
        <w:t>: NHS</w:t>
      </w:r>
    </w:p>
    <w:p w:rsidR="00772D0B" w:rsidRDefault="00772D0B" w:rsidP="008D11C1">
      <w:pPr>
        <w:rPr>
          <w:shd w:val="clear" w:color="auto" w:fill="FFFFFF"/>
        </w:rPr>
      </w:pPr>
      <w:r>
        <w:rPr>
          <w:shd w:val="clear" w:color="auto" w:fill="FFFFFF"/>
        </w:rPr>
        <w:t>Interventions</w:t>
      </w:r>
      <w:r w:rsidR="00DC2BB2">
        <w:rPr>
          <w:shd w:val="clear" w:color="auto" w:fill="FFFFFF"/>
        </w:rPr>
        <w:t xml:space="preserve">: </w:t>
      </w:r>
      <w:proofErr w:type="spellStart"/>
      <w:r w:rsidR="00DC2BB2">
        <w:rPr>
          <w:shd w:val="clear" w:color="auto" w:fill="FFFFFF"/>
        </w:rPr>
        <w:t>Dabigatran</w:t>
      </w:r>
      <w:proofErr w:type="spellEnd"/>
      <w:r w:rsidR="00DC2BB2">
        <w:rPr>
          <w:shd w:val="clear" w:color="auto" w:fill="FFFFFF"/>
        </w:rPr>
        <w:t xml:space="preserve"> 150mg twice daily if the decision to prescribe </w:t>
      </w:r>
      <w:r w:rsidR="00EF7137">
        <w:rPr>
          <w:shd w:val="clear" w:color="auto" w:fill="FFFFFF"/>
        </w:rPr>
        <w:t xml:space="preserve">an OAC was </w:t>
      </w:r>
      <w:r w:rsidR="00DC2BB2">
        <w:rPr>
          <w:shd w:val="clear" w:color="auto" w:fill="FFFFFF"/>
        </w:rPr>
        <w:t xml:space="preserve">made. </w:t>
      </w:r>
      <w:r>
        <w:rPr>
          <w:shd w:val="clear" w:color="auto" w:fill="FFFFFF"/>
        </w:rPr>
        <w:t xml:space="preserve"> </w:t>
      </w:r>
      <w:r w:rsidR="00EF7137">
        <w:rPr>
          <w:shd w:val="clear" w:color="auto" w:fill="FFFFFF"/>
        </w:rPr>
        <w:t>In the base case</w:t>
      </w:r>
      <w:r w:rsidR="00356EEF">
        <w:rPr>
          <w:shd w:val="clear" w:color="auto" w:fill="FFFFFF"/>
        </w:rPr>
        <w:t>s</w:t>
      </w:r>
      <w:r w:rsidR="00EF7137">
        <w:rPr>
          <w:shd w:val="clear" w:color="auto" w:fill="FFFFFF"/>
        </w:rPr>
        <w:t xml:space="preserve"> one of two clinical decision </w:t>
      </w:r>
      <w:r w:rsidR="00356EEF">
        <w:rPr>
          <w:shd w:val="clear" w:color="auto" w:fill="FFFFFF"/>
        </w:rPr>
        <w:t>tools</w:t>
      </w:r>
      <w:r w:rsidR="00EF7137">
        <w:rPr>
          <w:shd w:val="clear" w:color="auto" w:fill="FFFFFF"/>
        </w:rPr>
        <w:t xml:space="preserve"> </w:t>
      </w:r>
      <w:r w:rsidR="00EF7137">
        <w:rPr>
          <w:bCs/>
          <w:shd w:val="clear" w:color="auto" w:fill="FFFFFF"/>
        </w:rPr>
        <w:t>(CHADS</w:t>
      </w:r>
      <w:r w:rsidR="00EF7137" w:rsidRPr="00EF7137">
        <w:rPr>
          <w:bCs/>
          <w:shd w:val="clear" w:color="auto" w:fill="FFFFFF"/>
          <w:vertAlign w:val="subscript"/>
        </w:rPr>
        <w:t>2</w:t>
      </w:r>
      <w:r w:rsidR="00EF7137">
        <w:rPr>
          <w:bCs/>
          <w:shd w:val="clear" w:color="auto" w:fill="FFFFFF"/>
        </w:rPr>
        <w:t xml:space="preserve"> or CHA</w:t>
      </w:r>
      <w:r w:rsidR="00EF7137" w:rsidRPr="00EF7137">
        <w:rPr>
          <w:bCs/>
          <w:shd w:val="clear" w:color="auto" w:fill="FFFFFF"/>
          <w:vertAlign w:val="subscript"/>
        </w:rPr>
        <w:t>2</w:t>
      </w:r>
      <w:r w:rsidR="00EF7137">
        <w:rPr>
          <w:bCs/>
          <w:shd w:val="clear" w:color="auto" w:fill="FFFFFF"/>
        </w:rPr>
        <w:t>DS</w:t>
      </w:r>
      <w:r w:rsidR="00EF7137" w:rsidRPr="00EF7137">
        <w:rPr>
          <w:bCs/>
          <w:shd w:val="clear" w:color="auto" w:fill="FFFFFF"/>
          <w:vertAlign w:val="subscript"/>
        </w:rPr>
        <w:t>2</w:t>
      </w:r>
      <w:r w:rsidR="00356EEF">
        <w:rPr>
          <w:bCs/>
          <w:shd w:val="clear" w:color="auto" w:fill="FFFFFF"/>
        </w:rPr>
        <w:t>-VASc) was used. In the comparators information from the decision tool was combined with information made available by performing a TTE.</w:t>
      </w:r>
    </w:p>
    <w:p w:rsidR="00772D0B" w:rsidRDefault="00772D0B" w:rsidP="008D11C1">
      <w:pPr>
        <w:rPr>
          <w:shd w:val="clear" w:color="auto" w:fill="FFFFFF"/>
        </w:rPr>
      </w:pPr>
      <w:r>
        <w:rPr>
          <w:shd w:val="clear" w:color="auto" w:fill="FFFFFF"/>
        </w:rPr>
        <w:t>Outcome Measures</w:t>
      </w:r>
      <w:r w:rsidR="00AE69C3">
        <w:rPr>
          <w:shd w:val="clear" w:color="auto" w:fill="FFFFFF"/>
        </w:rPr>
        <w:t>: Quality adjusted life years (QALYs).</w:t>
      </w:r>
    </w:p>
    <w:p w:rsidR="00772D0B" w:rsidRDefault="00772D0B" w:rsidP="008D11C1">
      <w:pPr>
        <w:rPr>
          <w:rStyle w:val="apple-converted-space"/>
          <w:rFonts w:ascii="Arial" w:hAnsi="Arial" w:cs="Arial"/>
          <w:color w:val="333333"/>
          <w:sz w:val="20"/>
          <w:szCs w:val="20"/>
          <w:shd w:val="clear" w:color="auto" w:fill="FFFFFF"/>
        </w:rPr>
      </w:pPr>
      <w:r>
        <w:rPr>
          <w:b/>
          <w:bCs/>
          <w:shd w:val="clear" w:color="auto" w:fill="FFFFFF"/>
        </w:rPr>
        <w:t>Results</w:t>
      </w:r>
      <w:r w:rsidR="00AE69C3">
        <w:rPr>
          <w:b/>
          <w:bCs/>
          <w:shd w:val="clear" w:color="auto" w:fill="FFFFFF"/>
        </w:rPr>
        <w:t xml:space="preserve">: </w:t>
      </w:r>
      <w:r w:rsidR="00AE69C3">
        <w:rPr>
          <w:bCs/>
          <w:shd w:val="clear" w:color="auto" w:fill="FFFFFF"/>
        </w:rPr>
        <w:t>Adding TTE to the decision to prescribe OACs</w:t>
      </w:r>
      <w:r>
        <w:rPr>
          <w:rStyle w:val="apple-converted-space"/>
          <w:rFonts w:ascii="Arial" w:hAnsi="Arial" w:cs="Arial"/>
          <w:color w:val="333333"/>
          <w:sz w:val="20"/>
          <w:szCs w:val="20"/>
          <w:shd w:val="clear" w:color="auto" w:fill="FFFFFF"/>
        </w:rPr>
        <w:t> </w:t>
      </w:r>
      <w:r w:rsidR="00AE69C3">
        <w:rPr>
          <w:rStyle w:val="apple-converted-space"/>
          <w:rFonts w:ascii="Arial" w:hAnsi="Arial" w:cs="Arial"/>
          <w:color w:val="333333"/>
          <w:sz w:val="20"/>
          <w:szCs w:val="20"/>
          <w:shd w:val="clear" w:color="auto" w:fill="FFFFFF"/>
        </w:rPr>
        <w:t>appears cost-effective when a less inclusive strategy is used as the baseline strategy, but not when a more inclusive strategy is used.</w:t>
      </w:r>
    </w:p>
    <w:p w:rsidR="00AE69C3" w:rsidRDefault="00772D0B" w:rsidP="008D11C1">
      <w:pPr>
        <w:rPr>
          <w:b/>
          <w:shd w:val="clear" w:color="auto" w:fill="FFFFFF"/>
        </w:rPr>
      </w:pPr>
      <w:r>
        <w:rPr>
          <w:b/>
          <w:shd w:val="clear" w:color="auto" w:fill="FFFFFF"/>
        </w:rPr>
        <w:t>Limitations</w:t>
      </w:r>
      <w:r w:rsidR="00AE69C3">
        <w:rPr>
          <w:b/>
          <w:shd w:val="clear" w:color="auto" w:fill="FFFFFF"/>
        </w:rPr>
        <w:t xml:space="preserve">: </w:t>
      </w:r>
      <w:r w:rsidR="00AE69C3">
        <w:rPr>
          <w:shd w:val="clear" w:color="auto" w:fill="FFFFFF"/>
        </w:rPr>
        <w:t>Data used to populate many important parameters in the model w</w:t>
      </w:r>
      <w:r w:rsidR="00A42D14">
        <w:rPr>
          <w:shd w:val="clear" w:color="auto" w:fill="FFFFFF"/>
        </w:rPr>
        <w:t>ere e</w:t>
      </w:r>
      <w:r w:rsidR="00AE69C3">
        <w:rPr>
          <w:shd w:val="clear" w:color="auto" w:fill="FFFFFF"/>
        </w:rPr>
        <w:t>ither missing or limited.</w:t>
      </w:r>
      <w:r>
        <w:rPr>
          <w:b/>
          <w:shd w:val="clear" w:color="auto" w:fill="FFFFFF"/>
        </w:rPr>
        <w:t xml:space="preserve"> </w:t>
      </w:r>
    </w:p>
    <w:p w:rsidR="0005390C" w:rsidRPr="00A42D14" w:rsidRDefault="00772D0B" w:rsidP="008D11C1">
      <w:pPr>
        <w:rPr>
          <w:lang w:val="en-GB"/>
        </w:rPr>
      </w:pPr>
      <w:r>
        <w:rPr>
          <w:b/>
          <w:shd w:val="clear" w:color="auto" w:fill="FFFFFF"/>
        </w:rPr>
        <w:t>Conclusions</w:t>
      </w:r>
      <w:r w:rsidR="00A42D14">
        <w:rPr>
          <w:b/>
          <w:shd w:val="clear" w:color="auto" w:fill="FFFFFF"/>
        </w:rPr>
        <w:t xml:space="preserve">: </w:t>
      </w:r>
      <w:r w:rsidR="00A42D14">
        <w:rPr>
          <w:shd w:val="clear" w:color="auto" w:fill="FFFFFF"/>
        </w:rPr>
        <w:t>The estimated incremental cost effectiveness of using TTE to make the decision to prescribe depe</w:t>
      </w:r>
      <w:r w:rsidR="00EF7137">
        <w:rPr>
          <w:shd w:val="clear" w:color="auto" w:fill="FFFFFF"/>
        </w:rPr>
        <w:t>nds on the choice of comparator, and appears cost effective at standard National Institute for Health and Clinical Excellence (NICE) thresholds when a less inclusive comparator (CHADS</w:t>
      </w:r>
      <w:r w:rsidR="00EF7137" w:rsidRPr="00EF7137">
        <w:rPr>
          <w:shd w:val="clear" w:color="auto" w:fill="FFFFFF"/>
          <w:vertAlign w:val="subscript"/>
        </w:rPr>
        <w:t>2</w:t>
      </w:r>
      <w:r w:rsidR="00EF7137">
        <w:rPr>
          <w:shd w:val="clear" w:color="auto" w:fill="FFFFFF"/>
        </w:rPr>
        <w:t>) is used, but not when a more inclusive comparator (CHA</w:t>
      </w:r>
      <w:r w:rsidR="00EF7137" w:rsidRPr="00EF7137">
        <w:rPr>
          <w:shd w:val="clear" w:color="auto" w:fill="FFFFFF"/>
          <w:vertAlign w:val="subscript"/>
        </w:rPr>
        <w:t>2</w:t>
      </w:r>
      <w:r w:rsidR="00EF7137">
        <w:rPr>
          <w:shd w:val="clear" w:color="auto" w:fill="FFFFFF"/>
        </w:rPr>
        <w:t>DS</w:t>
      </w:r>
      <w:r w:rsidR="00EF7137" w:rsidRPr="00EF7137">
        <w:rPr>
          <w:shd w:val="clear" w:color="auto" w:fill="FFFFFF"/>
          <w:vertAlign w:val="subscript"/>
        </w:rPr>
        <w:t>2</w:t>
      </w:r>
      <w:r w:rsidR="00EF7137">
        <w:rPr>
          <w:shd w:val="clear" w:color="auto" w:fill="FFFFFF"/>
        </w:rPr>
        <w:t>-VASc)</w:t>
      </w:r>
      <w:r w:rsidR="00A42D14">
        <w:rPr>
          <w:shd w:val="clear" w:color="auto" w:fill="FFFFFF"/>
        </w:rPr>
        <w:t xml:space="preserve"> </w:t>
      </w:r>
    </w:p>
    <w:p w:rsidR="0005390C" w:rsidRDefault="0005390C" w:rsidP="003562A1">
      <w:pPr>
        <w:pStyle w:val="Heading2"/>
        <w:numPr>
          <w:ilvl w:val="0"/>
          <w:numId w:val="0"/>
        </w:numPr>
      </w:pPr>
      <w:r>
        <w:lastRenderedPageBreak/>
        <w:t>Introduction</w:t>
      </w:r>
    </w:p>
    <w:p w:rsidR="00862C39" w:rsidDel="003F5221" w:rsidRDefault="00862C39" w:rsidP="008D11C1">
      <w:pPr>
        <w:rPr>
          <w:del w:id="1" w:author="Jon Minton" w:date="2012-04-03T11:55:00Z"/>
        </w:rPr>
      </w:pPr>
      <w:r>
        <w:t>Atrial fibrillation (AF) is a progressive condition affecting</w:t>
      </w:r>
      <w:ins w:id="2" w:author="Jon Minton" w:date="2012-04-03T12:23:00Z">
        <w:r w:rsidR="00665212">
          <w:t xml:space="preserve"> around 1-2% of the UK population</w:t>
        </w:r>
      </w:ins>
      <w:r w:rsidR="000F1748">
        <w:t xml:space="preserve">, </w:t>
      </w:r>
      <w:r w:rsidR="00DF7E46">
        <w:t xml:space="preserve">disproportionately </w:t>
      </w:r>
      <w:r w:rsidR="000F1748">
        <w:t xml:space="preserve">older </w:t>
      </w:r>
      <w:r w:rsidR="00B37EDA">
        <w:t>people</w:t>
      </w:r>
      <w:r w:rsidR="000F1748">
        <w:t>, and is a significant risk factor for stroke</w:t>
      </w:r>
      <w:r w:rsidR="00356EEF">
        <w:t>.</w:t>
      </w:r>
      <w:r w:rsidR="004111A3">
        <w:fldChar w:fldCharType="begin" w:fldLock="1"/>
      </w:r>
      <w:r w:rsidR="00F15320">
        <w:instrText xml:space="preserve">ADDIN Mendeley Citation{f30d1cf5-58b0-4c35-b298-fbbe4563156a} CSL_CITATION  { "citationItems" : [ { "id" : "ITEM-1", "itemData" : { "abstract" : "Atrial fibrillation is the most common arrhythmia in elderly persons and a potent risk factor for stroke. However, recent prevalence and projected future numbers of persons with atrial fibrillation are not well described.", "author" : [ { "family" : "Go", "given" : "A S" }, { "family" : "Hylek", "given" : "E M" }, { "family" : "Phillips", "given" : "K A" }, { "family" : "Chang", "given" : "Y" }, { "family" : "Henault", "given" : "L E" }, { "family" : "Selby", "given" : "J V" }, { "family" : "Singer", "given" : "D E" } ], "container-title" : "JAMA : the journal of the American Medical Association", "id" : "ITEM-1", "issue" : "18", "issued" : { "date-parts" : [ [ "2001", "5", "9" ] ] }, "page" : "2370-5", "title" : "Prevalence of diagnosed atrial fibrillation in adults: national implications for rhythm management and stroke prevention: the AnTicoagulation and Risk Factors in Atrial Fibrillation (ATRIA) Study.", "type" : "article-journal", "volume" : "285" }, "uris" : [ "http://www.mendeley.com/documents/?uuid=f30d1cf5-58b0-4c35-b298-fbbe4563156a" ] } ], "mendeley" : { "previouslyFormattedCitation" : "(1)" }, "properties" : { "noteIndex" : 0 }, "schema" : "https://github.com/citation-style-language/schema/raw/master/csl-citation.json" } </w:instrText>
      </w:r>
      <w:r w:rsidR="004111A3">
        <w:fldChar w:fldCharType="separate"/>
      </w:r>
      <w:r w:rsidR="00974077" w:rsidRPr="00974077">
        <w:rPr>
          <w:noProof/>
        </w:rPr>
        <w:t>(1)</w:t>
      </w:r>
      <w:r w:rsidR="004111A3">
        <w:fldChar w:fldCharType="end"/>
      </w:r>
      <w:del w:id="3" w:author="Jon Minton" w:date="2012-04-03T12:23:00Z">
        <w:r w:rsidDel="00665212">
          <w:delText xml:space="preserve"> approximately </w:delText>
        </w:r>
      </w:del>
      <w:del w:id="4" w:author="Jon Minton" w:date="2012-04-03T12:21:00Z">
        <w:r w:rsidDel="00665212">
          <w:delText>[XXX]</w:delText>
        </w:r>
      </w:del>
      <w:del w:id="5" w:author="Jon Minton" w:date="2012-04-03T12:23:00Z">
        <w:r w:rsidDel="00665212">
          <w:delText xml:space="preserve"> people in </w:delText>
        </w:r>
      </w:del>
      <w:del w:id="6" w:author="Jon Minton" w:date="2012-04-03T12:22:00Z">
        <w:r w:rsidDel="00665212">
          <w:delText xml:space="preserve">the UK </w:delText>
        </w:r>
      </w:del>
      <w:del w:id="7" w:author="Jon Minton" w:date="2012-04-03T12:23:00Z">
        <w:r w:rsidDel="00665212">
          <w:delText>each year</w:delText>
        </w:r>
      </w:del>
      <w:ins w:id="8" w:author="Jon Minton" w:date="2012-04-03T12:23:00Z">
        <w:r w:rsidR="00665212">
          <w:t xml:space="preserve"> </w:t>
        </w:r>
      </w:ins>
      <w:r w:rsidR="00B37EDA">
        <w:t>E</w:t>
      </w:r>
      <w:r>
        <w:t>ffective management of AF and the associated stroke risk is important</w:t>
      </w:r>
      <w:ins w:id="9" w:author="Jon Minton" w:date="2012-04-03T11:52:00Z">
        <w:r w:rsidR="003F5221">
          <w:t xml:space="preserve"> for reducing additional mortality and morbidity risks that result from the condition</w:t>
        </w:r>
      </w:ins>
      <w:r>
        <w:t xml:space="preserve">. Oral anticoagulants (OACs) reduce the risk of stroke, but </w:t>
      </w:r>
      <w:r w:rsidR="000F1748">
        <w:t>can cause major bleeding events</w:t>
      </w:r>
      <w:r w:rsidR="00374A9D">
        <w:t xml:space="preserve"> which may result in death or severe disablement</w:t>
      </w:r>
      <w:del w:id="10" w:author="Jon Minton" w:date="2012-04-03T11:54:00Z">
        <w:r w:rsidDel="003F5221">
          <w:delText xml:space="preserve">carry a nontrivial </w:delText>
        </w:r>
      </w:del>
      <w:r w:rsidR="00374A9D">
        <w:t>.</w:t>
      </w:r>
      <w:r w:rsidR="00356EEF">
        <w:t xml:space="preserve"> </w:t>
      </w:r>
      <w:r w:rsidR="00356EEF">
        <w:fldChar w:fldCharType="begin" w:fldLock="1"/>
      </w:r>
      <w:r w:rsidR="00F15320">
        <w:instrText xml:space="preserve">ADDIN Mendeley Citation{96a8955b-ba1a-4c08-98f5-c96de9a3db66} CSL_CITATION  { "citationItems" : [ { "id" : "ITEM-1", "itemData" : { "DOI" : "10.1016/j.ahj.2009.11.025", "abstract" : "Atrial fibrillation (AF), the most common significant cardiac arrhythmia, increases the risk of stroke, particularly in the elderly. Warfarin is effective in reducing stroke risk but is burdensome to patients and is difficult to control. Rivaroxaban is an oral direct factor Xa inhibitor in advanced development as an alternative to warfarin for the prevention and treatment of thromboembolic disorders.", "container-title" : "American heart journal", "id" : "ITEM-1", "issue" : "3", "issued" : { "date-parts" : [ [ "2010", "3" ] ] }, "page" : "340-347.e1", "title" : "Rivaroxaban-once daily, oral, direct factor Xa inhibition compared with vitamin K antagonism for prevention of stroke and Embolism Trial in Atrial Fibrillation: rationale and design of the ROCKET AF study.", "type" : "article-journal", "volume" : "159" }, "uris" : [ "http://www.mendeley.com/documents/?uuid=96a8955b-ba1a-4c08-98f5-c96de9a3db66" ] } ], "mendeley" : { "previouslyFormattedCitation" : "(2)" }, "properties" : { "noteIndex" : 0 }, "schema" : "https://github.com/citation-style-language/schema/raw/master/csl-citation.json" } </w:instrText>
      </w:r>
      <w:r w:rsidR="00356EEF">
        <w:fldChar w:fldCharType="separate"/>
      </w:r>
      <w:r w:rsidR="00356EEF" w:rsidRPr="00974077">
        <w:rPr>
          <w:noProof/>
        </w:rPr>
        <w:t>(2)</w:t>
      </w:r>
      <w:r w:rsidR="00356EEF">
        <w:fldChar w:fldCharType="end"/>
      </w:r>
      <w:r w:rsidR="00374A9D">
        <w:t xml:space="preserve"> </w:t>
      </w:r>
      <w:r>
        <w:t>They are also relatively expensive, either directly due to drug acquisition costs in the case of new</w:t>
      </w:r>
      <w:ins w:id="11" w:author="Matt" w:date="2012-02-27T08:41:00Z">
        <w:r w:rsidR="00542E72">
          <w:t>er</w:t>
        </w:r>
      </w:ins>
      <w:r>
        <w:t xml:space="preserve"> drugs like </w:t>
      </w:r>
      <w:proofErr w:type="spellStart"/>
      <w:r>
        <w:t>dabigatran</w:t>
      </w:r>
      <w:proofErr w:type="spellEnd"/>
      <w:del w:id="12" w:author="Matt" w:date="2012-02-27T08:41:00Z">
        <w:r w:rsidDel="00542E72">
          <w:delText xml:space="preserve"> and rivaroxaban</w:delText>
        </w:r>
      </w:del>
      <w:r>
        <w:t xml:space="preserve">, or indirectly due to monitoring costs in the case of warfarin. </w:t>
      </w:r>
    </w:p>
    <w:p w:rsidR="005A2BAB" w:rsidRDefault="00862C39" w:rsidP="008D11C1">
      <w:del w:id="13" w:author="Jon Minton" w:date="2012-04-03T11:53:00Z">
        <w:r w:rsidDel="003F5221">
          <w:delText>Because both the</w:delText>
        </w:r>
      </w:del>
      <w:r w:rsidR="00356EEF">
        <w:t>As a result of</w:t>
      </w:r>
      <w:r w:rsidR="00374A9D">
        <w:t xml:space="preserve"> this, </w:t>
      </w:r>
      <w:r>
        <w:t xml:space="preserve">it is important to identify those patients </w:t>
      </w:r>
      <w:del w:id="14" w:author="Jon Minton" w:date="2012-04-03T11:56:00Z">
        <w:r w:rsidDel="003F5221">
          <w:delText xml:space="preserve">where </w:delText>
        </w:r>
      </w:del>
      <w:ins w:id="15" w:author="Jon Minton" w:date="2012-04-03T11:56:00Z">
        <w:r w:rsidR="003F5221">
          <w:t xml:space="preserve">for whom </w:t>
        </w:r>
      </w:ins>
      <w:r>
        <w:t>the benefits are</w:t>
      </w:r>
      <w:r w:rsidR="00492057">
        <w:t xml:space="preserve"> most</w:t>
      </w:r>
      <w:r>
        <w:t xml:space="preserve"> likely to outweigh the risks</w:t>
      </w:r>
      <w:r w:rsidR="00374A9D">
        <w:t>, and so a range of diagnostic tools are used to identify patients higher risk patients</w:t>
      </w:r>
      <w:r w:rsidR="00655A1D">
        <w:t xml:space="preserve">, including </w:t>
      </w:r>
      <w:r w:rsidR="00395BE3">
        <w:t>clinical prediction rules using patient history and characteristics</w:t>
      </w:r>
      <w:r w:rsidR="00374A9D">
        <w:t>.</w:t>
      </w:r>
      <w:r w:rsidR="00307F5F">
        <w:t xml:space="preserve"> </w:t>
      </w:r>
    </w:p>
    <w:p w:rsidR="00A07773" w:rsidRDefault="00356EEF" w:rsidP="008D11C1">
      <w:r>
        <w:t xml:space="preserve">The decision to prescribe OACs depends on clinical </w:t>
      </w:r>
      <w:proofErr w:type="spellStart"/>
      <w:r>
        <w:t>judgement</w:t>
      </w:r>
      <w:proofErr w:type="spellEnd"/>
      <w:r>
        <w:t xml:space="preserve"> about whether the decreased risk of stroke </w:t>
      </w:r>
      <w:r w:rsidR="00C46C92">
        <w:t xml:space="preserve">outweighs the increased risk of severe side effects, in particular </w:t>
      </w:r>
      <w:r w:rsidR="00A07773">
        <w:t>potentially fatal major bleeding events</w:t>
      </w:r>
      <w:r w:rsidR="00C46C92">
        <w:t>. Presently,</w:t>
      </w:r>
      <w:r w:rsidR="00D57902">
        <w:t xml:space="preserve"> the assessment about the balance of risks is made using a clinical prediction rule such as CHADS</w:t>
      </w:r>
      <w:r w:rsidR="00D57902" w:rsidRPr="00D57902">
        <w:rPr>
          <w:vertAlign w:val="subscript"/>
        </w:rPr>
        <w:t>2</w:t>
      </w:r>
      <w:r w:rsidR="00D57902">
        <w:t xml:space="preserve"> and CHA</w:t>
      </w:r>
      <w:r w:rsidR="00D57902" w:rsidRPr="00D57902">
        <w:rPr>
          <w:vertAlign w:val="subscript"/>
        </w:rPr>
        <w:t>2</w:t>
      </w:r>
      <w:r w:rsidR="00D57902">
        <w:t>DS</w:t>
      </w:r>
      <w:r w:rsidR="00D57902" w:rsidRPr="00D57902">
        <w:rPr>
          <w:vertAlign w:val="subscript"/>
        </w:rPr>
        <w:t>2</w:t>
      </w:r>
      <w:r w:rsidR="00D57902">
        <w:t xml:space="preserve">-VASc, which use demographic and clinical characteristics to produce a stroke risk score. If this score is at or exceeds a threshold, the decision to prescribe OACs is made. </w:t>
      </w:r>
    </w:p>
    <w:p w:rsidR="00374A9D" w:rsidRDefault="00D57902" w:rsidP="008D11C1">
      <w:r>
        <w:t xml:space="preserve">This study assesses </w:t>
      </w:r>
      <w:ins w:id="16" w:author="Jon Minton" w:date="2012-04-03T12:00:00Z">
        <w:r w:rsidR="003F5221">
          <w:t xml:space="preserve">whether </w:t>
        </w:r>
      </w:ins>
      <w:del w:id="17" w:author="Jon Minton" w:date="2012-04-03T11:59:00Z">
        <w:r w:rsidR="00307F5F" w:rsidDel="003F5221">
          <w:delText xml:space="preserve">Because the consequences of wrong OAC prescription decisions can be so severe, we wanted to determine whether performing </w:delText>
        </w:r>
      </w:del>
      <w:ins w:id="18" w:author="Jon Minton" w:date="2012-04-03T12:00:00Z">
        <w:r w:rsidR="003F5221">
          <w:t xml:space="preserve">performing </w:t>
        </w:r>
      </w:ins>
      <w:r w:rsidR="00307F5F">
        <w:t>an addi</w:t>
      </w:r>
      <w:r w:rsidR="00C007A4">
        <w:t>tional, slightly more expensive</w:t>
      </w:r>
      <w:r w:rsidR="00307F5F">
        <w:t xml:space="preserve"> </w:t>
      </w:r>
      <w:r w:rsidR="00C3051A">
        <w:t xml:space="preserve">diagnostic test in all newly diagnosed AF patients </w:t>
      </w:r>
      <w:r w:rsidR="00307F5F">
        <w:t xml:space="preserve">would lead to </w:t>
      </w:r>
      <w:del w:id="19" w:author="Jon Minton" w:date="2012-04-03T12:00:00Z">
        <w:r w:rsidR="00307F5F" w:rsidDel="003F5221">
          <w:delText>net improvements in clinical effectiveness</w:delText>
        </w:r>
      </w:del>
      <w:ins w:id="20" w:author="Jon Minton" w:date="2012-04-03T12:00:00Z">
        <w:r w:rsidR="003F5221">
          <w:t>better clinical ou</w:t>
        </w:r>
      </w:ins>
      <w:ins w:id="21" w:author="Jon Minton" w:date="2012-04-03T12:01:00Z">
        <w:r w:rsidR="003F5221">
          <w:t>tcomes on average (clinical effectiveness)</w:t>
        </w:r>
      </w:ins>
      <w:r w:rsidR="00307F5F">
        <w:t xml:space="preserve">. </w:t>
      </w:r>
      <w:ins w:id="22" w:author="Jon Minton" w:date="2012-04-03T12:01:00Z">
        <w:r w:rsidR="00D65C68">
          <w:t xml:space="preserve">If </w:t>
        </w:r>
      </w:ins>
      <w:ins w:id="23" w:author="Jon Minton" w:date="2012-04-03T12:02:00Z">
        <w:r w:rsidR="00D65C68">
          <w:t xml:space="preserve">such additional testing is clinically effective, it is also important to evaluate whether </w:t>
        </w:r>
      </w:ins>
      <w:ins w:id="24" w:author="Jon Minton" w:date="2012-04-03T12:03:00Z">
        <w:r w:rsidR="00D65C68">
          <w:t xml:space="preserve">the additional health benefits are </w:t>
        </w:r>
      </w:ins>
      <w:ins w:id="25" w:author="Jon Minton" w:date="2012-04-03T12:04:00Z">
        <w:r w:rsidR="00D65C68">
          <w:t xml:space="preserve">proportionate </w:t>
        </w:r>
      </w:ins>
      <w:ins w:id="26" w:author="Jon Minton" w:date="2012-04-03T12:03:00Z">
        <w:r w:rsidR="00D65C68">
          <w:t xml:space="preserve">to the additional costs accrued, and </w:t>
        </w:r>
      </w:ins>
      <w:ins w:id="27" w:author="Jon Minton" w:date="2012-04-03T12:04:00Z">
        <w:r w:rsidR="00D65C68">
          <w:t>the additional testing is cost effective a</w:t>
        </w:r>
      </w:ins>
      <w:ins w:id="28" w:author="Jon Minton" w:date="2012-04-03T12:05:00Z">
        <w:r w:rsidR="00D65C68">
          <w:t>t standard NICE decision-making thresholds.</w:t>
        </w:r>
      </w:ins>
      <w:del w:id="29" w:author="Jon Minton" w:date="2012-04-03T12:05:00Z">
        <w:r w:rsidR="00307F5F" w:rsidDel="00D65C68">
          <w:delText xml:space="preserve">If </w:delText>
        </w:r>
        <w:r w:rsidR="00C007A4" w:rsidDel="00D65C68">
          <w:delText>performing this test were clinically effective, we want to know if it is cost-effective at standard NICE decision-making thresholds.</w:delText>
        </w:r>
      </w:del>
      <w:r w:rsidR="00C007A4">
        <w:t xml:space="preserve"> </w:t>
      </w:r>
      <w:del w:id="30" w:author="Jon Minton" w:date="2012-04-03T12:05:00Z">
        <w:r w:rsidR="00C007A4" w:rsidDel="00D65C68">
          <w:delText xml:space="preserve">Our </w:delText>
        </w:r>
      </w:del>
      <w:ins w:id="31" w:author="Jon Minton" w:date="2012-04-03T12:05:00Z">
        <w:r w:rsidR="00D65C68">
          <w:t xml:space="preserve">The </w:t>
        </w:r>
      </w:ins>
      <w:r w:rsidR="00C007A4">
        <w:t>additional diagnostic test of interest is transthoracic echocardiography (TTE)</w:t>
      </w:r>
      <w:ins w:id="32" w:author="Jon Minton" w:date="2012-04-03T14:18:00Z">
        <w:r w:rsidR="00CE721E">
          <w:t xml:space="preserve">, a </w:t>
        </w:r>
      </w:ins>
      <w:ins w:id="33" w:author="Jon Minton" w:date="2012-04-03T14:23:00Z">
        <w:r w:rsidR="00CE721E">
          <w:t xml:space="preserve">non invasive </w:t>
        </w:r>
      </w:ins>
      <w:ins w:id="34" w:author="Jon Minton" w:date="2012-04-03T14:18:00Z">
        <w:r w:rsidR="00CE721E">
          <w:t xml:space="preserve">procedure that allows imaging of the heart and blood flow. </w:t>
        </w:r>
      </w:ins>
    </w:p>
    <w:p w:rsidR="00395BE3" w:rsidRDefault="00374A9D" w:rsidP="008D11C1">
      <w:r>
        <w:t xml:space="preserve">In this study </w:t>
      </w:r>
      <w:del w:id="35" w:author="Jon Minton" w:date="2012-04-03T12:05:00Z">
        <w:r w:rsidDel="00D65C68">
          <w:delText xml:space="preserve">we </w:delText>
        </w:r>
      </w:del>
      <w:ins w:id="36" w:author="Jon Minton" w:date="2012-04-03T12:05:00Z">
        <w:r>
          <w:t xml:space="preserve">a discrete event simulation (DES) model was developed to </w:t>
        </w:r>
      </w:ins>
      <w:del w:id="37" w:author="Jon Minton" w:date="2012-04-03T12:05:00Z">
        <w:r w:rsidDel="00D65C68">
          <w:delText xml:space="preserve">developed a discrete-event simulation to </w:delText>
        </w:r>
      </w:del>
      <w:r>
        <w:t xml:space="preserve">model the long-term implications of performing TTEs in all newly diagnosed AF patients when making the decision whether to prescribe OACs. </w:t>
      </w:r>
      <w:del w:id="38" w:author="Jon Minton" w:date="2012-04-03T12:06:00Z">
        <w:r w:rsidDel="00D65C68">
          <w:delText xml:space="preserve">In the model presented below </w:delText>
        </w:r>
      </w:del>
      <w:proofErr w:type="spellStart"/>
      <w:r>
        <w:t>Dabigatran</w:t>
      </w:r>
      <w:proofErr w:type="spellEnd"/>
      <w:r>
        <w:t xml:space="preserve"> was selected as the OAC to model, as it has recently been recommended for use in this population group by NICE</w:t>
      </w:r>
      <w:r w:rsidR="00974077">
        <w:t xml:space="preserve"> </w:t>
      </w:r>
      <w:r w:rsidR="004111A3">
        <w:fldChar w:fldCharType="begin" w:fldLock="1"/>
      </w:r>
      <w:r w:rsidR="00F15320">
        <w:instrText xml:space="preserve">ADDIN Mendeley Citation{1cf9ef66-0457-4d23-8965-fe2f9c250e13} CSL_CITATION  { "citationItems" : [ { "id" : "ITEM-1", "itemData" : { "author" : [ { "family" : "NICE", "given" : "" } ], "id" : "ITEM-1", "issued" : { "date-parts" : [ [ "2012" ] ] }, "page" : "46", "title" : "Final appraisal determination \u2013 Dabigatran etexilate for the prevention of stroke and systemic embolism in atrial fibrillation", "type" : "report" }, "uris" : [ "http://www.mendeley.com/documents/?uuid=1cf9ef66-0457-4d23-8965-fe2f9c250e13" ] } ], "mendeley" : { "previouslyFormattedCitation" : "(3)" }, "properties" : { "noteIndex" : 0 }, "schema" : "https://github.com/citation-style-language/schema/raw/master/csl-citation.json" } </w:instrText>
      </w:r>
      <w:r w:rsidR="004111A3">
        <w:fldChar w:fldCharType="separate"/>
      </w:r>
      <w:r w:rsidR="00974077" w:rsidRPr="00974077">
        <w:rPr>
          <w:noProof/>
        </w:rPr>
        <w:t>(3)</w:t>
      </w:r>
      <w:r w:rsidR="004111A3">
        <w:fldChar w:fldCharType="end"/>
      </w:r>
      <w:del w:id="39" w:author="Jon Minton" w:date="2012-04-03T14:30:00Z">
        <w:r w:rsidDel="00983B8D">
          <w:delText xml:space="preserve"> [Ref]</w:delText>
        </w:r>
      </w:del>
      <w:r>
        <w:t>, and carries a lower bleed risk than warfarin.</w:t>
      </w:r>
      <w:r w:rsidR="004111A3">
        <w:fldChar w:fldCharType="begin" w:fldLock="1"/>
      </w:r>
      <w:r w:rsidR="00F15320">
        <w:instrText xml:space="preserve">ADDIN Mendeley Citation{7132dd64-ce8d-4895-9e83-f5e47e8838d6}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\u003c75 years (1.89% versus 3.04%; P\u003c0.001) and a similar risk in those aged \u003e/=75 years (4.43% versus 4.37%; P=0.89; P for interaction \u003c0.001), whereas dabigatran 150 mg twice a day compared with warfarin was associated with a lower risk of major bleeding in those aged \u003c75 years (2.12% versus 3.04%; P\u003c0.001) and a trend toward higher risk of major bleeding in those aged \u003e/=75 years (5.10% versus 4.37%; P=0.07; P for interaction \u003c0.001).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\u003c75 years. In those aged \u003e/=75 years, intracranial bleeding risk is lower but extracranial bleeding risk is similar or higher with both doses of dabigatran compared with warfarin. CLINICAL TRIAL REGISTRATION: http://www.clinicaltrials.gov. Unique identifier: NCT00262600.", "author" : [ { "family" : "Eikelboom", "given" : "J W" }, { "family" : "Wallentin", "given" : "L" }, { "family" : "Connolly", "given" : "S J" }, { "family" : "Ezekowitz", "given" : "M" }, { "family" : "Healey", "given" : "J S" }, { "family" : "Oldgren", "given" : "J" }, { "family" : "Yang", "given" : "S" }, { "family" : "Alings", "given" : "M" }, { "family" : "Kaatz", "given" : "S" }, { "family" : "Hohnloser", "given" : "S H" }, { "family" : "Diener", "given" : "H C" }, { "family" : "Franzosi", "given" : "M G" }, { "family" : "Huber", "given" : "K" }, { "family" : "Reilly", "given" : "P" }, { "family" : "Varrone", "given" : "J" }, { "family" : "Yusuf", "given" : "S" } ], "container-title" : "Circulation", "edition" : "2011/05/18", "id" : "ITEM-1", "issue" : "21", "issued" : { "date-parts" : [ [ "2011" ] ] }, "note" : "\u003cm:note\u003eEikelboom, John W\u003cm:linebreak/\u003eWallentin, Lars\u003cm:linebreak/\u003eConnolly, Stuart J\u003cm:linebreak/\u003eEzekowitz, Mike\u003cm:linebreak/\u003eHealey, Jeff S\u003cm:linebreak/\u003eOldgren, Jonas\u003cm:linebreak/\u003eYang, Sean\u003cm:linebreak/\u003eAlings, Marco\u003cm:linebreak/\u003eKaatz, Scott\u003cm:linebreak/\u003eHohnloser, Stefan H\u003cm:linebreak/\u003eDiener, Hans-Christoph\u003cm:linebreak/\u003eFranzosi, Maria Grazia\u003cm:linebreak/\u003eHuber, Kurt\u003cm:linebreak/\u003eReilly, Paul\u003cm:linebreak/\u003eVarrone, Jeanne\u003cm:linebreak/\u003eYusuf, Salim\u003cm:linebreak/\u003eComparative Study\u003cm:linebreak/\u003eRandomized Controlled Trial\u003cm:linebreak/\u003eResearch Support, Non-U.S. Gov't\u003cm:linebreak/\u003eUnited States\u003cm:linebreak/\u003eCirculation\u003cm:linebreak/\u003eCirculation. 2011 May 31;123(21):2363-72. Epub 2011 May 16.\u003c/m:note\u003e",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"(4)" }, "properties" : { "noteIndex" : 0 }, "schema" : "https://github.com/citation-style-language/schema/raw/master/csl-citation.json" } </w:instrText>
      </w:r>
      <w:r w:rsidR="004111A3">
        <w:fldChar w:fldCharType="separate"/>
      </w:r>
      <w:r w:rsidR="006C6A74" w:rsidRPr="006C6A74">
        <w:rPr>
          <w:noProof/>
        </w:rPr>
        <w:t>(4)</w:t>
      </w:r>
      <w:r w:rsidR="004111A3">
        <w:fldChar w:fldCharType="end"/>
      </w:r>
      <w:r>
        <w:t xml:space="preserve"> </w:t>
      </w:r>
      <w:del w:id="40" w:author="Jon Minton" w:date="2012-04-03T14:32:00Z">
        <w:r w:rsidDel="00983B8D">
          <w:delText>[Ref]</w:delText>
        </w:r>
      </w:del>
      <w:r>
        <w:t>Patients whom the prediction rule would suggest are of lowest stroke risk, and so would not normally be prescribed OAC, are also assessed using TTE. If TTE identifies at least one type of left atrial abnormality (LA ABN), which has been shown to lead to an increased stroke risk,</w:t>
      </w:r>
      <w:r w:rsidR="004111A3">
        <w:fldChar w:fldCharType="begin" w:fldLock="1"/>
      </w:r>
      <w:r w:rsidR="00F15320">
        <w:instrText xml:space="preserve">ADDIN Mendeley Citation{968b0944-cf4e-4f23-91e7-760351b2bc71} CSL_CITATION  { "citationItems" : [ { "id" : "ITEM-1", "itemData" : { "ISBN" : "0003-4819 (Print)\n0003-4819 (Linking)", "abstract" : "BACKGROUND: Transesophageal echocardiography (TEE) visualizes potential sources of embolism in patients with atrial fibrillation, but the clinical significance of TEE findings has not been prospectively established. OBJECTIVE: To define TEE predictors of stroke in patients with atrial fibrillation and to examine response to antithrombotic therapy. DESIGN: Prospective correlation of TEE findings at study entry with subsequent ischemic stroke during 1.1-year mean follow-up of participants in a randomized trial. SETTING: 18 echocardiography laboratories. PATIENTS: 382 patients with atrial fibrillation at high risk for thromboembolism. INTERVENTION: Adjusted-dose warfarin (international normalized ratio, 2 to 3) or low-intensity warfarin (international normalized ratio, 1.2 to 1.5) plus aspirin (325 mg/d). MEASUREMENTS: Size of left atrium and left atrial appendage, flow velocity, spontaneous echocardiographic contrast, thrombus, and plaque on the aortic arch. RESULTS: 23 ischemic strokes occurred. In patients with dense spontaneous echocardiographic contrast (20%), the rate of stroke was 18.2% per year with combination therapy (2.9 times the rate in patients without this finding; P = 0.06) and 4.5% per year with adjusted-dose warfarin (P = 0.09 for rate reduction). Appendage thrombus, detected in 10% of patients, was associated with dense spontaneous echocardiographic contrast (P \u003c 0.001), was seen more frequently after 2 weeks of combination therapy (15%) than after 2 weeks of adjusted-dose warfarin (4%) (P = 0.004), and tripled the overall rate of stroke (P = 0.04). Patients with complex aortic plaque (35%) had a fourfold increased rate of stroke compared with plaque-free patients (P = 0.005); adjusted-dose warfarin decreased risk by 75% (P = 0.02). Dense spontaneous echocardiographic contrast and complex aortic plaque were independent of each other as predictors of thromboembolism. CONCLUSIONS: In high-risk patients with atrial fibrillation, subsequent rates of thromboembolism are correlated with dense spontaneous echocardiographic contrast, thrombus of the atrial appendage, and aortic plaque. Adjusted-dose warfarin reduces the rate of stroke among patients with dense contrast and complex plaque. In patients with atrial fibrillation, the pathogenesis of stroke is multifactorial, and warfarin seems effective for the diverse mechanisms.", "container-title" : "Ann Intern Med", "edition" : "1998/12/16", "id" : "ITEM-1", "issue" : "8", "issued" : { "date-parts" : [ [ "1998" ] ] }, "note" : "\u003cm:note\u003eR01-NS-24224/NS/NINDS NIH HHS/United States\u003cm:linebreak/\u003eR01-NS-33351/NS/NINDS NIH HHS/United States\u003cm:linebreak/\u003eClinical Trial\u003cm:linebreak/\u003eRandomized Controlled Trial\u003cm:linebreak/\u003eResearch Support, U.S. Gov't, P.H.S.\u003cm:linebreak/\u003eUnited states\u003cm:linebreak/\u003eAnnals of internal medicine\u003cm:linebreak/\u003eAnn Intern Med. 1998 Apr 15;128(8):639-47.\u003c/m:note\u003e", "page" : "639-647", "title" : "Transesophageal echocardiographic correlates of thromboembolism in high-risk patients with nonvalvular atrial fibrillation. The Stroke Prevention in Atrial Fibrillation Investigators Committee on Echocardiography", "type" : "article-journal", "volume" : "128" }, "uris" : [ "http://www.mendeley.com/documents/?uuid=968b0944-cf4e-4f23-91e7-760351b2bc71" ] } ], "mendeley" : { "previouslyFormattedCitation" : "(5)" }, "properties" : { "noteIndex" : 0 }, "schema" : "https://github.com/citation-style-language/schema/raw/master/csl-citation.json" } </w:instrText>
      </w:r>
      <w:r w:rsidR="004111A3">
        <w:fldChar w:fldCharType="separate"/>
      </w:r>
      <w:r w:rsidR="006C6A74" w:rsidRPr="006C6A74">
        <w:rPr>
          <w:noProof/>
        </w:rPr>
        <w:t>(5)</w:t>
      </w:r>
      <w:r w:rsidR="004111A3">
        <w:fldChar w:fldCharType="end"/>
      </w:r>
      <w:r>
        <w:t xml:space="preserve"> </w:t>
      </w:r>
      <w:del w:id="41" w:author="Jon Minton" w:date="2012-04-03T14:34:00Z">
        <w:r w:rsidDel="00983B8D">
          <w:delText xml:space="preserve">[Ref] </w:delText>
        </w:r>
      </w:del>
      <w:r>
        <w:t xml:space="preserve">then they are also prescribed OACs. </w:t>
      </w:r>
      <w:r w:rsidR="00655A1D">
        <w:t>As</w:t>
      </w:r>
      <w:r>
        <w:t xml:space="preserve"> a result of this, more people will be prescribed OACs when TTE is </w:t>
      </w:r>
      <w:r>
        <w:lastRenderedPageBreak/>
        <w:t>included in the diagnost</w:t>
      </w:r>
      <w:r w:rsidR="00655A1D">
        <w:t xml:space="preserve">ic package than when it is not, so </w:t>
      </w:r>
      <w:r>
        <w:t xml:space="preserve">any potential cost savings would be as a result of preventing strokes and the costs to the NHS that result from them.  </w:t>
      </w:r>
      <w:del w:id="42" w:author="Jon Minton" w:date="2012-04-03T14:19:00Z">
        <w:r w:rsidR="00C007A4" w:rsidDel="00CE721E">
          <w:delText xml:space="preserve">. [Brief description of TTE including ref]. </w:delText>
        </w:r>
      </w:del>
    </w:p>
    <w:p w:rsidR="0005390C" w:rsidRDefault="00C007A4" w:rsidP="009C2038">
      <w:pPr>
        <w:pStyle w:val="Heading2"/>
        <w:numPr>
          <w:ilvl w:val="0"/>
          <w:numId w:val="0"/>
        </w:numPr>
      </w:pPr>
      <w:r>
        <w:t>Method</w:t>
      </w:r>
      <w:r w:rsidR="00E57550">
        <w:t>s</w:t>
      </w:r>
    </w:p>
    <w:p w:rsidR="00E57550" w:rsidRDefault="00E57550" w:rsidP="008D11C1">
      <w:r>
        <w:t xml:space="preserve">The mathematical model developed estimated the effect of </w:t>
      </w:r>
      <w:r w:rsidR="006D7B3B">
        <w:t xml:space="preserve">performing TTE in all newly diagnosed 60 year old males with AF, on the decision to prescribe </w:t>
      </w:r>
      <w:proofErr w:type="spellStart"/>
      <w:r w:rsidR="006D7B3B">
        <w:t>dabigatran</w:t>
      </w:r>
      <w:proofErr w:type="spellEnd"/>
      <w:r w:rsidR="006D7B3B">
        <w:t xml:space="preserve"> and outcomes following this decision, compared with just using one of two related clinical prediction rules (described later) to make this decision. </w:t>
      </w:r>
      <w:r w:rsidR="003E2F7C">
        <w:t xml:space="preserve">Males aged </w:t>
      </w:r>
      <w:proofErr w:type="gramStart"/>
      <w:r w:rsidR="003E2F7C">
        <w:t>under</w:t>
      </w:r>
      <w:proofErr w:type="gramEnd"/>
      <w:r w:rsidR="003E2F7C">
        <w:t xml:space="preserve"> 65 were considered because being female and being aged 65 or older are risk factors according to the more sensitive of the two clinical prediction rules</w:t>
      </w:r>
      <w:r w:rsidR="00A07773">
        <w:t xml:space="preserve"> (CHA</w:t>
      </w:r>
      <w:r w:rsidR="00A07773" w:rsidRPr="00A07773">
        <w:rPr>
          <w:vertAlign w:val="subscript"/>
        </w:rPr>
        <w:t>2</w:t>
      </w:r>
      <w:r w:rsidR="00A07773">
        <w:t>DS</w:t>
      </w:r>
      <w:r w:rsidR="00A07773" w:rsidRPr="00A07773">
        <w:rPr>
          <w:vertAlign w:val="subscript"/>
        </w:rPr>
        <w:t>2</w:t>
      </w:r>
      <w:r w:rsidR="00A07773">
        <w:softHyphen/>
        <w:t>-VASc)</w:t>
      </w:r>
      <w:r w:rsidR="003E2F7C">
        <w:t xml:space="preserve">, and so would lead to a decision to prescribe OACs even in the absence of information from TTE. </w:t>
      </w:r>
      <w:r w:rsidR="006D7B3B">
        <w:t>The health economic outcome of interest is the quality adjusted life</w:t>
      </w:r>
      <w:r w:rsidR="00397705">
        <w:t xml:space="preserve"> </w:t>
      </w:r>
      <w:r w:rsidR="006D7B3B">
        <w:t>year (QALY). An NHS perspective is adopted</w:t>
      </w:r>
      <w:r w:rsidR="003E2F7C">
        <w:t>, so that costs incurred by the patient or wider society are not considered</w:t>
      </w:r>
      <w:r w:rsidR="006D7B3B">
        <w:t xml:space="preserve">. Standard NICE discount rates for utilities and costs of 3.5% per annum are used. </w:t>
      </w:r>
      <w:r w:rsidR="00E36064">
        <w:t xml:space="preserve">A lifetime horizon is adopted. </w:t>
      </w:r>
      <w:r w:rsidR="006D7B3B">
        <w:t xml:space="preserve">In order to incorporate the effect of uncertainty on predicted outcomes, a probabilistic model is used, so that where possible model parameter estimates are drawn from distributions rather than assumed to be fixed values. The central estimates </w:t>
      </w:r>
      <w:r w:rsidR="00A07773">
        <w:t xml:space="preserve">were </w:t>
      </w:r>
      <w:r w:rsidR="006D7B3B">
        <w:t xml:space="preserve">derived by taking mean values from probabilistic sensitivity analyses, rather than from a deterministic model run, in order to incorporate nonlinearities between </w:t>
      </w:r>
      <w:r w:rsidR="005E46D7">
        <w:t xml:space="preserve">model </w:t>
      </w:r>
      <w:r w:rsidR="006D7B3B">
        <w:t>parameters and outcomes.</w:t>
      </w:r>
    </w:p>
    <w:p w:rsidR="00004236" w:rsidRPr="00EF4EB9" w:rsidRDefault="00397705" w:rsidP="008D11C1">
      <w:r>
        <w:t>A</w:t>
      </w:r>
      <w:r w:rsidR="00004236" w:rsidRPr="00EF4EB9">
        <w:t xml:space="preserve">n overview of the model is presented in </w:t>
      </w:r>
      <w:r w:rsidR="00ED065B">
        <w:fldChar w:fldCharType="begin"/>
      </w:r>
      <w:r w:rsidR="00ED065B">
        <w:instrText xml:space="preserve"> REF _Ref321241706 \h </w:instrText>
      </w:r>
      <w:r w:rsidR="00ED065B">
        <w:fldChar w:fldCharType="separate"/>
      </w:r>
      <w:ins w:id="43" w:author="Jon Minton" w:date="2012-04-03T18:39:00Z">
        <w:r w:rsidR="00BD4F95">
          <w:t>Figure 1</w:t>
        </w:r>
      </w:ins>
      <w:r w:rsidR="00ED065B">
        <w:fldChar w:fldCharType="end"/>
      </w:r>
      <w:r w:rsidR="00C007A4">
        <w:t>.</w:t>
      </w:r>
      <w:r w:rsidR="00004236" w:rsidRPr="00EF4EB9">
        <w:t xml:space="preserve"> The model involves </w:t>
      </w:r>
      <w:r w:rsidR="00657538">
        <w:t xml:space="preserve">both a </w:t>
      </w:r>
      <w:r w:rsidR="00004236" w:rsidRPr="00EF4EB9">
        <w:t xml:space="preserve">short-term </w:t>
      </w:r>
      <w:r w:rsidR="00A07773">
        <w:t xml:space="preserve">diagnostic stage and long-term patient outcome stage. In the short-term stage </w:t>
      </w:r>
      <w:r w:rsidR="00004236" w:rsidRPr="00EF4EB9">
        <w:t>the clinical characteristics of a patient are generated, and the decision whether or not to prescribe OAC is made</w:t>
      </w:r>
      <w:r w:rsidR="00A07773">
        <w:t xml:space="preserve">. In the </w:t>
      </w:r>
      <w:r w:rsidR="00004236" w:rsidRPr="00EF4EB9">
        <w:t xml:space="preserve">long-term simulation </w:t>
      </w:r>
      <w:r w:rsidR="00A07773">
        <w:t xml:space="preserve">the patient’s clinical outcomes are simulated. Over the patient lifetime the patient may experience a stroke or major bleeding event, or a death from another cause. Each of these events </w:t>
      </w:r>
      <w:proofErr w:type="gramStart"/>
      <w:r w:rsidR="00A07773">
        <w:t>have</w:t>
      </w:r>
      <w:proofErr w:type="gramEnd"/>
      <w:r w:rsidR="00A07773">
        <w:t xml:space="preserve"> associated costs and utilities. By following the outcomes for a large number of patients, the average associated costs and utilities following both diagnostic strategies (baseline, without TTE, and comparator, with TTE) were estimated, allowing </w:t>
      </w:r>
      <w:r w:rsidR="00263B7C">
        <w:t>estimation of the mean costs and mean QALYs for both strategies, and so the incremental cost effectiveness ratio (ICER) of including TTE in the diagnostic package.</w:t>
      </w:r>
    </w:p>
    <w:p w:rsidR="00BD4F95" w:rsidRDefault="00EB5B27" w:rsidP="008D11C1">
      <w:r w:rsidRPr="00EF4EB9">
        <w:rPr>
          <w:noProof/>
          <w:lang w:val="en-GB" w:eastAsia="en-GB" w:bidi="ar-SA"/>
        </w:rPr>
        <w:lastRenderedPageBreak/>
        <w:drawing>
          <wp:inline distT="0" distB="0" distL="0" distR="0">
            <wp:extent cx="8863330" cy="3696970"/>
            <wp:effectExtent l="19050" t="0" r="0" b="0"/>
            <wp:docPr id="1" name="Picture 5" descr="Conceptual Model of Matt's S8 Model v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 Model of Matt's S8 Model v2.jpeg"/>
                    <pic:cNvPicPr/>
                  </pic:nvPicPr>
                  <pic:blipFill>
                    <a:blip r:embed="rId9" cstate="print"/>
                    <a:stretch>
                      <a:fillRect/>
                    </a:stretch>
                  </pic:blipFill>
                  <pic:spPr>
                    <a:xfrm>
                      <a:off x="0" y="0"/>
                      <a:ext cx="8863330" cy="3696970"/>
                    </a:xfrm>
                    <a:prstGeom prst="rect">
                      <a:avLst/>
                    </a:prstGeom>
                  </pic:spPr>
                </pic:pic>
              </a:graphicData>
            </a:graphic>
          </wp:inline>
        </w:drawing>
      </w:r>
    </w:p>
    <w:p w:rsidR="00EB5B27" w:rsidRPr="00EF4EB9" w:rsidRDefault="00BD4F95" w:rsidP="008D11C1">
      <w:pPr>
        <w:pStyle w:val="Caption"/>
      </w:pPr>
      <w:bookmarkStart w:id="44" w:name="_Ref321241706"/>
      <w:r>
        <w:t xml:space="preserve">Figure </w:t>
      </w:r>
      <w:r w:rsidR="00ED065B">
        <w:fldChar w:fldCharType="begin"/>
      </w:r>
      <w:r w:rsidR="00ED065B">
        <w:instrText xml:space="preserve"> SEQ Figure \* ARABIC </w:instrText>
      </w:r>
      <w:r w:rsidR="00ED065B">
        <w:fldChar w:fldCharType="separate"/>
      </w:r>
      <w:r w:rsidR="00867ABA">
        <w:rPr>
          <w:noProof/>
        </w:rPr>
        <w:t>1</w:t>
      </w:r>
      <w:r w:rsidR="00ED065B">
        <w:rPr>
          <w:noProof/>
        </w:rPr>
        <w:fldChar w:fldCharType="end"/>
      </w:r>
      <w:bookmarkEnd w:id="44"/>
      <w:r>
        <w:t xml:space="preserve"> Graphical representation of the mathematical model</w:t>
      </w:r>
    </w:p>
    <w:p w:rsidR="00A8404E" w:rsidRDefault="007D019C" w:rsidP="008D11C1">
      <w:pPr>
        <w:rPr>
          <w:ins w:id="45" w:author="Jon Minton" w:date="2012-04-03T14:05:00Z"/>
        </w:rPr>
      </w:pPr>
      <w:ins w:id="46" w:author="Jon Minton" w:date="2012-04-03T14:04:00Z">
        <w:r>
          <w:t xml:space="preserve">The criteria and scoring systems used by </w:t>
        </w:r>
      </w:ins>
      <w:r w:rsidR="00E97667">
        <w:t xml:space="preserve">the two baseline strategies </w:t>
      </w:r>
      <w:ins w:id="47" w:author="Jon Minton" w:date="2012-04-03T14:04:00Z">
        <w:r>
          <w:t xml:space="preserve">are shown in </w:t>
        </w:r>
      </w:ins>
      <w:ins w:id="48" w:author="Jon Minton" w:date="2012-04-03T14:36:00Z">
        <w:r w:rsidR="004111A3">
          <w:fldChar w:fldCharType="begin"/>
        </w:r>
        <w:r w:rsidR="00983B8D">
          <w:instrText xml:space="preserve"> REF _Ref321227101 \h </w:instrText>
        </w:r>
      </w:ins>
      <w:r w:rsidR="004111A3">
        <w:fldChar w:fldCharType="separate"/>
      </w:r>
      <w:ins w:id="49" w:author="Jon Minton" w:date="2012-04-03T14:36:00Z">
        <w:r w:rsidR="00983B8D">
          <w:t xml:space="preserve">Table </w:t>
        </w:r>
        <w:r w:rsidR="00983B8D">
          <w:rPr>
            <w:noProof/>
          </w:rPr>
          <w:t>1</w:t>
        </w:r>
        <w:r w:rsidR="004111A3">
          <w:fldChar w:fldCharType="end"/>
        </w:r>
        <w:r w:rsidR="00983B8D">
          <w:t xml:space="preserve"> </w:t>
        </w:r>
      </w:ins>
      <w:ins w:id="50" w:author="Jon Minton" w:date="2012-04-03T14:05:00Z">
        <w:r>
          <w:t xml:space="preserve">below. </w:t>
        </w:r>
      </w:ins>
      <w:r w:rsidR="00A8404E" w:rsidRPr="008C72E4">
        <w:t>The CHADS</w:t>
      </w:r>
      <w:r w:rsidR="00A8404E" w:rsidRPr="008C72E4">
        <w:rPr>
          <w:vertAlign w:val="subscript"/>
        </w:rPr>
        <w:t>2</w:t>
      </w:r>
      <w:r w:rsidR="00A8404E" w:rsidRPr="008C72E4">
        <w:t xml:space="preserve"> instrument produces a risk score for each patient ranging from</w:t>
      </w:r>
      <w:r w:rsidR="00A8404E">
        <w:t xml:space="preserve"> zero to six points inclusive</w:t>
      </w:r>
      <w:r w:rsidR="00655A1D">
        <w:t xml:space="preserve">, and </w:t>
      </w:r>
      <w:r w:rsidR="00A8404E">
        <w:t>CHA</w:t>
      </w:r>
      <w:ins w:id="51" w:author="Jon Minton" w:date="2012-04-03T12:30:00Z">
        <w:r w:rsidR="004111A3" w:rsidRPr="004111A3">
          <w:rPr>
            <w:vertAlign w:val="subscript"/>
            <w:rPrChange w:id="52" w:author="Jon Minton" w:date="2012-04-03T12:30:00Z">
              <w:rPr/>
            </w:rPrChange>
          </w:rPr>
          <w:t>2</w:t>
        </w:r>
      </w:ins>
      <w:r w:rsidR="00A8404E">
        <w:t>DS</w:t>
      </w:r>
      <w:r w:rsidR="004111A3" w:rsidRPr="004111A3">
        <w:rPr>
          <w:vertAlign w:val="subscript"/>
          <w:rPrChange w:id="53" w:author="Jon Minton" w:date="2012-04-03T12:30:00Z">
            <w:rPr/>
          </w:rPrChange>
        </w:rPr>
        <w:t>2</w:t>
      </w:r>
      <w:r w:rsidR="00A8404E">
        <w:t>-VASc assigns patients a score ranging from zero to nine points</w:t>
      </w:r>
      <w:r w:rsidR="00655A1D">
        <w:t xml:space="preserve"> inclusive.</w:t>
      </w:r>
      <w:r w:rsidR="00492057">
        <w:t xml:space="preserve"> </w:t>
      </w:r>
      <w:r w:rsidR="00A8404E">
        <w:t xml:space="preserve">In both cases, it is assumed a patient assigned a risk score of one or more point would be prescribed </w:t>
      </w:r>
      <w:proofErr w:type="spellStart"/>
      <w:r w:rsidR="00A8404E">
        <w:t>dabigatran</w:t>
      </w:r>
      <w:proofErr w:type="spellEnd"/>
      <w:r w:rsidR="00A8404E">
        <w:t>. As a result of this, CHA</w:t>
      </w:r>
      <w:r w:rsidR="00492057" w:rsidRPr="00492057">
        <w:rPr>
          <w:vertAlign w:val="subscript"/>
        </w:rPr>
        <w:t>2</w:t>
      </w:r>
      <w:r w:rsidR="00A8404E">
        <w:t>DS</w:t>
      </w:r>
      <w:r w:rsidR="00A8404E" w:rsidRPr="00492057">
        <w:rPr>
          <w:vertAlign w:val="subscript"/>
        </w:rPr>
        <w:t>2</w:t>
      </w:r>
      <w:r w:rsidR="00A8404E">
        <w:t xml:space="preserve">-VASc is a more inclusive clinical prediction </w:t>
      </w:r>
      <w:r w:rsidR="00E97667">
        <w:t>rule</w:t>
      </w:r>
      <w:r w:rsidR="00A8404E">
        <w:t xml:space="preserve">. </w:t>
      </w:r>
    </w:p>
    <w:tbl>
      <w:tblPr>
        <w:tblStyle w:val="TableGrid"/>
        <w:tblW w:w="0" w:type="auto"/>
        <w:tblLook w:val="04A0" w:firstRow="1" w:lastRow="0" w:firstColumn="1" w:lastColumn="0" w:noHBand="0" w:noVBand="1"/>
      </w:tblPr>
      <w:tblGrid>
        <w:gridCol w:w="960"/>
        <w:gridCol w:w="2692"/>
        <w:gridCol w:w="969"/>
        <w:gridCol w:w="945"/>
        <w:gridCol w:w="2764"/>
        <w:gridCol w:w="912"/>
        <w:tblGridChange w:id="54">
          <w:tblGrid>
            <w:gridCol w:w="960"/>
            <w:gridCol w:w="1965"/>
            <w:gridCol w:w="1696"/>
            <w:gridCol w:w="945"/>
            <w:gridCol w:w="2115"/>
            <w:gridCol w:w="1561"/>
          </w:tblGrid>
        </w:tblGridChange>
      </w:tblGrid>
      <w:tr w:rsidR="00DC628D" w:rsidTr="00492057">
        <w:trPr>
          <w:ins w:id="55" w:author="Jon Minton" w:date="2012-04-03T14:07:00Z"/>
        </w:trPr>
        <w:tc>
          <w:tcPr>
            <w:tcW w:w="4621" w:type="dxa"/>
            <w:gridSpan w:val="3"/>
          </w:tcPr>
          <w:p w:rsidR="00EF7137" w:rsidRDefault="004111A3">
            <w:pPr>
              <w:rPr>
                <w:ins w:id="56" w:author="Jon Minton" w:date="2012-04-03T14:07:00Z"/>
                <w:sz w:val="22"/>
                <w:rPrChange w:id="57" w:author="Jon Minton" w:date="2012-04-03T14:35:00Z">
                  <w:rPr>
                    <w:ins w:id="58" w:author="Jon Minton" w:date="2012-04-03T14:07:00Z"/>
                    <w:rFonts w:asciiTheme="minorHAnsi" w:eastAsiaTheme="minorEastAsia" w:hAnsiTheme="minorHAnsi" w:cstheme="minorBidi"/>
                    <w:sz w:val="22"/>
                    <w:szCs w:val="22"/>
                    <w:lang w:bidi="en-US"/>
                  </w:rPr>
                </w:rPrChange>
              </w:rPr>
              <w:pPrChange w:id="59" w:author="Jon Minton" w:date="2012-04-03T14:10:00Z">
                <w:pPr>
                  <w:spacing w:after="200"/>
                </w:pPr>
              </w:pPrChange>
            </w:pPr>
            <w:ins w:id="60" w:author="Jon Minton" w:date="2012-04-03T14:07:00Z">
              <w:r w:rsidRPr="004111A3">
                <w:t>CHADS</w:t>
              </w:r>
              <w:r w:rsidRPr="004111A3">
                <w:rPr>
                  <w:vertAlign w:val="subscript"/>
                  <w:rPrChange w:id="61" w:author="Jon Minton" w:date="2012-04-03T14:35:00Z">
                    <w:rPr/>
                  </w:rPrChange>
                </w:rPr>
                <w:t>2</w:t>
              </w:r>
            </w:ins>
          </w:p>
        </w:tc>
        <w:tc>
          <w:tcPr>
            <w:tcW w:w="4621" w:type="dxa"/>
            <w:gridSpan w:val="3"/>
          </w:tcPr>
          <w:p w:rsidR="00EF7137" w:rsidRDefault="004111A3">
            <w:pPr>
              <w:rPr>
                <w:ins w:id="62" w:author="Jon Minton" w:date="2012-04-03T14:07:00Z"/>
                <w:sz w:val="22"/>
                <w:rPrChange w:id="63" w:author="Jon Minton" w:date="2012-04-03T14:35:00Z">
                  <w:rPr>
                    <w:ins w:id="64" w:author="Jon Minton" w:date="2012-04-03T14:07:00Z"/>
                    <w:rFonts w:asciiTheme="minorHAnsi" w:eastAsiaTheme="minorEastAsia" w:hAnsiTheme="minorHAnsi" w:cstheme="minorBidi"/>
                    <w:sz w:val="22"/>
                    <w:szCs w:val="22"/>
                    <w:lang w:bidi="en-US"/>
                  </w:rPr>
                </w:rPrChange>
              </w:rPr>
              <w:pPrChange w:id="65" w:author="Jon Minton" w:date="2012-04-03T14:10:00Z">
                <w:pPr>
                  <w:spacing w:after="200"/>
                </w:pPr>
              </w:pPrChange>
            </w:pPr>
            <w:ins w:id="66" w:author="Jon Minton" w:date="2012-04-03T14:07:00Z">
              <w:r w:rsidRPr="004111A3">
                <w:t>CHA</w:t>
              </w:r>
              <w:r w:rsidRPr="004111A3">
                <w:rPr>
                  <w:vertAlign w:val="subscript"/>
                  <w:rPrChange w:id="67" w:author="Jon Minton" w:date="2012-04-03T14:35:00Z">
                    <w:rPr/>
                  </w:rPrChange>
                </w:rPr>
                <w:t>2</w:t>
              </w:r>
              <w:r w:rsidRPr="004111A3">
                <w:t>DS</w:t>
              </w:r>
              <w:r w:rsidRPr="004111A3">
                <w:rPr>
                  <w:vertAlign w:val="subscript"/>
                  <w:rPrChange w:id="68" w:author="Jon Minton" w:date="2012-04-03T14:35:00Z">
                    <w:rPr/>
                  </w:rPrChange>
                </w:rPr>
                <w:t>2</w:t>
              </w:r>
              <w:r w:rsidRPr="004111A3">
                <w:t>-VASC</w:t>
              </w:r>
            </w:ins>
          </w:p>
        </w:tc>
      </w:tr>
      <w:tr w:rsidR="00DC628D" w:rsidTr="00492057">
        <w:tblPrEx>
          <w:tblW w:w="0" w:type="auto"/>
          <w:tblPrExChange w:id="69" w:author="Jon Minton" w:date="2012-04-03T14:11:00Z">
            <w:tblPrEx>
              <w:tblW w:w="0" w:type="auto"/>
            </w:tblPrEx>
          </w:tblPrExChange>
        </w:tblPrEx>
        <w:trPr>
          <w:trHeight w:val="210"/>
          <w:trPrChange w:id="70" w:author="Jon Minton" w:date="2012-04-03T14:11:00Z">
            <w:trPr>
              <w:trHeight w:val="210"/>
            </w:trPr>
          </w:trPrChange>
        </w:trPr>
        <w:tc>
          <w:tcPr>
            <w:tcW w:w="960" w:type="dxa"/>
            <w:tcPrChange w:id="71" w:author="Jon Minton" w:date="2012-04-03T14:11:00Z">
              <w:tcPr>
                <w:tcW w:w="960" w:type="dxa"/>
              </w:tcPr>
            </w:tcPrChange>
          </w:tcPr>
          <w:p w:rsidR="00DC628D" w:rsidRDefault="00DC628D" w:rsidP="008D11C1">
            <w:ins w:id="72" w:author="Jon Minton" w:date="2012-04-03T14:08:00Z">
              <w:r w:rsidRPr="00EF4EB9">
                <w:t>Code</w:t>
              </w:r>
            </w:ins>
          </w:p>
        </w:tc>
        <w:tc>
          <w:tcPr>
            <w:tcW w:w="2692" w:type="dxa"/>
            <w:tcPrChange w:id="73" w:author="Jon Minton" w:date="2012-04-03T14:11:00Z">
              <w:tcPr>
                <w:tcW w:w="1965" w:type="dxa"/>
              </w:tcPr>
            </w:tcPrChange>
          </w:tcPr>
          <w:p w:rsidR="00DC628D" w:rsidRDefault="00DC628D" w:rsidP="008D11C1">
            <w:ins w:id="74" w:author="Jon Minton" w:date="2012-04-03T14:08:00Z">
              <w:r w:rsidRPr="00EF4EB9">
                <w:t>Condition</w:t>
              </w:r>
            </w:ins>
          </w:p>
        </w:tc>
        <w:tc>
          <w:tcPr>
            <w:tcW w:w="969" w:type="dxa"/>
            <w:tcPrChange w:id="75" w:author="Jon Minton" w:date="2012-04-03T14:11:00Z">
              <w:tcPr>
                <w:tcW w:w="1696" w:type="dxa"/>
              </w:tcPr>
            </w:tcPrChange>
          </w:tcPr>
          <w:p w:rsidR="00DC628D" w:rsidRDefault="00DC628D" w:rsidP="008D11C1">
            <w:ins w:id="76" w:author="Jon Minton" w:date="2012-04-03T14:08:00Z">
              <w:r w:rsidRPr="00EF4EB9">
                <w:t>Points</w:t>
              </w:r>
            </w:ins>
          </w:p>
        </w:tc>
        <w:tc>
          <w:tcPr>
            <w:tcW w:w="945" w:type="dxa"/>
            <w:tcPrChange w:id="77" w:author="Jon Minton" w:date="2012-04-03T14:11:00Z">
              <w:tcPr>
                <w:tcW w:w="945" w:type="dxa"/>
              </w:tcPr>
            </w:tcPrChange>
          </w:tcPr>
          <w:p w:rsidR="00DC628D" w:rsidRDefault="00DC628D" w:rsidP="008D11C1">
            <w:ins w:id="78" w:author="Jon Minton" w:date="2012-04-03T14:10:00Z">
              <w:r w:rsidRPr="00EF4EB9">
                <w:t>Code</w:t>
              </w:r>
            </w:ins>
          </w:p>
        </w:tc>
        <w:tc>
          <w:tcPr>
            <w:tcW w:w="2764" w:type="dxa"/>
            <w:tcPrChange w:id="79" w:author="Jon Minton" w:date="2012-04-03T14:11:00Z">
              <w:tcPr>
                <w:tcW w:w="2115" w:type="dxa"/>
              </w:tcPr>
            </w:tcPrChange>
          </w:tcPr>
          <w:p w:rsidR="00DC628D" w:rsidRDefault="00DC628D" w:rsidP="008D11C1">
            <w:ins w:id="80" w:author="Jon Minton" w:date="2012-04-03T14:10:00Z">
              <w:r w:rsidRPr="00EF4EB9">
                <w:t>Condition</w:t>
              </w:r>
            </w:ins>
          </w:p>
        </w:tc>
        <w:tc>
          <w:tcPr>
            <w:tcW w:w="912" w:type="dxa"/>
            <w:tcPrChange w:id="81" w:author="Jon Minton" w:date="2012-04-03T14:11:00Z">
              <w:tcPr>
                <w:tcW w:w="1561" w:type="dxa"/>
              </w:tcPr>
            </w:tcPrChange>
          </w:tcPr>
          <w:p w:rsidR="00DC628D" w:rsidRDefault="00DC628D" w:rsidP="008D11C1">
            <w:ins w:id="82" w:author="Jon Minton" w:date="2012-04-03T14:10:00Z">
              <w:r w:rsidRPr="00EF4EB9">
                <w:t>Points</w:t>
              </w:r>
            </w:ins>
          </w:p>
        </w:tc>
      </w:tr>
      <w:tr w:rsidR="00DC628D" w:rsidTr="00492057">
        <w:tblPrEx>
          <w:tblW w:w="0" w:type="auto"/>
          <w:tblPrExChange w:id="83" w:author="Jon Minton" w:date="2012-04-03T14:11:00Z">
            <w:tblPrEx>
              <w:tblW w:w="0" w:type="auto"/>
            </w:tblPrEx>
          </w:tblPrExChange>
        </w:tblPrEx>
        <w:trPr>
          <w:trHeight w:val="171"/>
          <w:trPrChange w:id="84" w:author="Jon Minton" w:date="2012-04-03T14:11:00Z">
            <w:trPr>
              <w:trHeight w:val="171"/>
            </w:trPr>
          </w:trPrChange>
        </w:trPr>
        <w:tc>
          <w:tcPr>
            <w:tcW w:w="960" w:type="dxa"/>
            <w:tcPrChange w:id="85" w:author="Jon Minton" w:date="2012-04-03T14:11:00Z">
              <w:tcPr>
                <w:tcW w:w="960" w:type="dxa"/>
              </w:tcPr>
            </w:tcPrChange>
          </w:tcPr>
          <w:p w:rsidR="00DC628D" w:rsidRDefault="00DC628D" w:rsidP="008D11C1">
            <w:ins w:id="86" w:author="Jon Minton" w:date="2012-04-03T14:08:00Z">
              <w:r w:rsidRPr="00EF4EB9">
                <w:t>C</w:t>
              </w:r>
            </w:ins>
          </w:p>
        </w:tc>
        <w:tc>
          <w:tcPr>
            <w:tcW w:w="2692" w:type="dxa"/>
            <w:tcPrChange w:id="87" w:author="Jon Minton" w:date="2012-04-03T14:11:00Z">
              <w:tcPr>
                <w:tcW w:w="1965" w:type="dxa"/>
              </w:tcPr>
            </w:tcPrChange>
          </w:tcPr>
          <w:p w:rsidR="00DC628D" w:rsidRDefault="00DC628D" w:rsidP="008D11C1">
            <w:ins w:id="88" w:author="Jon Minton" w:date="2012-04-03T14:08:00Z">
              <w:r w:rsidRPr="00EF4EB9">
                <w:t>Congestive heart failure</w:t>
              </w:r>
            </w:ins>
          </w:p>
        </w:tc>
        <w:tc>
          <w:tcPr>
            <w:tcW w:w="969" w:type="dxa"/>
            <w:tcPrChange w:id="89" w:author="Jon Minton" w:date="2012-04-03T14:11:00Z">
              <w:tcPr>
                <w:tcW w:w="1696" w:type="dxa"/>
              </w:tcPr>
            </w:tcPrChange>
          </w:tcPr>
          <w:p w:rsidR="00DC628D" w:rsidRDefault="00DC628D" w:rsidP="008D11C1">
            <w:ins w:id="90" w:author="Jon Minton" w:date="2012-04-03T14:08:00Z">
              <w:r w:rsidRPr="00EF4EB9">
                <w:t>1</w:t>
              </w:r>
            </w:ins>
          </w:p>
        </w:tc>
        <w:tc>
          <w:tcPr>
            <w:tcW w:w="945" w:type="dxa"/>
            <w:tcPrChange w:id="91" w:author="Jon Minton" w:date="2012-04-03T14:11:00Z">
              <w:tcPr>
                <w:tcW w:w="945" w:type="dxa"/>
              </w:tcPr>
            </w:tcPrChange>
          </w:tcPr>
          <w:p w:rsidR="00DC628D" w:rsidRDefault="00DC628D" w:rsidP="008D11C1">
            <w:ins w:id="92" w:author="Jon Minton" w:date="2012-04-03T14:10:00Z">
              <w:r w:rsidRPr="00EF4EB9">
                <w:t>C</w:t>
              </w:r>
            </w:ins>
          </w:p>
        </w:tc>
        <w:tc>
          <w:tcPr>
            <w:tcW w:w="2764" w:type="dxa"/>
            <w:tcPrChange w:id="93" w:author="Jon Minton" w:date="2012-04-03T14:11:00Z">
              <w:tcPr>
                <w:tcW w:w="2115" w:type="dxa"/>
              </w:tcPr>
            </w:tcPrChange>
          </w:tcPr>
          <w:p w:rsidR="00DC628D" w:rsidRDefault="00DC628D" w:rsidP="008D11C1">
            <w:ins w:id="94" w:author="Jon Minton" w:date="2012-04-03T14:10:00Z">
              <w:r w:rsidRPr="00EF4EB9">
                <w:t>Congestive heart failure</w:t>
              </w:r>
            </w:ins>
          </w:p>
        </w:tc>
        <w:tc>
          <w:tcPr>
            <w:tcW w:w="912" w:type="dxa"/>
            <w:tcPrChange w:id="95" w:author="Jon Minton" w:date="2012-04-03T14:11:00Z">
              <w:tcPr>
                <w:tcW w:w="1561" w:type="dxa"/>
              </w:tcPr>
            </w:tcPrChange>
          </w:tcPr>
          <w:p w:rsidR="00DC628D" w:rsidRDefault="00DC628D" w:rsidP="008D11C1">
            <w:ins w:id="96" w:author="Jon Minton" w:date="2012-04-03T14:10:00Z">
              <w:r w:rsidRPr="00EF4EB9">
                <w:t>1</w:t>
              </w:r>
            </w:ins>
          </w:p>
        </w:tc>
      </w:tr>
      <w:tr w:rsidR="00DC628D" w:rsidTr="00492057">
        <w:tblPrEx>
          <w:tblW w:w="0" w:type="auto"/>
          <w:tblPrExChange w:id="97" w:author="Jon Minton" w:date="2012-04-03T14:11:00Z">
            <w:tblPrEx>
              <w:tblW w:w="0" w:type="auto"/>
            </w:tblPrEx>
          </w:tblPrExChange>
        </w:tblPrEx>
        <w:trPr>
          <w:trHeight w:val="240"/>
          <w:trPrChange w:id="98" w:author="Jon Minton" w:date="2012-04-03T14:11:00Z">
            <w:trPr>
              <w:trHeight w:val="240"/>
            </w:trPr>
          </w:trPrChange>
        </w:trPr>
        <w:tc>
          <w:tcPr>
            <w:tcW w:w="960" w:type="dxa"/>
            <w:tcPrChange w:id="99" w:author="Jon Minton" w:date="2012-04-03T14:11:00Z">
              <w:tcPr>
                <w:tcW w:w="960" w:type="dxa"/>
              </w:tcPr>
            </w:tcPrChange>
          </w:tcPr>
          <w:p w:rsidR="00DC628D" w:rsidRDefault="00DC628D" w:rsidP="008D11C1">
            <w:ins w:id="100" w:author="Jon Minton" w:date="2012-04-03T14:08:00Z">
              <w:r w:rsidRPr="00EF4EB9">
                <w:t>H</w:t>
              </w:r>
            </w:ins>
          </w:p>
        </w:tc>
        <w:tc>
          <w:tcPr>
            <w:tcW w:w="2692" w:type="dxa"/>
            <w:tcPrChange w:id="101" w:author="Jon Minton" w:date="2012-04-03T14:11:00Z">
              <w:tcPr>
                <w:tcW w:w="1965" w:type="dxa"/>
              </w:tcPr>
            </w:tcPrChange>
          </w:tcPr>
          <w:p w:rsidR="00DC628D" w:rsidRDefault="00DC628D" w:rsidP="008D11C1">
            <w:ins w:id="102" w:author="Jon Minton" w:date="2012-04-03T14:08:00Z">
              <w:r w:rsidRPr="00EF4EB9">
                <w:t>Hypertension</w:t>
              </w:r>
            </w:ins>
          </w:p>
        </w:tc>
        <w:tc>
          <w:tcPr>
            <w:tcW w:w="969" w:type="dxa"/>
            <w:tcPrChange w:id="103" w:author="Jon Minton" w:date="2012-04-03T14:11:00Z">
              <w:tcPr>
                <w:tcW w:w="1696" w:type="dxa"/>
              </w:tcPr>
            </w:tcPrChange>
          </w:tcPr>
          <w:p w:rsidR="00DC628D" w:rsidRDefault="00DC628D" w:rsidP="008D11C1">
            <w:ins w:id="104" w:author="Jon Minton" w:date="2012-04-03T14:08:00Z">
              <w:r w:rsidRPr="00EF4EB9">
                <w:t>1</w:t>
              </w:r>
            </w:ins>
          </w:p>
        </w:tc>
        <w:tc>
          <w:tcPr>
            <w:tcW w:w="945" w:type="dxa"/>
            <w:tcPrChange w:id="105" w:author="Jon Minton" w:date="2012-04-03T14:11:00Z">
              <w:tcPr>
                <w:tcW w:w="945" w:type="dxa"/>
              </w:tcPr>
            </w:tcPrChange>
          </w:tcPr>
          <w:p w:rsidR="00DC628D" w:rsidRDefault="00DC628D" w:rsidP="008D11C1">
            <w:ins w:id="106" w:author="Jon Minton" w:date="2012-04-03T14:10:00Z">
              <w:r w:rsidRPr="00EF4EB9">
                <w:t>H</w:t>
              </w:r>
            </w:ins>
          </w:p>
        </w:tc>
        <w:tc>
          <w:tcPr>
            <w:tcW w:w="2764" w:type="dxa"/>
            <w:tcPrChange w:id="107" w:author="Jon Minton" w:date="2012-04-03T14:11:00Z">
              <w:tcPr>
                <w:tcW w:w="2115" w:type="dxa"/>
              </w:tcPr>
            </w:tcPrChange>
          </w:tcPr>
          <w:p w:rsidR="00DC628D" w:rsidRDefault="00DC628D" w:rsidP="008D11C1">
            <w:ins w:id="108" w:author="Jon Minton" w:date="2012-04-03T14:10:00Z">
              <w:r w:rsidRPr="00EF4EB9">
                <w:t>Hypertension</w:t>
              </w:r>
            </w:ins>
          </w:p>
        </w:tc>
        <w:tc>
          <w:tcPr>
            <w:tcW w:w="912" w:type="dxa"/>
            <w:tcPrChange w:id="109" w:author="Jon Minton" w:date="2012-04-03T14:11:00Z">
              <w:tcPr>
                <w:tcW w:w="1561" w:type="dxa"/>
              </w:tcPr>
            </w:tcPrChange>
          </w:tcPr>
          <w:p w:rsidR="00DC628D" w:rsidRDefault="00DC628D" w:rsidP="008D11C1">
            <w:ins w:id="110" w:author="Jon Minton" w:date="2012-04-03T14:10:00Z">
              <w:r w:rsidRPr="00EF4EB9">
                <w:t>1</w:t>
              </w:r>
            </w:ins>
          </w:p>
        </w:tc>
      </w:tr>
      <w:tr w:rsidR="00DC628D" w:rsidTr="00492057">
        <w:tblPrEx>
          <w:tblW w:w="0" w:type="auto"/>
          <w:tblPrExChange w:id="111" w:author="Jon Minton" w:date="2012-04-03T14:11:00Z">
            <w:tblPrEx>
              <w:tblW w:w="0" w:type="auto"/>
            </w:tblPrEx>
          </w:tblPrExChange>
        </w:tblPrEx>
        <w:trPr>
          <w:trHeight w:val="141"/>
          <w:trPrChange w:id="112" w:author="Jon Minton" w:date="2012-04-03T14:11:00Z">
            <w:trPr>
              <w:trHeight w:val="141"/>
            </w:trPr>
          </w:trPrChange>
        </w:trPr>
        <w:tc>
          <w:tcPr>
            <w:tcW w:w="960" w:type="dxa"/>
            <w:tcPrChange w:id="113" w:author="Jon Minton" w:date="2012-04-03T14:11:00Z">
              <w:tcPr>
                <w:tcW w:w="960" w:type="dxa"/>
              </w:tcPr>
            </w:tcPrChange>
          </w:tcPr>
          <w:p w:rsidR="00DC628D" w:rsidRDefault="00DC628D" w:rsidP="008D11C1">
            <w:ins w:id="114" w:author="Jon Minton" w:date="2012-04-03T14:08:00Z">
              <w:r w:rsidRPr="00EF4EB9">
                <w:t>A</w:t>
              </w:r>
            </w:ins>
          </w:p>
        </w:tc>
        <w:tc>
          <w:tcPr>
            <w:tcW w:w="2692" w:type="dxa"/>
            <w:tcPrChange w:id="115" w:author="Jon Minton" w:date="2012-04-03T14:11:00Z">
              <w:tcPr>
                <w:tcW w:w="1965" w:type="dxa"/>
              </w:tcPr>
            </w:tcPrChange>
          </w:tcPr>
          <w:p w:rsidR="00DC628D" w:rsidRDefault="00DC628D" w:rsidP="008D11C1">
            <w:ins w:id="116" w:author="Jon Minton" w:date="2012-04-03T14:08:00Z">
              <w:r w:rsidRPr="00EF4EB9">
                <w:t>Age ≥ 75 years</w:t>
              </w:r>
            </w:ins>
          </w:p>
        </w:tc>
        <w:tc>
          <w:tcPr>
            <w:tcW w:w="969" w:type="dxa"/>
            <w:tcPrChange w:id="117" w:author="Jon Minton" w:date="2012-04-03T14:11:00Z">
              <w:tcPr>
                <w:tcW w:w="1696" w:type="dxa"/>
              </w:tcPr>
            </w:tcPrChange>
          </w:tcPr>
          <w:p w:rsidR="00DC628D" w:rsidRDefault="00DC628D" w:rsidP="008D11C1">
            <w:ins w:id="118" w:author="Jon Minton" w:date="2012-04-03T14:08:00Z">
              <w:r w:rsidRPr="00EF4EB9">
                <w:t>1</w:t>
              </w:r>
            </w:ins>
          </w:p>
        </w:tc>
        <w:tc>
          <w:tcPr>
            <w:tcW w:w="945" w:type="dxa"/>
            <w:tcPrChange w:id="119" w:author="Jon Minton" w:date="2012-04-03T14:11:00Z">
              <w:tcPr>
                <w:tcW w:w="945" w:type="dxa"/>
              </w:tcPr>
            </w:tcPrChange>
          </w:tcPr>
          <w:p w:rsidR="00DC628D" w:rsidRDefault="00DC628D" w:rsidP="008D11C1">
            <w:ins w:id="120" w:author="Jon Minton" w:date="2012-04-03T14:10:00Z">
              <w:r w:rsidRPr="00EF4EB9">
                <w:t>A</w:t>
              </w:r>
              <w:r w:rsidRPr="00EF4EB9">
                <w:rPr>
                  <w:vertAlign w:val="subscript"/>
                </w:rPr>
                <w:t>2</w:t>
              </w:r>
            </w:ins>
          </w:p>
        </w:tc>
        <w:tc>
          <w:tcPr>
            <w:tcW w:w="2764" w:type="dxa"/>
            <w:tcPrChange w:id="121" w:author="Jon Minton" w:date="2012-04-03T14:11:00Z">
              <w:tcPr>
                <w:tcW w:w="2115" w:type="dxa"/>
              </w:tcPr>
            </w:tcPrChange>
          </w:tcPr>
          <w:p w:rsidR="00DC628D" w:rsidRDefault="00DC628D" w:rsidP="008D11C1">
            <w:ins w:id="122" w:author="Jon Minton" w:date="2012-04-03T14:10:00Z">
              <w:r w:rsidRPr="00EF4EB9">
                <w:t>Age ≥ 75 years</w:t>
              </w:r>
            </w:ins>
          </w:p>
        </w:tc>
        <w:tc>
          <w:tcPr>
            <w:tcW w:w="912" w:type="dxa"/>
            <w:tcPrChange w:id="123" w:author="Jon Minton" w:date="2012-04-03T14:11:00Z">
              <w:tcPr>
                <w:tcW w:w="1561" w:type="dxa"/>
              </w:tcPr>
            </w:tcPrChange>
          </w:tcPr>
          <w:p w:rsidR="00DC628D" w:rsidRDefault="00DC628D" w:rsidP="008D11C1">
            <w:ins w:id="124" w:author="Jon Minton" w:date="2012-04-03T14:10:00Z">
              <w:r w:rsidRPr="00EF4EB9">
                <w:t>2</w:t>
              </w:r>
            </w:ins>
          </w:p>
        </w:tc>
      </w:tr>
      <w:tr w:rsidR="00DC628D" w:rsidTr="00492057">
        <w:tblPrEx>
          <w:tblW w:w="0" w:type="auto"/>
          <w:tblPrExChange w:id="125" w:author="Jon Minton" w:date="2012-04-03T14:11:00Z">
            <w:tblPrEx>
              <w:tblW w:w="0" w:type="auto"/>
            </w:tblPrEx>
          </w:tblPrExChange>
        </w:tblPrEx>
        <w:trPr>
          <w:trHeight w:val="180"/>
          <w:trPrChange w:id="126" w:author="Jon Minton" w:date="2012-04-03T14:11:00Z">
            <w:trPr>
              <w:trHeight w:val="180"/>
            </w:trPr>
          </w:trPrChange>
        </w:trPr>
        <w:tc>
          <w:tcPr>
            <w:tcW w:w="960" w:type="dxa"/>
            <w:tcPrChange w:id="127" w:author="Jon Minton" w:date="2012-04-03T14:11:00Z">
              <w:tcPr>
                <w:tcW w:w="960" w:type="dxa"/>
              </w:tcPr>
            </w:tcPrChange>
          </w:tcPr>
          <w:p w:rsidR="00DC628D" w:rsidRDefault="00DC628D" w:rsidP="008D11C1">
            <w:ins w:id="128" w:author="Jon Minton" w:date="2012-04-03T14:08:00Z">
              <w:r w:rsidRPr="00EF4EB9">
                <w:t>D</w:t>
              </w:r>
            </w:ins>
          </w:p>
        </w:tc>
        <w:tc>
          <w:tcPr>
            <w:tcW w:w="2692" w:type="dxa"/>
            <w:tcPrChange w:id="129" w:author="Jon Minton" w:date="2012-04-03T14:11:00Z">
              <w:tcPr>
                <w:tcW w:w="1965" w:type="dxa"/>
              </w:tcPr>
            </w:tcPrChange>
          </w:tcPr>
          <w:p w:rsidR="00DC628D" w:rsidRDefault="00DC628D" w:rsidP="008D11C1">
            <w:ins w:id="130" w:author="Jon Minton" w:date="2012-04-03T14:08:00Z">
              <w:r w:rsidRPr="00EF4EB9">
                <w:t>Diabetes mellitus</w:t>
              </w:r>
            </w:ins>
          </w:p>
        </w:tc>
        <w:tc>
          <w:tcPr>
            <w:tcW w:w="969" w:type="dxa"/>
            <w:tcPrChange w:id="131" w:author="Jon Minton" w:date="2012-04-03T14:11:00Z">
              <w:tcPr>
                <w:tcW w:w="1696" w:type="dxa"/>
              </w:tcPr>
            </w:tcPrChange>
          </w:tcPr>
          <w:p w:rsidR="00DC628D" w:rsidRDefault="00DC628D" w:rsidP="008D11C1">
            <w:ins w:id="132" w:author="Jon Minton" w:date="2012-04-03T14:08:00Z">
              <w:r w:rsidRPr="00EF4EB9">
                <w:t>1</w:t>
              </w:r>
            </w:ins>
          </w:p>
        </w:tc>
        <w:tc>
          <w:tcPr>
            <w:tcW w:w="945" w:type="dxa"/>
            <w:tcPrChange w:id="133" w:author="Jon Minton" w:date="2012-04-03T14:11:00Z">
              <w:tcPr>
                <w:tcW w:w="945" w:type="dxa"/>
              </w:tcPr>
            </w:tcPrChange>
          </w:tcPr>
          <w:p w:rsidR="00DC628D" w:rsidRDefault="00DC628D" w:rsidP="008D11C1">
            <w:ins w:id="134" w:author="Jon Minton" w:date="2012-04-03T14:10:00Z">
              <w:r w:rsidRPr="00EF4EB9">
                <w:t>D</w:t>
              </w:r>
            </w:ins>
          </w:p>
        </w:tc>
        <w:tc>
          <w:tcPr>
            <w:tcW w:w="2764" w:type="dxa"/>
            <w:tcPrChange w:id="135" w:author="Jon Minton" w:date="2012-04-03T14:11:00Z">
              <w:tcPr>
                <w:tcW w:w="2115" w:type="dxa"/>
              </w:tcPr>
            </w:tcPrChange>
          </w:tcPr>
          <w:p w:rsidR="00DC628D" w:rsidRDefault="00DC628D" w:rsidP="008D11C1">
            <w:ins w:id="136" w:author="Jon Minton" w:date="2012-04-03T14:10:00Z">
              <w:r w:rsidRPr="00EF4EB9">
                <w:t>Diabetes mellitus</w:t>
              </w:r>
            </w:ins>
          </w:p>
        </w:tc>
        <w:tc>
          <w:tcPr>
            <w:tcW w:w="912" w:type="dxa"/>
            <w:tcPrChange w:id="137" w:author="Jon Minton" w:date="2012-04-03T14:11:00Z">
              <w:tcPr>
                <w:tcW w:w="1561" w:type="dxa"/>
              </w:tcPr>
            </w:tcPrChange>
          </w:tcPr>
          <w:p w:rsidR="00DC628D" w:rsidRDefault="00DC628D" w:rsidP="008D11C1">
            <w:ins w:id="138" w:author="Jon Minton" w:date="2012-04-03T14:10:00Z">
              <w:r w:rsidRPr="00EF4EB9">
                <w:t>1</w:t>
              </w:r>
            </w:ins>
          </w:p>
        </w:tc>
      </w:tr>
      <w:tr w:rsidR="00DC628D" w:rsidTr="00492057">
        <w:tblPrEx>
          <w:tblW w:w="0" w:type="auto"/>
          <w:tblPrExChange w:id="139" w:author="Jon Minton" w:date="2012-04-03T14:11:00Z">
            <w:tblPrEx>
              <w:tblW w:w="0" w:type="auto"/>
            </w:tblPrEx>
          </w:tblPrExChange>
        </w:tblPrEx>
        <w:trPr>
          <w:trHeight w:val="180"/>
          <w:trPrChange w:id="140" w:author="Jon Minton" w:date="2012-04-03T14:11:00Z">
            <w:trPr>
              <w:trHeight w:val="180"/>
            </w:trPr>
          </w:trPrChange>
        </w:trPr>
        <w:tc>
          <w:tcPr>
            <w:tcW w:w="960" w:type="dxa"/>
            <w:tcPrChange w:id="141" w:author="Jon Minton" w:date="2012-04-03T14:11:00Z">
              <w:tcPr>
                <w:tcW w:w="960" w:type="dxa"/>
              </w:tcPr>
            </w:tcPrChange>
          </w:tcPr>
          <w:p w:rsidR="00DC628D" w:rsidRDefault="00DC628D" w:rsidP="008D11C1">
            <w:ins w:id="142" w:author="Jon Minton" w:date="2012-04-03T14:08:00Z">
              <w:r w:rsidRPr="00EF4EB9">
                <w:t>S</w:t>
              </w:r>
              <w:r w:rsidRPr="00EF4EB9">
                <w:softHyphen/>
              </w:r>
              <w:r w:rsidRPr="00EF4EB9">
                <w:rPr>
                  <w:vertAlign w:val="superscript"/>
                </w:rPr>
                <w:softHyphen/>
              </w:r>
              <w:r w:rsidRPr="00EF4EB9">
                <w:softHyphen/>
              </w:r>
              <w:r w:rsidRPr="00EF4EB9">
                <w:rPr>
                  <w:vertAlign w:val="subscript"/>
                </w:rPr>
                <w:t>2</w:t>
              </w:r>
            </w:ins>
          </w:p>
        </w:tc>
        <w:tc>
          <w:tcPr>
            <w:tcW w:w="2692" w:type="dxa"/>
            <w:tcPrChange w:id="143" w:author="Jon Minton" w:date="2012-04-03T14:11:00Z">
              <w:tcPr>
                <w:tcW w:w="1965" w:type="dxa"/>
              </w:tcPr>
            </w:tcPrChange>
          </w:tcPr>
          <w:p w:rsidR="00DC628D" w:rsidRDefault="00DC628D" w:rsidP="008D11C1">
            <w:ins w:id="144" w:author="Jon Minton" w:date="2012-04-03T14:08:00Z">
              <w:r w:rsidRPr="00EF4EB9">
                <w:t>Prior stroke or TIA</w:t>
              </w:r>
            </w:ins>
          </w:p>
        </w:tc>
        <w:tc>
          <w:tcPr>
            <w:tcW w:w="969" w:type="dxa"/>
            <w:tcPrChange w:id="145" w:author="Jon Minton" w:date="2012-04-03T14:11:00Z">
              <w:tcPr>
                <w:tcW w:w="1696" w:type="dxa"/>
              </w:tcPr>
            </w:tcPrChange>
          </w:tcPr>
          <w:p w:rsidR="00DC628D" w:rsidRDefault="00DC628D" w:rsidP="008D11C1">
            <w:ins w:id="146" w:author="Jon Minton" w:date="2012-04-03T14:08:00Z">
              <w:r w:rsidRPr="00EF4EB9">
                <w:t>2</w:t>
              </w:r>
            </w:ins>
          </w:p>
        </w:tc>
        <w:tc>
          <w:tcPr>
            <w:tcW w:w="945" w:type="dxa"/>
            <w:tcPrChange w:id="147" w:author="Jon Minton" w:date="2012-04-03T14:11:00Z">
              <w:tcPr>
                <w:tcW w:w="945" w:type="dxa"/>
              </w:tcPr>
            </w:tcPrChange>
          </w:tcPr>
          <w:p w:rsidR="00DC628D" w:rsidRDefault="00DC628D" w:rsidP="008D11C1">
            <w:ins w:id="148" w:author="Jon Minton" w:date="2012-04-03T14:10:00Z">
              <w:r w:rsidRPr="00EF4EB9">
                <w:t>S</w:t>
              </w:r>
              <w:r w:rsidRPr="00EF4EB9">
                <w:softHyphen/>
              </w:r>
              <w:r w:rsidRPr="00EF4EB9">
                <w:rPr>
                  <w:vertAlign w:val="superscript"/>
                </w:rPr>
                <w:softHyphen/>
              </w:r>
              <w:r w:rsidRPr="00EF4EB9">
                <w:softHyphen/>
              </w:r>
              <w:r w:rsidRPr="00EF4EB9">
                <w:rPr>
                  <w:vertAlign w:val="subscript"/>
                </w:rPr>
                <w:t>2</w:t>
              </w:r>
            </w:ins>
          </w:p>
        </w:tc>
        <w:tc>
          <w:tcPr>
            <w:tcW w:w="2764" w:type="dxa"/>
            <w:tcPrChange w:id="149" w:author="Jon Minton" w:date="2012-04-03T14:11:00Z">
              <w:tcPr>
                <w:tcW w:w="2115" w:type="dxa"/>
              </w:tcPr>
            </w:tcPrChange>
          </w:tcPr>
          <w:p w:rsidR="00DC628D" w:rsidRDefault="00DC628D" w:rsidP="008D11C1">
            <w:ins w:id="150" w:author="Jon Minton" w:date="2012-04-03T14:10:00Z">
              <w:r w:rsidRPr="00EF4EB9">
                <w:t>Prior stroke or TIA</w:t>
              </w:r>
            </w:ins>
          </w:p>
        </w:tc>
        <w:tc>
          <w:tcPr>
            <w:tcW w:w="912" w:type="dxa"/>
            <w:tcPrChange w:id="151" w:author="Jon Minton" w:date="2012-04-03T14:11:00Z">
              <w:tcPr>
                <w:tcW w:w="1561" w:type="dxa"/>
              </w:tcPr>
            </w:tcPrChange>
          </w:tcPr>
          <w:p w:rsidR="00DC628D" w:rsidRDefault="00DC628D" w:rsidP="008D11C1">
            <w:ins w:id="152" w:author="Jon Minton" w:date="2012-04-03T14:10:00Z">
              <w:r w:rsidRPr="00EF4EB9">
                <w:t>2</w:t>
              </w:r>
            </w:ins>
          </w:p>
        </w:tc>
      </w:tr>
      <w:tr w:rsidR="00DC628D" w:rsidTr="00492057">
        <w:tblPrEx>
          <w:tblW w:w="0" w:type="auto"/>
          <w:tblPrExChange w:id="153" w:author="Jon Minton" w:date="2012-04-03T14:11:00Z">
            <w:tblPrEx>
              <w:tblW w:w="0" w:type="auto"/>
            </w:tblPrEx>
          </w:tblPrExChange>
        </w:tblPrEx>
        <w:trPr>
          <w:trHeight w:val="225"/>
          <w:trPrChange w:id="154" w:author="Jon Minton" w:date="2012-04-03T14:11:00Z">
            <w:trPr>
              <w:trHeight w:val="225"/>
            </w:trPr>
          </w:trPrChange>
        </w:trPr>
        <w:tc>
          <w:tcPr>
            <w:tcW w:w="4621" w:type="dxa"/>
            <w:gridSpan w:val="3"/>
            <w:vMerge w:val="restart"/>
            <w:tcBorders>
              <w:left w:val="nil"/>
              <w:bottom w:val="nil"/>
            </w:tcBorders>
            <w:tcPrChange w:id="155" w:author="Jon Minton" w:date="2012-04-03T14:11:00Z">
              <w:tcPr>
                <w:tcW w:w="4621" w:type="dxa"/>
                <w:gridSpan w:val="3"/>
                <w:vMerge w:val="restart"/>
                <w:tcBorders>
                  <w:left w:val="nil"/>
                  <w:bottom w:val="nil"/>
                </w:tcBorders>
              </w:tcPr>
            </w:tcPrChange>
          </w:tcPr>
          <w:p w:rsidR="00DC628D" w:rsidRDefault="00DC628D" w:rsidP="008D11C1"/>
        </w:tc>
        <w:tc>
          <w:tcPr>
            <w:tcW w:w="945" w:type="dxa"/>
            <w:tcPrChange w:id="156" w:author="Jon Minton" w:date="2012-04-03T14:11:00Z">
              <w:tcPr>
                <w:tcW w:w="945" w:type="dxa"/>
              </w:tcPr>
            </w:tcPrChange>
          </w:tcPr>
          <w:p w:rsidR="00DC628D" w:rsidRDefault="00DC628D" w:rsidP="008D11C1">
            <w:ins w:id="157" w:author="Jon Minton" w:date="2012-04-03T14:10:00Z">
              <w:r w:rsidRPr="00EF4EB9">
                <w:t>V</w:t>
              </w:r>
            </w:ins>
          </w:p>
        </w:tc>
        <w:tc>
          <w:tcPr>
            <w:tcW w:w="2764" w:type="dxa"/>
            <w:tcPrChange w:id="158" w:author="Jon Minton" w:date="2012-04-03T14:11:00Z">
              <w:tcPr>
                <w:tcW w:w="2115" w:type="dxa"/>
              </w:tcPr>
            </w:tcPrChange>
          </w:tcPr>
          <w:p w:rsidR="00DC628D" w:rsidRDefault="00DC628D" w:rsidP="008D11C1">
            <w:ins w:id="159" w:author="Jon Minton" w:date="2012-04-03T14:10:00Z">
              <w:r w:rsidRPr="00EF4EB9">
                <w:t>Vascular disease</w:t>
              </w:r>
            </w:ins>
          </w:p>
        </w:tc>
        <w:tc>
          <w:tcPr>
            <w:tcW w:w="912" w:type="dxa"/>
            <w:tcPrChange w:id="160" w:author="Jon Minton" w:date="2012-04-03T14:11:00Z">
              <w:tcPr>
                <w:tcW w:w="1561" w:type="dxa"/>
              </w:tcPr>
            </w:tcPrChange>
          </w:tcPr>
          <w:p w:rsidR="00DC628D" w:rsidRDefault="00DC628D" w:rsidP="008D11C1">
            <w:ins w:id="161" w:author="Jon Minton" w:date="2012-04-03T14:10:00Z">
              <w:r w:rsidRPr="00EF4EB9">
                <w:t>1</w:t>
              </w:r>
            </w:ins>
          </w:p>
        </w:tc>
      </w:tr>
      <w:tr w:rsidR="00DC628D" w:rsidTr="00492057">
        <w:tblPrEx>
          <w:tblW w:w="0" w:type="auto"/>
          <w:tblPrExChange w:id="162" w:author="Jon Minton" w:date="2012-04-03T14:11:00Z">
            <w:tblPrEx>
              <w:tblW w:w="0" w:type="auto"/>
            </w:tblPrEx>
          </w:tblPrExChange>
        </w:tblPrEx>
        <w:trPr>
          <w:trHeight w:val="141"/>
          <w:trPrChange w:id="163" w:author="Jon Minton" w:date="2012-04-03T14:11:00Z">
            <w:trPr>
              <w:trHeight w:val="141"/>
            </w:trPr>
          </w:trPrChange>
        </w:trPr>
        <w:tc>
          <w:tcPr>
            <w:tcW w:w="4621" w:type="dxa"/>
            <w:gridSpan w:val="3"/>
            <w:vMerge/>
            <w:tcBorders>
              <w:left w:val="nil"/>
              <w:bottom w:val="nil"/>
            </w:tcBorders>
            <w:tcPrChange w:id="164" w:author="Jon Minton" w:date="2012-04-03T14:11:00Z">
              <w:tcPr>
                <w:tcW w:w="4621" w:type="dxa"/>
                <w:gridSpan w:val="3"/>
                <w:vMerge/>
                <w:tcBorders>
                  <w:left w:val="nil"/>
                  <w:bottom w:val="nil"/>
                </w:tcBorders>
              </w:tcPr>
            </w:tcPrChange>
          </w:tcPr>
          <w:p w:rsidR="00DC628D" w:rsidRDefault="00DC628D" w:rsidP="008D11C1"/>
        </w:tc>
        <w:tc>
          <w:tcPr>
            <w:tcW w:w="945" w:type="dxa"/>
            <w:tcPrChange w:id="165" w:author="Jon Minton" w:date="2012-04-03T14:11:00Z">
              <w:tcPr>
                <w:tcW w:w="945" w:type="dxa"/>
              </w:tcPr>
            </w:tcPrChange>
          </w:tcPr>
          <w:p w:rsidR="00DC628D" w:rsidRDefault="00DC628D" w:rsidP="008D11C1">
            <w:ins w:id="166" w:author="Jon Minton" w:date="2012-04-03T14:10:00Z">
              <w:r w:rsidRPr="00EF4EB9">
                <w:t>A</w:t>
              </w:r>
            </w:ins>
          </w:p>
        </w:tc>
        <w:tc>
          <w:tcPr>
            <w:tcW w:w="2764" w:type="dxa"/>
            <w:tcPrChange w:id="167" w:author="Jon Minton" w:date="2012-04-03T14:11:00Z">
              <w:tcPr>
                <w:tcW w:w="2115" w:type="dxa"/>
              </w:tcPr>
            </w:tcPrChange>
          </w:tcPr>
          <w:p w:rsidR="00DC628D" w:rsidRDefault="00DC628D" w:rsidP="008D11C1">
            <w:ins w:id="168" w:author="Jon Minton" w:date="2012-04-03T14:10:00Z">
              <w:r w:rsidRPr="00EF4EB9">
                <w:t>Age 65-74 years</w:t>
              </w:r>
            </w:ins>
          </w:p>
        </w:tc>
        <w:tc>
          <w:tcPr>
            <w:tcW w:w="912" w:type="dxa"/>
            <w:tcPrChange w:id="169" w:author="Jon Minton" w:date="2012-04-03T14:11:00Z">
              <w:tcPr>
                <w:tcW w:w="1561" w:type="dxa"/>
              </w:tcPr>
            </w:tcPrChange>
          </w:tcPr>
          <w:p w:rsidR="00DC628D" w:rsidRDefault="00DC628D" w:rsidP="008D11C1">
            <w:ins w:id="170" w:author="Jon Minton" w:date="2012-04-03T14:10:00Z">
              <w:r w:rsidRPr="00EF4EB9">
                <w:t>1</w:t>
              </w:r>
            </w:ins>
          </w:p>
        </w:tc>
      </w:tr>
      <w:tr w:rsidR="00DC628D" w:rsidTr="00492057">
        <w:tblPrEx>
          <w:tblW w:w="0" w:type="auto"/>
          <w:tblPrExChange w:id="171" w:author="Jon Minton" w:date="2012-04-03T14:11:00Z">
            <w:tblPrEx>
              <w:tblW w:w="0" w:type="auto"/>
            </w:tblPrEx>
          </w:tblPrExChange>
        </w:tblPrEx>
        <w:trPr>
          <w:trHeight w:val="171"/>
          <w:trPrChange w:id="172" w:author="Jon Minton" w:date="2012-04-03T14:11:00Z">
            <w:trPr>
              <w:trHeight w:val="171"/>
            </w:trPr>
          </w:trPrChange>
        </w:trPr>
        <w:tc>
          <w:tcPr>
            <w:tcW w:w="4621" w:type="dxa"/>
            <w:gridSpan w:val="3"/>
            <w:vMerge/>
            <w:tcBorders>
              <w:left w:val="nil"/>
              <w:bottom w:val="nil"/>
            </w:tcBorders>
            <w:tcPrChange w:id="173" w:author="Jon Minton" w:date="2012-04-03T14:11:00Z">
              <w:tcPr>
                <w:tcW w:w="4621" w:type="dxa"/>
                <w:gridSpan w:val="3"/>
                <w:vMerge/>
                <w:tcBorders>
                  <w:left w:val="nil"/>
                  <w:bottom w:val="nil"/>
                </w:tcBorders>
              </w:tcPr>
            </w:tcPrChange>
          </w:tcPr>
          <w:p w:rsidR="00DC628D" w:rsidRDefault="00DC628D" w:rsidP="008D11C1"/>
        </w:tc>
        <w:tc>
          <w:tcPr>
            <w:tcW w:w="945" w:type="dxa"/>
            <w:tcPrChange w:id="174" w:author="Jon Minton" w:date="2012-04-03T14:11:00Z">
              <w:tcPr>
                <w:tcW w:w="945" w:type="dxa"/>
              </w:tcPr>
            </w:tcPrChange>
          </w:tcPr>
          <w:p w:rsidR="00DC628D" w:rsidRDefault="00DC628D" w:rsidP="008D11C1">
            <w:ins w:id="175" w:author="Jon Minton" w:date="2012-04-03T14:10:00Z">
              <w:r w:rsidRPr="00EF4EB9">
                <w:t>Sc</w:t>
              </w:r>
            </w:ins>
          </w:p>
        </w:tc>
        <w:tc>
          <w:tcPr>
            <w:tcW w:w="2764" w:type="dxa"/>
            <w:tcPrChange w:id="176" w:author="Jon Minton" w:date="2012-04-03T14:11:00Z">
              <w:tcPr>
                <w:tcW w:w="2115" w:type="dxa"/>
              </w:tcPr>
            </w:tcPrChange>
          </w:tcPr>
          <w:p w:rsidR="00DC628D" w:rsidRDefault="00DC628D" w:rsidP="008D11C1">
            <w:ins w:id="177" w:author="Jon Minton" w:date="2012-04-03T14:10:00Z">
              <w:r w:rsidRPr="00EF4EB9">
                <w:t>Sex category (female)</w:t>
              </w:r>
            </w:ins>
          </w:p>
        </w:tc>
        <w:tc>
          <w:tcPr>
            <w:tcW w:w="912" w:type="dxa"/>
            <w:tcPrChange w:id="178" w:author="Jon Minton" w:date="2012-04-03T14:11:00Z">
              <w:tcPr>
                <w:tcW w:w="1561" w:type="dxa"/>
              </w:tcPr>
            </w:tcPrChange>
          </w:tcPr>
          <w:p w:rsidR="00EF7137" w:rsidRDefault="00DC628D">
            <w:pPr>
              <w:rPr>
                <w:rFonts w:asciiTheme="minorHAnsi" w:eastAsiaTheme="minorEastAsia" w:hAnsiTheme="minorHAnsi" w:cstheme="minorBidi"/>
                <w:sz w:val="22"/>
                <w:szCs w:val="22"/>
                <w:lang w:bidi="en-US"/>
              </w:rPr>
              <w:pPrChange w:id="179" w:author="Jon Minton" w:date="2012-04-03T14:35:00Z">
                <w:pPr>
                  <w:spacing w:after="200"/>
                </w:pPr>
              </w:pPrChange>
            </w:pPr>
            <w:ins w:id="180" w:author="Jon Minton" w:date="2012-04-03T14:10:00Z">
              <w:r w:rsidRPr="00EF4EB9">
                <w:t>1</w:t>
              </w:r>
            </w:ins>
          </w:p>
        </w:tc>
      </w:tr>
    </w:tbl>
    <w:p w:rsidR="00EF7137" w:rsidRDefault="00983B8D">
      <w:pPr>
        <w:pStyle w:val="Caption"/>
        <w:pPrChange w:id="181" w:author="Jon Minton" w:date="2012-04-03T14:35:00Z">
          <w:pPr/>
        </w:pPrChange>
      </w:pPr>
      <w:bookmarkStart w:id="182" w:name="_Ref321227101"/>
      <w:ins w:id="183" w:author="Jon Minton" w:date="2012-04-03T14:35:00Z">
        <w:r>
          <w:t xml:space="preserve">Table </w:t>
        </w:r>
        <w:r w:rsidR="004111A3">
          <w:fldChar w:fldCharType="begin"/>
        </w:r>
        <w:r>
          <w:instrText xml:space="preserve"> SEQ Table \* ARABIC </w:instrText>
        </w:r>
      </w:ins>
      <w:r w:rsidR="004111A3">
        <w:fldChar w:fldCharType="separate"/>
      </w:r>
      <w:r w:rsidR="00F15320">
        <w:rPr>
          <w:noProof/>
        </w:rPr>
        <w:t>1</w:t>
      </w:r>
      <w:ins w:id="184" w:author="Jon Minton" w:date="2012-04-03T14:35:00Z">
        <w:r w:rsidR="004111A3">
          <w:fldChar w:fldCharType="end"/>
        </w:r>
        <w:bookmarkEnd w:id="182"/>
        <w:r>
          <w:t xml:space="preserve"> CHADS</w:t>
        </w:r>
        <w:r w:rsidR="004111A3" w:rsidRPr="004111A3">
          <w:rPr>
            <w:vertAlign w:val="subscript"/>
            <w:rPrChange w:id="185" w:author="Jon Minton" w:date="2012-04-03T14:35:00Z">
              <w:rPr/>
            </w:rPrChange>
          </w:rPr>
          <w:t>2</w:t>
        </w:r>
        <w:r>
          <w:t xml:space="preserve"> and CHA</w:t>
        </w:r>
        <w:r w:rsidR="004111A3" w:rsidRPr="004111A3">
          <w:rPr>
            <w:vertAlign w:val="subscript"/>
            <w:rPrChange w:id="186" w:author="Jon Minton" w:date="2012-04-03T14:35:00Z">
              <w:rPr/>
            </w:rPrChange>
          </w:rPr>
          <w:t>2</w:t>
        </w:r>
        <w:r>
          <w:t>DS</w:t>
        </w:r>
        <w:r w:rsidR="004111A3" w:rsidRPr="004111A3">
          <w:rPr>
            <w:vertAlign w:val="subscript"/>
            <w:rPrChange w:id="187" w:author="Jon Minton" w:date="2012-04-03T14:35:00Z">
              <w:rPr/>
            </w:rPrChange>
          </w:rPr>
          <w:t>2</w:t>
        </w:r>
        <w:r>
          <w:t>-VASc</w:t>
        </w:r>
      </w:ins>
    </w:p>
    <w:p w:rsidR="00A8404E" w:rsidRPr="008C72E4" w:rsidRDefault="00A8404E" w:rsidP="008D11C1">
      <w:r w:rsidRPr="008C72E4">
        <w:t xml:space="preserve">In </w:t>
      </w:r>
      <w:del w:id="188" w:author="Jon Minton" w:date="2012-04-03T14:36:00Z">
        <w:r w:rsidRPr="008C72E4" w:rsidDel="00983B8D">
          <w:delText xml:space="preserve">our </w:delText>
        </w:r>
      </w:del>
      <w:ins w:id="189" w:author="Jon Minton" w:date="2012-04-03T14:36:00Z">
        <w:r w:rsidR="00983B8D">
          <w:t xml:space="preserve">the </w:t>
        </w:r>
      </w:ins>
      <w:r w:rsidRPr="008C72E4">
        <w:t>comparator strategy</w:t>
      </w:r>
      <w:r>
        <w:t xml:space="preserve">, </w:t>
      </w:r>
      <w:del w:id="190" w:author="Jon Minton" w:date="2012-04-03T14:36:00Z">
        <w:r w:rsidDel="00983B8D">
          <w:delText xml:space="preserve">in which </w:delText>
        </w:r>
      </w:del>
      <w:r>
        <w:t>information from TTE is used alongside that from the standard clinical prediction rule,</w:t>
      </w:r>
      <w:r w:rsidRPr="008C72E4">
        <w:t xml:space="preserve"> </w:t>
      </w:r>
      <w:ins w:id="191" w:author="Jon Minton" w:date="2012-04-03T14:36:00Z">
        <w:r w:rsidR="00983B8D">
          <w:t xml:space="preserve">and so </w:t>
        </w:r>
      </w:ins>
      <w:r w:rsidRPr="008C72E4">
        <w:t xml:space="preserve">the decision to coagulate can also be made as a result of TTE identifying a </w:t>
      </w:r>
      <w:r w:rsidRPr="008C72E4">
        <w:lastRenderedPageBreak/>
        <w:t>structural feature of left atrial abnormality (LA ABN) that predisposes an individual to a high risk of stroke</w:t>
      </w:r>
      <w:r w:rsidR="004111A3">
        <w:fldChar w:fldCharType="begin" w:fldLock="1"/>
      </w:r>
      <w:r w:rsidR="00F15320">
        <w:instrText xml:space="preserve">ADDIN Mendeley Citation{968b0944-cf4e-4f23-91e7-760351b2bc71} CSL_CITATION  { "citationItems" : [ { "id" : "ITEM-1", "itemData" : { "ISBN" : "0003-4819 (Print)\n0003-4819 (Linking)", "abstract" : "BACKGROUND: Transesophageal echocardiography (TEE) visualizes potential sources of embolism in patients with atrial fibrillation, but the clinical significance of TEE findings has not been prospectively established. OBJECTIVE: To define TEE predictors of stroke in patients with atrial fibrillation and to examine response to antithrombotic therapy. DESIGN: Prospective correlation of TEE findings at study entry with subsequent ischemic stroke during 1.1-year mean follow-up of participants in a randomized trial. SETTING: 18 echocardiography laboratories. PATIENTS: 382 patients with atrial fibrillation at high risk for thromboembolism. INTERVENTION: Adjusted-dose warfarin (international normalized ratio, 2 to 3) or low-intensity warfarin (international normalized ratio, 1.2 to 1.5) plus aspirin (325 mg/d). MEASUREMENTS: Size of left atrium and left atrial appendage, flow velocity, spontaneous echocardiographic contrast, thrombus, and plaque on the aortic arch. RESULTS: 23 ischemic strokes occurred. In patients with dense spontaneous echocardiographic contrast (20%), the rate of stroke was 18.2% per year with combination therapy (2.9 times the rate in patients without this finding; P = 0.06) and 4.5% per year with adjusted-dose warfarin (P = 0.09 for rate reduction). Appendage thrombus, detected in 10% of patients, was associated with dense spontaneous echocardiographic contrast (P \u003c 0.001), was seen more frequently after 2 weeks of combination therapy (15%) than after 2 weeks of adjusted-dose warfarin (4%) (P = 0.004), and tripled the overall rate of stroke (P = 0.04). Patients with complex aortic plaque (35%) had a fourfold increased rate of stroke compared with plaque-free patients (P = 0.005); adjusted-dose warfarin decreased risk by 75% (P = 0.02). Dense spontaneous echocardiographic contrast and complex aortic plaque were independent of each other as predictors of thromboembolism. CONCLUSIONS: In high-risk patients with atrial fibrillation, subsequent rates of thromboembolism are correlated with dense spontaneous echocardiographic contrast, thrombus of the atrial appendage, and aortic plaque. Adjusted-dose warfarin reduces the rate of stroke among patients with dense contrast and complex plaque. In patients with atrial fibrillation, the pathogenesis of stroke is multifactorial, and warfarin seems effective for the diverse mechanisms.", "container-title" : "Ann Intern Med", "edition" : "1998/12/16", "id" : "ITEM-1", "issue" : "8", "issued" : { "date-parts" : [ [ "1998" ] ] }, "note" : "\u003cm:note\u003eR01-NS-24224/NS/NINDS NIH HHS/United States\u003cm:linebreak/\u003eR01-NS-33351/NS/NINDS NIH HHS/United States\u003cm:linebreak/\u003eClinical Trial\u003cm:linebreak/\u003eRandomized Controlled Trial\u003cm:linebreak/\u003eResearch Support, U.S. Gov't, P.H.S.\u003cm:linebreak/\u003eUnited states\u003cm:linebreak/\u003eAnnals of internal medicine\u003cm:linebreak/\u003eAnn Intern Med. 1998 Apr 15;128(8):639-47.\u003c/m:note\u003e", "page" : "639-647", "title" : "Transesophageal echocardiographic correlates of thromboembolism in high-risk patients with nonvalvular atrial fibrillation. The Stroke Prevention in Atrial Fibrillation Investigators Committee on Echocardiography", "type" : "article-journal", "volume" : "128" }, "uris" : [ "http://www.mendeley.com/documents/?uuid=968b0944-cf4e-4f23-91e7-760351b2bc71" ] } ], "mendeley" : { "previouslyFormattedCitation" : "(5)" }, "properties" : { "noteIndex" : 0 }, "schema" : "https://github.com/citation-style-language/schema/raw/master/csl-citation.json" } </w:instrText>
      </w:r>
      <w:r w:rsidR="004111A3">
        <w:fldChar w:fldCharType="separate"/>
      </w:r>
      <w:r w:rsidR="00B577E8" w:rsidRPr="00B577E8">
        <w:rPr>
          <w:noProof/>
        </w:rPr>
        <w:t>(5)</w:t>
      </w:r>
      <w:r w:rsidR="004111A3">
        <w:fldChar w:fldCharType="end"/>
      </w:r>
      <w:r w:rsidRPr="008C72E4">
        <w:t xml:space="preserve">.  </w:t>
      </w:r>
      <w:del w:id="192" w:author="Matt" w:date="2012-02-27T08:43:00Z">
        <w:r w:rsidRPr="008C72E4" w:rsidDel="00542E72">
          <w:delText>For the purposes of this report we define</w:delText>
        </w:r>
      </w:del>
      <w:r w:rsidRPr="008C72E4">
        <w:t xml:space="preserve">LA ABN </w:t>
      </w:r>
      <w:r w:rsidR="00492057">
        <w:t xml:space="preserve">is defined </w:t>
      </w:r>
      <w:r w:rsidRPr="008C72E4">
        <w:t xml:space="preserve">as a patient having </w:t>
      </w:r>
      <w:r>
        <w:t>either a left atrial appendage thrombi, a dense spontaneous echo contrast, or l</w:t>
      </w:r>
      <w:r w:rsidRPr="008C72E4">
        <w:t>eft atrial appendage low flow velocities</w:t>
      </w:r>
      <w:r>
        <w:t>.</w:t>
      </w:r>
      <w:r w:rsidR="00B577E8">
        <w:t xml:space="preserve"> </w:t>
      </w:r>
      <w:r w:rsidR="004111A3">
        <w:fldChar w:fldCharType="begin" w:fldLock="1"/>
      </w:r>
      <w:r w:rsidR="00F15320">
        <w:instrText xml:space="preserve">ADDIN Mendeley Citation{8d34788d-aa53-4b23-9db2-b896cfdeae1e}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"\u003cm:note\u003eProvidencia, Rui\u003cm:linebreak/\u003eBotelho, Ana\u003cm:linebreak/\u003eTrigo, Joana\u003cm:linebreak/\u003eQuintal, Nuno\u003cm:linebreak/\u003eNascimento, Jose\u003cm:linebreak/\u003eMota, Paula\u003cm:linebreak/\u003eLeitao-Marques, Antonio\u003cm:linebreak/\u003eEngland\u003cm:linebreak/\u003eEuropace : European pacing, arrhythmias, and cardiac electrophysiology : journal of the working groups on cardiac pacing, arrhythmias, and cardiac cellular electrophysiology of the European Society of Cardiology\u003cm:linebreak/\u003eEuropace. 2012 Jan;14(1):36-45. Epub 2011 Aug 24.\u003c/m:note\u003e",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 </w:instrText>
      </w:r>
      <w:r w:rsidR="004111A3">
        <w:fldChar w:fldCharType="separate"/>
      </w:r>
      <w:r w:rsidR="00B577E8" w:rsidRPr="00B577E8">
        <w:rPr>
          <w:noProof/>
        </w:rPr>
        <w:t>(6)</w:t>
      </w:r>
      <w:r w:rsidR="004111A3">
        <w:fldChar w:fldCharType="end"/>
      </w:r>
    </w:p>
    <w:p w:rsidR="00492057" w:rsidRDefault="00657538" w:rsidP="008D11C1">
      <w:r>
        <w:t xml:space="preserve">The short term model looks at the effect of including TTE in the diagnostic strategy on the proportion of newly diagnosed AF patients from four mutually exclusive and exhaustive patient groups. </w:t>
      </w:r>
      <w:del w:id="193" w:author="Jon Minton" w:date="2012-04-03T14:37:00Z">
        <w:r w:rsidDel="00983B8D">
          <w:delText>We define these groups as</w:delText>
        </w:r>
      </w:del>
      <w:ins w:id="194" w:author="Jon Minton" w:date="2012-04-03T14:37:00Z">
        <w:r w:rsidR="00983B8D">
          <w:t>These groups are defined as</w:t>
        </w:r>
      </w:ins>
      <w:r>
        <w:t xml:space="preserve">: 1) true positives (TPs): patients </w:t>
      </w:r>
      <w:r w:rsidR="00397705">
        <w:t xml:space="preserve">where the high risk feature LA ABN was correctly identified, and as a result would receive </w:t>
      </w:r>
      <w:proofErr w:type="spellStart"/>
      <w:r w:rsidR="00397705">
        <w:t>dabigatran</w:t>
      </w:r>
      <w:proofErr w:type="spellEnd"/>
      <w:r w:rsidR="00397705">
        <w:t xml:space="preserve">. </w:t>
      </w:r>
      <w:r>
        <w:t xml:space="preserve">2) </w:t>
      </w:r>
      <w:proofErr w:type="gramStart"/>
      <w:r>
        <w:t>true</w:t>
      </w:r>
      <w:proofErr w:type="gramEnd"/>
      <w:r>
        <w:t xml:space="preserve"> negatives (TNs): patients with a clinical prediction score of zero</w:t>
      </w:r>
      <w:r w:rsidR="00AF094E">
        <w:t xml:space="preserve">, who also do not have an LA ABN, and whom TTE does not misclassify as having LA ABN. These patients currently do not receive the OAC, and for this patient group this is the correct decision. 3) False positives (FPs): Patients with a clinical prediction score of zero whom TTE misclassifies as having a LA ABN. As a result of this, using TTE would lead to these patients being given OACs even though for them this would be the wrong decision. 4) False negatives (FNs): Patients with a clinical prediction score of zero, but a LA ABN that TTE has failed to identify. These patients would not receive OACs even though for </w:t>
      </w:r>
      <w:proofErr w:type="gramStart"/>
      <w:r w:rsidR="00AF094E">
        <w:t>them</w:t>
      </w:r>
      <w:proofErr w:type="gramEnd"/>
      <w:r w:rsidR="00AF094E">
        <w:t xml:space="preserve"> prescribing OACs would be the correct decision. </w:t>
      </w:r>
      <w:r w:rsidR="00DF7E46">
        <w:t>The c</w:t>
      </w:r>
      <w:r w:rsidR="00AF094E">
        <w:t>linical</w:t>
      </w:r>
      <w:ins w:id="195" w:author="Jon Minton" w:date="2012-04-03T14:38:00Z">
        <w:r w:rsidR="00983B8D">
          <w:t xml:space="preserve"> effectiveness</w:t>
        </w:r>
      </w:ins>
      <w:r w:rsidR="00AF094E">
        <w:t xml:space="preserve"> and cost-effectiveness of </w:t>
      </w:r>
      <w:del w:id="196" w:author="Jon Minton" w:date="2012-04-03T14:38:00Z">
        <w:r w:rsidR="00AF094E" w:rsidDel="00983B8D">
          <w:delText>TTE compared with no TTE</w:delText>
        </w:r>
      </w:del>
      <w:ins w:id="197" w:author="Jon Minton" w:date="2012-04-03T14:38:00Z">
        <w:r w:rsidR="00983B8D">
          <w:t>using TTE</w:t>
        </w:r>
      </w:ins>
      <w:r w:rsidR="00AF094E">
        <w:t xml:space="preserve"> is a function of the mixture of these four patient groups</w:t>
      </w:r>
      <w:r w:rsidR="00CF007B">
        <w:t xml:space="preserve"> within the patient population</w:t>
      </w:r>
      <w:r w:rsidR="00AF094E">
        <w:t xml:space="preserve">, which is itself a function of 1) the true proportion of patients with </w:t>
      </w:r>
      <w:r w:rsidR="00CF007B">
        <w:t xml:space="preserve">a clinical prediction score of zero who have LA ABN and are thus at substantially higher stroke risk than predicted (‘True Proportion High Risk’ or TPHR); and 2) the sensitivity and specificity of TTE in identifying TPHR individuals. The </w:t>
      </w:r>
      <w:ins w:id="198" w:author="Jon Minton" w:date="2012-04-03T14:44:00Z">
        <w:r w:rsidR="002C4C31">
          <w:t xml:space="preserve">derivation of these four patient groups in the </w:t>
        </w:r>
      </w:ins>
      <w:r w:rsidR="003E2F7C">
        <w:t>population</w:t>
      </w:r>
      <w:r w:rsidR="00CF007B">
        <w:t xml:space="preserve"> mix is defined </w:t>
      </w:r>
      <w:del w:id="199" w:author="Jon Minton" w:date="2012-04-03T14:44:00Z">
        <w:r w:rsidR="00CF007B" w:rsidDel="002C4C31">
          <w:delText>as</w:delText>
        </w:r>
      </w:del>
      <w:ins w:id="200" w:author="Jon Minton" w:date="2012-04-03T14:40:00Z">
        <w:r w:rsidR="002C4C31">
          <w:t xml:space="preserve">in </w:t>
        </w:r>
      </w:ins>
      <w:r w:rsidR="00ED065B">
        <w:fldChar w:fldCharType="begin"/>
      </w:r>
      <w:r w:rsidR="00ED065B">
        <w:instrText xml:space="preserve"> REF _Ref321228259 \h </w:instrText>
      </w:r>
      <w:r w:rsidR="00ED065B">
        <w:fldChar w:fldCharType="separate"/>
      </w:r>
      <w:ins w:id="201" w:author="Jon Minton" w:date="2012-04-03T14:55:00Z">
        <w:r w:rsidR="00E57550">
          <w:t>Table 2</w:t>
        </w:r>
      </w:ins>
      <w:r w:rsidR="00ED065B">
        <w:fldChar w:fldCharType="end"/>
      </w:r>
      <w:ins w:id="202" w:author="Jon Minton" w:date="2012-04-03T14:41:00Z">
        <w:r w:rsidR="002C4C31">
          <w:t xml:space="preserve"> below. </w:t>
        </w:r>
      </w:ins>
      <w:del w:id="203" w:author="Jon Minton" w:date="2012-04-03T14:45:00Z">
        <w:r w:rsidR="00492057" w:rsidDel="002C4C31">
          <w:delText xml:space="preserve">: TPHR x Sensitivity for true positive, (1 – TPHR) x Specificity for true negative, (1 – TPHR) x (1 – Specificity) for false positive, and TPHR x (1 – Sensitivity) for false negative. </w:delText>
        </w:r>
      </w:del>
      <w:r w:rsidR="00492057">
        <w:t xml:space="preserve">Within the context of the model, the baseline strategy (no TTE) can be considered a diagnostic strategy with a sensitivity of zero and a specificity of one, so the baseline population mix is comprised of TPHR% false negative and 1-TPHR% true negative.  </w:t>
      </w:r>
    </w:p>
    <w:tbl>
      <w:tblPr>
        <w:tblStyle w:val="TableGrid"/>
        <w:tblW w:w="0" w:type="auto"/>
        <w:tblLook w:val="04A0" w:firstRow="1" w:lastRow="0" w:firstColumn="1" w:lastColumn="0" w:noHBand="0" w:noVBand="1"/>
        <w:tblPrChange w:id="204" w:author="Jon Minton" w:date="2012-04-03T14:43:00Z">
          <w:tblPr>
            <w:tblStyle w:val="TableGrid"/>
            <w:tblW w:w="0" w:type="auto"/>
            <w:tblLook w:val="04A0" w:firstRow="1" w:lastRow="0" w:firstColumn="1" w:lastColumn="0" w:noHBand="0" w:noVBand="1"/>
          </w:tblPr>
        </w:tblPrChange>
      </w:tblPr>
      <w:tblGrid>
        <w:gridCol w:w="1809"/>
        <w:gridCol w:w="2835"/>
        <w:tblGridChange w:id="205">
          <w:tblGrid>
            <w:gridCol w:w="4621"/>
            <w:gridCol w:w="4621"/>
          </w:tblGrid>
        </w:tblGridChange>
      </w:tblGrid>
      <w:tr w:rsidR="002C4C31" w:rsidTr="00492057">
        <w:trPr>
          <w:ins w:id="206" w:author="Jon Minton" w:date="2012-04-03T14:41:00Z"/>
        </w:trPr>
        <w:tc>
          <w:tcPr>
            <w:tcW w:w="1809" w:type="dxa"/>
            <w:tcPrChange w:id="207" w:author="Jon Minton" w:date="2012-04-03T14:43:00Z">
              <w:tcPr>
                <w:tcW w:w="4621" w:type="dxa"/>
              </w:tcPr>
            </w:tcPrChange>
          </w:tcPr>
          <w:p w:rsidR="002C4C31" w:rsidRPr="002C4C31" w:rsidRDefault="004111A3" w:rsidP="008D11C1">
            <w:pPr>
              <w:spacing w:after="200"/>
              <w:rPr>
                <w:ins w:id="208" w:author="Jon Minton" w:date="2012-04-03T14:41:00Z"/>
                <w:rPrChange w:id="209" w:author="Jon Minton" w:date="2012-04-03T14:43:00Z">
                  <w:rPr>
                    <w:ins w:id="210" w:author="Jon Minton" w:date="2012-04-03T14:41:00Z"/>
                    <w:rFonts w:asciiTheme="minorHAnsi" w:eastAsiaTheme="minorEastAsia" w:hAnsiTheme="minorHAnsi" w:cstheme="minorBidi"/>
                    <w:sz w:val="22"/>
                    <w:szCs w:val="22"/>
                    <w:lang w:bidi="en-US"/>
                  </w:rPr>
                </w:rPrChange>
              </w:rPr>
            </w:pPr>
            <w:ins w:id="211" w:author="Jon Minton" w:date="2012-04-03T14:41:00Z">
              <w:r w:rsidRPr="004111A3">
                <w:t>Population Type</w:t>
              </w:r>
            </w:ins>
          </w:p>
        </w:tc>
        <w:tc>
          <w:tcPr>
            <w:tcW w:w="2835" w:type="dxa"/>
            <w:tcPrChange w:id="212" w:author="Jon Minton" w:date="2012-04-03T14:43:00Z">
              <w:tcPr>
                <w:tcW w:w="4621" w:type="dxa"/>
              </w:tcPr>
            </w:tcPrChange>
          </w:tcPr>
          <w:p w:rsidR="002C4C31" w:rsidRPr="002C4C31" w:rsidRDefault="004111A3" w:rsidP="008D11C1">
            <w:pPr>
              <w:spacing w:after="200"/>
              <w:rPr>
                <w:ins w:id="213" w:author="Jon Minton" w:date="2012-04-03T14:41:00Z"/>
                <w:rPrChange w:id="214" w:author="Jon Minton" w:date="2012-04-03T14:43:00Z">
                  <w:rPr>
                    <w:ins w:id="215" w:author="Jon Minton" w:date="2012-04-03T14:41:00Z"/>
                    <w:rFonts w:asciiTheme="minorHAnsi" w:eastAsiaTheme="minorEastAsia" w:hAnsiTheme="minorHAnsi" w:cstheme="minorBidi"/>
                    <w:sz w:val="22"/>
                    <w:szCs w:val="22"/>
                    <w:lang w:bidi="en-US"/>
                  </w:rPr>
                </w:rPrChange>
              </w:rPr>
            </w:pPr>
            <w:ins w:id="216" w:author="Jon Minton" w:date="2012-04-03T14:41:00Z">
              <w:r w:rsidRPr="004111A3">
                <w:t>Proportion of total population</w:t>
              </w:r>
            </w:ins>
          </w:p>
        </w:tc>
      </w:tr>
      <w:tr w:rsidR="002C4C31" w:rsidTr="00492057">
        <w:trPr>
          <w:ins w:id="217" w:author="Jon Minton" w:date="2012-04-03T14:41:00Z"/>
        </w:trPr>
        <w:tc>
          <w:tcPr>
            <w:tcW w:w="1809" w:type="dxa"/>
            <w:tcPrChange w:id="218" w:author="Jon Minton" w:date="2012-04-03T14:43:00Z">
              <w:tcPr>
                <w:tcW w:w="4621" w:type="dxa"/>
              </w:tcPr>
            </w:tcPrChange>
          </w:tcPr>
          <w:p w:rsidR="002C4C31" w:rsidRDefault="002C4C31" w:rsidP="008D11C1">
            <w:pPr>
              <w:rPr>
                <w:ins w:id="219" w:author="Jon Minton" w:date="2012-04-03T14:41:00Z"/>
              </w:rPr>
            </w:pPr>
            <w:ins w:id="220" w:author="Jon Minton" w:date="2012-04-03T14:41:00Z">
              <w:r>
                <w:t>True Positive</w:t>
              </w:r>
            </w:ins>
          </w:p>
        </w:tc>
        <w:tc>
          <w:tcPr>
            <w:tcW w:w="2835" w:type="dxa"/>
            <w:tcPrChange w:id="221" w:author="Jon Minton" w:date="2012-04-03T14:43:00Z">
              <w:tcPr>
                <w:tcW w:w="4621" w:type="dxa"/>
              </w:tcPr>
            </w:tcPrChange>
          </w:tcPr>
          <w:p w:rsidR="002C4C31" w:rsidRDefault="002C4C31" w:rsidP="008D11C1">
            <w:pPr>
              <w:rPr>
                <w:ins w:id="222" w:author="Jon Minton" w:date="2012-04-03T14:41:00Z"/>
              </w:rPr>
            </w:pPr>
            <w:ins w:id="223" w:author="Jon Minton" w:date="2012-04-03T14:42:00Z">
              <w:r>
                <w:t>TPHR x sensitivity</w:t>
              </w:r>
            </w:ins>
          </w:p>
        </w:tc>
      </w:tr>
      <w:tr w:rsidR="002C4C31" w:rsidTr="00492057">
        <w:trPr>
          <w:ins w:id="224" w:author="Jon Minton" w:date="2012-04-03T14:41:00Z"/>
        </w:trPr>
        <w:tc>
          <w:tcPr>
            <w:tcW w:w="1809" w:type="dxa"/>
            <w:tcPrChange w:id="225" w:author="Jon Minton" w:date="2012-04-03T14:43:00Z">
              <w:tcPr>
                <w:tcW w:w="4621" w:type="dxa"/>
              </w:tcPr>
            </w:tcPrChange>
          </w:tcPr>
          <w:p w:rsidR="002C4C31" w:rsidRDefault="002C4C31" w:rsidP="008D11C1">
            <w:pPr>
              <w:rPr>
                <w:ins w:id="226" w:author="Jon Minton" w:date="2012-04-03T14:41:00Z"/>
              </w:rPr>
            </w:pPr>
            <w:ins w:id="227" w:author="Jon Minton" w:date="2012-04-03T14:41:00Z">
              <w:r>
                <w:t>True Negative</w:t>
              </w:r>
            </w:ins>
          </w:p>
        </w:tc>
        <w:tc>
          <w:tcPr>
            <w:tcW w:w="2835" w:type="dxa"/>
            <w:tcPrChange w:id="228" w:author="Jon Minton" w:date="2012-04-03T14:43:00Z">
              <w:tcPr>
                <w:tcW w:w="4621" w:type="dxa"/>
              </w:tcPr>
            </w:tcPrChange>
          </w:tcPr>
          <w:p w:rsidR="002C4C31" w:rsidRDefault="002C4C31" w:rsidP="008D11C1">
            <w:pPr>
              <w:rPr>
                <w:ins w:id="229" w:author="Jon Minton" w:date="2012-04-03T14:41:00Z"/>
              </w:rPr>
            </w:pPr>
            <w:ins w:id="230" w:author="Jon Minton" w:date="2012-04-03T14:42:00Z">
              <w:r>
                <w:t>(1 – TPHR) x specificity</w:t>
              </w:r>
            </w:ins>
          </w:p>
        </w:tc>
      </w:tr>
      <w:tr w:rsidR="002C4C31" w:rsidTr="00492057">
        <w:trPr>
          <w:ins w:id="231" w:author="Jon Minton" w:date="2012-04-03T14:41:00Z"/>
        </w:trPr>
        <w:tc>
          <w:tcPr>
            <w:tcW w:w="1809" w:type="dxa"/>
            <w:tcPrChange w:id="232" w:author="Jon Minton" w:date="2012-04-03T14:43:00Z">
              <w:tcPr>
                <w:tcW w:w="4621" w:type="dxa"/>
              </w:tcPr>
            </w:tcPrChange>
          </w:tcPr>
          <w:p w:rsidR="002C4C31" w:rsidRDefault="002C4C31" w:rsidP="008D11C1">
            <w:pPr>
              <w:rPr>
                <w:ins w:id="233" w:author="Jon Minton" w:date="2012-04-03T14:41:00Z"/>
              </w:rPr>
            </w:pPr>
            <w:ins w:id="234" w:author="Jon Minton" w:date="2012-04-03T14:41:00Z">
              <w:r>
                <w:t>False Positive</w:t>
              </w:r>
            </w:ins>
          </w:p>
        </w:tc>
        <w:tc>
          <w:tcPr>
            <w:tcW w:w="2835" w:type="dxa"/>
            <w:tcPrChange w:id="235" w:author="Jon Minton" w:date="2012-04-03T14:43:00Z">
              <w:tcPr>
                <w:tcW w:w="4621" w:type="dxa"/>
              </w:tcPr>
            </w:tcPrChange>
          </w:tcPr>
          <w:p w:rsidR="002C4C31" w:rsidRDefault="002C4C31" w:rsidP="008D11C1">
            <w:pPr>
              <w:rPr>
                <w:ins w:id="236" w:author="Jon Minton" w:date="2012-04-03T14:41:00Z"/>
              </w:rPr>
            </w:pPr>
            <w:ins w:id="237" w:author="Jon Minton" w:date="2012-04-03T14:42:00Z">
              <w:r>
                <w:t xml:space="preserve">(1 – TPHR) x (1 </w:t>
              </w:r>
            </w:ins>
            <w:ins w:id="238" w:author="Jon Minton" w:date="2012-04-03T14:43:00Z">
              <w:r>
                <w:t>–</w:t>
              </w:r>
            </w:ins>
            <w:ins w:id="239" w:author="Jon Minton" w:date="2012-04-03T14:42:00Z">
              <w:r>
                <w:t xml:space="preserve"> specif</w:t>
              </w:r>
            </w:ins>
            <w:ins w:id="240" w:author="Jon Minton" w:date="2012-04-03T14:43:00Z">
              <w:r>
                <w:t>icity)</w:t>
              </w:r>
            </w:ins>
          </w:p>
        </w:tc>
      </w:tr>
      <w:tr w:rsidR="002C4C31" w:rsidTr="00492057">
        <w:trPr>
          <w:ins w:id="241" w:author="Jon Minton" w:date="2012-04-03T14:41:00Z"/>
        </w:trPr>
        <w:tc>
          <w:tcPr>
            <w:tcW w:w="1809" w:type="dxa"/>
            <w:tcPrChange w:id="242" w:author="Jon Minton" w:date="2012-04-03T14:43:00Z">
              <w:tcPr>
                <w:tcW w:w="4621" w:type="dxa"/>
              </w:tcPr>
            </w:tcPrChange>
          </w:tcPr>
          <w:p w:rsidR="002C4C31" w:rsidRDefault="002C4C31" w:rsidP="008D11C1">
            <w:pPr>
              <w:rPr>
                <w:ins w:id="243" w:author="Jon Minton" w:date="2012-04-03T14:41:00Z"/>
              </w:rPr>
            </w:pPr>
            <w:ins w:id="244" w:author="Jon Minton" w:date="2012-04-03T14:41:00Z">
              <w:r>
                <w:t>False Negative</w:t>
              </w:r>
            </w:ins>
          </w:p>
        </w:tc>
        <w:tc>
          <w:tcPr>
            <w:tcW w:w="2835" w:type="dxa"/>
            <w:tcPrChange w:id="245" w:author="Jon Minton" w:date="2012-04-03T14:43:00Z">
              <w:tcPr>
                <w:tcW w:w="4621" w:type="dxa"/>
              </w:tcPr>
            </w:tcPrChange>
          </w:tcPr>
          <w:p w:rsidR="00EF7137" w:rsidRDefault="002C4C31">
            <w:pPr>
              <w:rPr>
                <w:ins w:id="246" w:author="Jon Minton" w:date="2012-04-03T14:41:00Z"/>
                <w:rFonts w:asciiTheme="minorHAnsi" w:eastAsiaTheme="minorEastAsia" w:hAnsiTheme="minorHAnsi" w:cstheme="minorBidi"/>
                <w:sz w:val="22"/>
                <w:szCs w:val="22"/>
                <w:lang w:bidi="en-US"/>
              </w:rPr>
              <w:pPrChange w:id="247" w:author="Jon Minton" w:date="2012-04-03T14:43:00Z">
                <w:pPr>
                  <w:spacing w:after="200"/>
                </w:pPr>
              </w:pPrChange>
            </w:pPr>
            <w:ins w:id="248" w:author="Jon Minton" w:date="2012-04-03T14:43:00Z">
              <w:r>
                <w:t>TPHR x (1 – sensitivity)</w:t>
              </w:r>
            </w:ins>
          </w:p>
        </w:tc>
      </w:tr>
    </w:tbl>
    <w:p w:rsidR="002C4C31" w:rsidRDefault="002C4C31" w:rsidP="008D11C1">
      <w:pPr>
        <w:pStyle w:val="Caption"/>
      </w:pPr>
      <w:bookmarkStart w:id="249" w:name="_Ref321228259"/>
      <w:r>
        <w:t xml:space="preserve">Table </w:t>
      </w:r>
      <w:r w:rsidR="00ED065B">
        <w:fldChar w:fldCharType="begin"/>
      </w:r>
      <w:r w:rsidR="00ED065B">
        <w:instrText xml:space="preserve"> SEQ Table \* ARABIC </w:instrText>
      </w:r>
      <w:r w:rsidR="00ED065B">
        <w:fldChar w:fldCharType="separate"/>
      </w:r>
      <w:r w:rsidR="00F15320">
        <w:rPr>
          <w:noProof/>
        </w:rPr>
        <w:t>2</w:t>
      </w:r>
      <w:r w:rsidR="00ED065B">
        <w:rPr>
          <w:noProof/>
        </w:rPr>
        <w:fldChar w:fldCharType="end"/>
      </w:r>
      <w:bookmarkEnd w:id="249"/>
      <w:r>
        <w:t xml:space="preserve"> </w:t>
      </w:r>
      <w:proofErr w:type="gramStart"/>
      <w:r>
        <w:t>Defining</w:t>
      </w:r>
      <w:proofErr w:type="gramEnd"/>
      <w:r>
        <w:t xml:space="preserve"> the population mix.</w:t>
      </w:r>
    </w:p>
    <w:p w:rsidR="009C2038" w:rsidRDefault="009C2038" w:rsidP="008D11C1">
      <w:r>
        <w:t xml:space="preserve">A full list of the information used to populate the parameters in the model, including event risks, </w:t>
      </w:r>
      <w:r w:rsidR="00796E10">
        <w:t xml:space="preserve">costs and utilities, is presented in </w:t>
      </w:r>
      <w:r w:rsidR="00ED065B">
        <w:fldChar w:fldCharType="begin"/>
      </w:r>
      <w:r w:rsidR="00ED065B">
        <w:instrText xml:space="preserve"> REF _Ref321401422 \h </w:instrText>
      </w:r>
      <w:r w:rsidR="00ED065B">
        <w:fldChar w:fldCharType="separate"/>
      </w:r>
      <w:r w:rsidR="00F15320">
        <w:t>Table 3</w:t>
      </w:r>
      <w:r w:rsidR="00ED065B">
        <w:fldChar w:fldCharType="end"/>
      </w:r>
      <w:r w:rsidR="00796E10">
        <w:t xml:space="preserve"> below.</w:t>
      </w:r>
    </w:p>
    <w:p w:rsidR="00796E10" w:rsidRDefault="00796E10" w:rsidP="008D11C1"/>
    <w:tbl>
      <w:tblPr>
        <w:tblStyle w:val="TableGrid"/>
        <w:tblW w:w="0" w:type="auto"/>
        <w:tblLook w:val="04A0" w:firstRow="1" w:lastRow="0" w:firstColumn="1" w:lastColumn="0" w:noHBand="0" w:noVBand="1"/>
      </w:tblPr>
      <w:tblGrid>
        <w:gridCol w:w="2310"/>
        <w:gridCol w:w="2309"/>
        <w:gridCol w:w="2311"/>
        <w:gridCol w:w="2312"/>
      </w:tblGrid>
      <w:tr w:rsidR="00D57902" w:rsidTr="00F15320">
        <w:tc>
          <w:tcPr>
            <w:tcW w:w="2310" w:type="dxa"/>
            <w:tcBorders>
              <w:top w:val="nil"/>
              <w:left w:val="nil"/>
            </w:tcBorders>
          </w:tcPr>
          <w:p w:rsidR="00D57902" w:rsidRDefault="00D57902" w:rsidP="008D11C1"/>
        </w:tc>
        <w:tc>
          <w:tcPr>
            <w:tcW w:w="2309" w:type="dxa"/>
          </w:tcPr>
          <w:p w:rsidR="00D57902" w:rsidRPr="00F15320" w:rsidRDefault="00F15320" w:rsidP="008D11C1">
            <w:pPr>
              <w:rPr>
                <w:b/>
              </w:rPr>
            </w:pPr>
            <w:r w:rsidRPr="00F15320">
              <w:rPr>
                <w:b/>
              </w:rPr>
              <w:t>Category</w:t>
            </w:r>
          </w:p>
        </w:tc>
        <w:tc>
          <w:tcPr>
            <w:tcW w:w="2311" w:type="dxa"/>
          </w:tcPr>
          <w:p w:rsidR="00D57902" w:rsidRPr="00F15320" w:rsidRDefault="00F15320" w:rsidP="008D11C1">
            <w:pPr>
              <w:rPr>
                <w:b/>
              </w:rPr>
            </w:pPr>
            <w:r w:rsidRPr="00F15320">
              <w:rPr>
                <w:b/>
              </w:rPr>
              <w:t>Description</w:t>
            </w:r>
          </w:p>
        </w:tc>
        <w:tc>
          <w:tcPr>
            <w:tcW w:w="2312" w:type="dxa"/>
          </w:tcPr>
          <w:p w:rsidR="00D57902" w:rsidRPr="00F15320" w:rsidRDefault="00F15320" w:rsidP="008D11C1">
            <w:pPr>
              <w:rPr>
                <w:b/>
              </w:rPr>
            </w:pPr>
            <w:r w:rsidRPr="00F15320">
              <w:rPr>
                <w:b/>
              </w:rPr>
              <w:t>References</w:t>
            </w:r>
          </w:p>
        </w:tc>
      </w:tr>
      <w:tr w:rsidR="002173F5" w:rsidTr="00F15320">
        <w:trPr>
          <w:trHeight w:val="217"/>
        </w:trPr>
        <w:tc>
          <w:tcPr>
            <w:tcW w:w="2310" w:type="dxa"/>
            <w:vMerge w:val="restart"/>
          </w:tcPr>
          <w:p w:rsidR="002173F5" w:rsidRPr="00F15320" w:rsidRDefault="002173F5" w:rsidP="008D11C1">
            <w:pPr>
              <w:rPr>
                <w:b/>
              </w:rPr>
            </w:pPr>
            <w:r w:rsidRPr="00F15320">
              <w:rPr>
                <w:b/>
              </w:rPr>
              <w:t>Risks/Probabilities</w:t>
            </w:r>
          </w:p>
        </w:tc>
        <w:tc>
          <w:tcPr>
            <w:tcW w:w="2309" w:type="dxa"/>
          </w:tcPr>
          <w:p w:rsidR="002173F5" w:rsidRDefault="002173F5" w:rsidP="008D11C1">
            <w:r>
              <w:t>Death from other causes</w:t>
            </w:r>
          </w:p>
        </w:tc>
        <w:tc>
          <w:tcPr>
            <w:tcW w:w="2311" w:type="dxa"/>
          </w:tcPr>
          <w:p w:rsidR="002173F5" w:rsidRDefault="002173F5" w:rsidP="008D11C1">
            <w:r>
              <w:t>Nonparametric</w:t>
            </w:r>
          </w:p>
        </w:tc>
        <w:tc>
          <w:tcPr>
            <w:tcW w:w="2312" w:type="dxa"/>
          </w:tcPr>
          <w:p w:rsidR="002173F5" w:rsidRDefault="002173F5" w:rsidP="008D11C1">
            <w:r>
              <w:t xml:space="preserve">UK </w:t>
            </w:r>
            <w:proofErr w:type="spellStart"/>
            <w:r>
              <w:t>Lifetables</w:t>
            </w:r>
            <w:proofErr w:type="spellEnd"/>
            <w:r>
              <w:t xml:space="preserve">. </w:t>
            </w:r>
            <w:r>
              <w:fldChar w:fldCharType="begin" w:fldLock="1"/>
            </w:r>
            <w:r w:rsidR="00F15320">
              <w:instrText xml:space="preserve">ADDIN Mendeley Citation{259139d0-3b10-43e3-97d9-041d472bd4a9} CSL_CITATION  { "citationItems" : [ { "id" : "ITEM-1", "itemData" : { "author" : [ { "family" : "ONS", "given" : "" } ], "id" : "ITEM-1", "issue" : "12 January", "issued" : { "date-parts" : [ [ "2011" ] ] }, "note" : "\u003cm:note/\u003e", "publisher" : "ONS", "publisher-place" : "Cardiff", "title" : "Interim Life Tables", "type" : "article", "volume" : "2012" }, "uris" : [ "http://www.mendeley.com/documents/?uuid=259139d0-3b10-43e3-97d9-041d472bd4a9" ] } ], "mendeley" : { "previouslyFormattedCitation" : "(7)" }, "properties" : { "noteIndex" : 0 }, "schema" : "https://github.com/citation-style-language/schema/raw/master/csl-citation.json" } </w:instrText>
            </w:r>
            <w:r>
              <w:fldChar w:fldCharType="separate"/>
            </w:r>
            <w:r w:rsidRPr="00263B7C">
              <w:rPr>
                <w:noProof/>
              </w:rPr>
              <w:t>(7)</w:t>
            </w:r>
            <w:r>
              <w:fldChar w:fldCharType="end"/>
            </w:r>
          </w:p>
        </w:tc>
      </w:tr>
      <w:tr w:rsidR="002173F5" w:rsidTr="00F15320">
        <w:trPr>
          <w:trHeight w:val="1331"/>
        </w:trPr>
        <w:tc>
          <w:tcPr>
            <w:tcW w:w="2310" w:type="dxa"/>
            <w:vMerge/>
          </w:tcPr>
          <w:p w:rsidR="002173F5" w:rsidRPr="00F15320" w:rsidRDefault="002173F5" w:rsidP="008D11C1">
            <w:pPr>
              <w:rPr>
                <w:b/>
              </w:rPr>
            </w:pPr>
          </w:p>
        </w:tc>
        <w:tc>
          <w:tcPr>
            <w:tcW w:w="2309" w:type="dxa"/>
          </w:tcPr>
          <w:p w:rsidR="002173F5" w:rsidRDefault="002173F5" w:rsidP="008D11C1">
            <w:r>
              <w:t>Sensitivity and Specificity of TTE in detecting LA ABN</w:t>
            </w:r>
          </w:p>
        </w:tc>
        <w:tc>
          <w:tcPr>
            <w:tcW w:w="2311" w:type="dxa"/>
          </w:tcPr>
          <w:p w:rsidR="002173F5" w:rsidRDefault="002173F5" w:rsidP="00263B7C">
            <w:r>
              <w:t xml:space="preserve">Jointly estimated from </w:t>
            </w:r>
            <w:proofErr w:type="spellStart"/>
            <w:r>
              <w:t>Dirichlet</w:t>
            </w:r>
            <w:proofErr w:type="spellEnd"/>
            <w:r>
              <w:t xml:space="preserve"> distribution </w:t>
            </w:r>
          </w:p>
          <w:p w:rsidR="002173F5" w:rsidRDefault="002173F5" w:rsidP="00263B7C">
            <w:r>
              <w:t xml:space="preserve">(FN, TP, TN, FP) = </w:t>
            </w:r>
          </w:p>
          <w:p w:rsidR="002173F5" w:rsidRDefault="002173F5" w:rsidP="00263B7C">
            <w:r>
              <w:t>(5, 87, 83, 159)</w:t>
            </w:r>
          </w:p>
        </w:tc>
        <w:tc>
          <w:tcPr>
            <w:tcW w:w="2312" w:type="dxa"/>
          </w:tcPr>
          <w:p w:rsidR="002173F5" w:rsidRDefault="002173F5" w:rsidP="008D11C1">
            <w:r>
              <w:t xml:space="preserve">Table 2 of </w:t>
            </w:r>
            <w:r>
              <w:fldChar w:fldCharType="begin" w:fldLock="1"/>
            </w:r>
            <w:r w:rsidR="00F15320">
              <w:instrText xml:space="preserve">ADDIN Mendeley Citation{8d34788d-aa53-4b23-9db2-b896cfdeae1e}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"\u003cm:note\u003eProvidencia, Rui\u003cm:linebreak/\u003eBotelho, Ana\u003cm:linebreak/\u003eTrigo, Joana\u003cm:linebreak/\u003eQuintal, Nuno\u003cm:linebreak/\u003eNascimento, Jose\u003cm:linebreak/\u003eMota, Paula\u003cm:linebreak/\u003eLeitao-Marques, Antonio\u003cm:linebreak/\u003eEngland\u003cm:linebreak/\u003eEuropace : European pacing, arrhythmias, and cardiac electrophysiology : journal of the working groups on cardiac pacing, arrhythmias, and cardiac cellular electrophysiology of the European Society of Cardiology\u003cm:linebreak/\u003eEuropace. 2012 Jan;14(1):36-45. Epub 2011 Aug 24.\u003c/m:note\u003e",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 </w:instrText>
            </w:r>
            <w:r>
              <w:fldChar w:fldCharType="separate"/>
            </w:r>
            <w:r w:rsidRPr="00263B7C">
              <w:rPr>
                <w:noProof/>
              </w:rPr>
              <w:t>(6)</w:t>
            </w:r>
            <w:r>
              <w:fldChar w:fldCharType="end"/>
            </w:r>
          </w:p>
        </w:tc>
      </w:tr>
      <w:tr w:rsidR="002173F5" w:rsidTr="00F15320">
        <w:trPr>
          <w:trHeight w:val="2472"/>
        </w:trPr>
        <w:tc>
          <w:tcPr>
            <w:tcW w:w="2310" w:type="dxa"/>
            <w:vMerge/>
          </w:tcPr>
          <w:p w:rsidR="002173F5" w:rsidRPr="00F15320" w:rsidRDefault="002173F5" w:rsidP="008D11C1">
            <w:pPr>
              <w:rPr>
                <w:b/>
              </w:rPr>
            </w:pPr>
          </w:p>
        </w:tc>
        <w:tc>
          <w:tcPr>
            <w:tcW w:w="2309" w:type="dxa"/>
          </w:tcPr>
          <w:p w:rsidR="002173F5" w:rsidRDefault="002173F5" w:rsidP="008D11C1">
            <w:r>
              <w:t>Proportion of patients with LA ABN</w:t>
            </w:r>
          </w:p>
        </w:tc>
        <w:tc>
          <w:tcPr>
            <w:tcW w:w="2311" w:type="dxa"/>
          </w:tcPr>
          <w:p w:rsidR="002173F5" w:rsidRDefault="002173F5" w:rsidP="00263B7C">
            <w:r>
              <w:t>Beta(2.5, 22.5) for CHADS</w:t>
            </w:r>
            <w:r w:rsidRPr="00305A5B">
              <w:rPr>
                <w:vertAlign w:val="subscript"/>
              </w:rPr>
              <w:t>2</w:t>
            </w:r>
          </w:p>
          <w:p w:rsidR="002173F5" w:rsidRDefault="002173F5" w:rsidP="00305A5B">
            <w:pPr>
              <w:jc w:val="left"/>
            </w:pPr>
            <w:r>
              <w:t>Beta(0.5, 11.5) for CHA</w:t>
            </w:r>
            <w:r w:rsidRPr="00305A5B">
              <w:rPr>
                <w:vertAlign w:val="subscript"/>
              </w:rPr>
              <w:t>2</w:t>
            </w:r>
            <w:r>
              <w:t>DS</w:t>
            </w:r>
            <w:r w:rsidRPr="00305A5B">
              <w:rPr>
                <w:sz w:val="22"/>
                <w:vertAlign w:val="subscript"/>
              </w:rPr>
              <w:t>2</w:t>
            </w:r>
            <w:r>
              <w:t xml:space="preserve">-VASc </w:t>
            </w:r>
          </w:p>
          <w:p w:rsidR="002173F5" w:rsidRDefault="002173F5" w:rsidP="00A12911">
            <w:pPr>
              <w:jc w:val="left"/>
            </w:pPr>
            <w:r>
              <w:t>(Both with prior of 0.5 added to both cell counts.)</w:t>
            </w:r>
          </w:p>
        </w:tc>
        <w:tc>
          <w:tcPr>
            <w:tcW w:w="2312" w:type="dxa"/>
          </w:tcPr>
          <w:p w:rsidR="002173F5" w:rsidRDefault="002173F5" w:rsidP="008D11C1">
            <w:r>
              <w:t xml:space="preserve">Table 2 of </w:t>
            </w:r>
            <w:r>
              <w:fldChar w:fldCharType="begin" w:fldLock="1"/>
            </w:r>
            <w:r w:rsidR="00F15320">
              <w:instrText xml:space="preserve">ADDIN Mendeley Citation{8d34788d-aa53-4b23-9db2-b896cfdeae1e}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"\u003cm:note\u003eProvidencia, Rui\u003cm:linebreak/\u003eBotelho, Ana\u003cm:linebreak/\u003eTrigo, Joana\u003cm:linebreak/\u003eQuintal, Nuno\u003cm:linebreak/\u003eNascimento, Jose\u003cm:linebreak/\u003eMota, Paula\u003cm:linebreak/\u003eLeitao-Marques, Antonio\u003cm:linebreak/\u003eEngland\u003cm:linebreak/\u003eEuropace : European pacing, arrhythmias, and cardiac electrophysiology : journal of the working groups on cardiac pacing, arrhythmias, and cardiac cellular electrophysiology of the European Society of Cardiology\u003cm:linebreak/\u003eEuropace. 2012 Jan;14(1):36-45. Epub 2011 Aug 24.\u003c/m:note\u003e",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 </w:instrText>
            </w:r>
            <w:r>
              <w:fldChar w:fldCharType="separate"/>
            </w:r>
            <w:r w:rsidRPr="00263B7C">
              <w:rPr>
                <w:noProof/>
              </w:rPr>
              <w:t>(6)</w:t>
            </w:r>
            <w:r>
              <w:fldChar w:fldCharType="end"/>
            </w:r>
          </w:p>
        </w:tc>
      </w:tr>
      <w:tr w:rsidR="002173F5" w:rsidTr="00F15320">
        <w:trPr>
          <w:trHeight w:val="597"/>
        </w:trPr>
        <w:tc>
          <w:tcPr>
            <w:tcW w:w="2310" w:type="dxa"/>
            <w:vMerge/>
          </w:tcPr>
          <w:p w:rsidR="002173F5" w:rsidRPr="00F15320" w:rsidRDefault="002173F5" w:rsidP="008D11C1">
            <w:pPr>
              <w:rPr>
                <w:b/>
              </w:rPr>
            </w:pPr>
          </w:p>
        </w:tc>
        <w:tc>
          <w:tcPr>
            <w:tcW w:w="2309" w:type="dxa"/>
          </w:tcPr>
          <w:p w:rsidR="002173F5" w:rsidRDefault="002173F5" w:rsidP="00A12911">
            <w:r>
              <w:t>Annual stroke risk by CHADS</w:t>
            </w:r>
            <w:r w:rsidRPr="00A12911">
              <w:rPr>
                <w:vertAlign w:val="subscript"/>
              </w:rPr>
              <w:t>2</w:t>
            </w:r>
            <w:r>
              <w:t xml:space="preserve"> score</w:t>
            </w:r>
          </w:p>
        </w:tc>
        <w:tc>
          <w:tcPr>
            <w:tcW w:w="2311" w:type="dxa"/>
          </w:tcPr>
          <w:p w:rsidR="002173F5" w:rsidRDefault="002173F5" w:rsidP="00A12911">
            <w:pPr>
              <w:jc w:val="left"/>
            </w:pPr>
            <w:r>
              <w:t>Simulated from Lognormal distribution</w:t>
            </w:r>
          </w:p>
        </w:tc>
        <w:tc>
          <w:tcPr>
            <w:tcW w:w="2312" w:type="dxa"/>
          </w:tcPr>
          <w:p w:rsidR="002173F5" w:rsidRDefault="002173F5" w:rsidP="008D11C1">
            <w:r>
              <w:fldChar w:fldCharType="begin" w:fldLock="1"/>
            </w:r>
            <w:r w:rsidR="00F15320">
              <w:instrText xml:space="preserve">ADDIN Mendeley Citation{161baf1f-1b50-41fc-b041-a2f76dfe6f6b} CSL_CITATION  { "citationItems" : [ { "id" : "ITEM-1", "itemData" : { "DOI" : "01.CIR.0000145172.55640.93 [pii]\n10.1161/01.CIR.0000145172.55640.93", "ISBN" : "1524-4539 (Electronic)\n0009-7322 (Linking)", "abstract" : "BACKGROUND: The rate of stroke in atrial fibrillation (AF) depends on the presence of comorbid conditions and the use of antithrombotic therapy. Although adjusted-dose warfarin is superior to aspirin for reducing stroke in AF, the absolute risk reduction of warfarin depends on the stroke rate with aspirin. This prospective cohort study tested the predictive accuracy of 5 stroke risk stratification schemes. METHODS AND RESULTS: The study pooled individual data from 2580 participants with nonvalvular AF who were prescribed aspirin in a multicenter trial (Atrial Fibrillation, Aspirin, Anticoagulation I study [AFASAK-1], AFASAK-2, European Atrial Fibrillation Trial, Primary Prevention of Arterial Thromboembolism in patients with nonrheumatic Atrial Fibrillation in primary care study, and Stroke Prevention and Atrial Fibrillation [SPAF]-III high risk or SPAF-III low risk). There were 207 ischemic strokes during 4887 patient-years of aspirin therapy. All schemes predicted stroke better than chance, but the number of patients categorized as low and high risk varied substantially. AF patients with prior cerebral ischemia were classified as high risk by all 5 schemes and had 10.8 strokes per 100 patient-years. The CHADS(2) scheme (an acronym for Congestive heart failure, Hypertension, Age \u003e75, Diabetes mellitus, and prior Stroke or transient ischemic attack) successfully identified primary prevention patients who were at high risk of stroke (5.3 strokes per 100 patient-years). In contrast, patients identified as high risk by other schemes had 3.0 to 4.2 strokes per 100 patient-years. Low-risk patients identified by all schemes had 0.5 to 1.4 strokes per 100 patient-years of therapy. CONCLUSIONS: Patients with AF who have high and low rates of stroke when given aspirin can be reliably identified, allowing selection of antithrombotic prophylaxis to be individualized.", "author" : [ { "family" : "Gage", "given" : "B F" }, { "family" : "van Walraven", "given" : "C" }, { "family" : "Pearce", "given" : "L" }, { "family" : "Hart", "given" : "R G" }, { "family" : "Koudstaal", "given" : "P J" }, { "family" : "Boode", "given" : "B S" }, { "family" : "Petersen", "given" : "P" } ], "container-title" : "Circulation", "edition" : "2004/10/13", "id" : "ITEM-1", "issue" : "16", "issued" : { "date-parts" : [ [ "2004" ] ] }, "note" : "\u003cm:note\u003eGage, Brian F\u003cm:linebreak/\u003evan Walraven, Carl\u003cm:linebreak/\u003ePearce, Lesly\u003cm:linebreak/\u003eHart, Robert G\u003cm:linebreak/\u003eKoudstaal, Peter J\u003cm:linebreak/\u003eBoode, B S P\u003cm:linebreak/\u003ePetersen, Palle\u003cm:linebreak/\u003eR01 NS 24224/NS/NINDS NIH HHS/United States\u003cm:linebreak/\u003eMeta-Analysis\u003cm:linebreak/\u003eResearch Support, N.I.H., Extramural\u003cm:linebreak/\u003eResearch Support, Non-U.S. Gov't\u003cm:linebreak/\u003eResearch Support, U.S. Gov't, P.H.S.\u003cm:linebreak/\u003eValidation Studies\u003cm:linebreak/\u003eUnited States\u003cm:linebreak/\u003eCirculation\u003cm:linebreak/\u003eCirculation. 2004 Oct 19;110(16):2287-92. Epub 2004 Oct 11.\u003c/m:note\u003e", "page" : "2287-2292", "title" : "Selecting patients with atrial fibrillation for anticoagulation: stroke risk stratification in patients taking aspirin", "type" : "article-journal", "volume" : "110" }, "uris" : [ "http://www.mendeley.com/documents/?uuid=161baf1f-1b50-41fc-b041-a2f76dfe6f6b" ] } ], "mendeley" : { "previouslyFormattedCitation" : "(8)" }, "properties" : { "noteIndex" : 0 }, "schema" : "https://github.com/citation-style-language/schema/raw/master/csl-citation.json" } </w:instrText>
            </w:r>
            <w:r>
              <w:fldChar w:fldCharType="separate"/>
            </w:r>
            <w:r w:rsidRPr="00A12911">
              <w:rPr>
                <w:noProof/>
              </w:rPr>
              <w:t>(8)</w:t>
            </w:r>
            <w:r>
              <w:fldChar w:fldCharType="end"/>
            </w:r>
          </w:p>
        </w:tc>
      </w:tr>
      <w:tr w:rsidR="002173F5" w:rsidTr="00F15320">
        <w:trPr>
          <w:trHeight w:val="597"/>
        </w:trPr>
        <w:tc>
          <w:tcPr>
            <w:tcW w:w="2310" w:type="dxa"/>
            <w:vMerge/>
          </w:tcPr>
          <w:p w:rsidR="002173F5" w:rsidRPr="00F15320" w:rsidRDefault="002173F5" w:rsidP="008D11C1">
            <w:pPr>
              <w:rPr>
                <w:b/>
              </w:rPr>
            </w:pPr>
          </w:p>
        </w:tc>
        <w:tc>
          <w:tcPr>
            <w:tcW w:w="2309" w:type="dxa"/>
          </w:tcPr>
          <w:p w:rsidR="002173F5" w:rsidRDefault="002173F5" w:rsidP="00A12911">
            <w:r>
              <w:t>Annual stroke risk by CHA</w:t>
            </w:r>
            <w:r w:rsidRPr="00A12911">
              <w:rPr>
                <w:vertAlign w:val="subscript"/>
              </w:rPr>
              <w:t>2</w:t>
            </w:r>
            <w:r>
              <w:t>DS</w:t>
            </w:r>
            <w:r w:rsidRPr="00A12911">
              <w:rPr>
                <w:vertAlign w:val="subscript"/>
              </w:rPr>
              <w:t>2</w:t>
            </w:r>
            <w:r>
              <w:t>-VASc score</w:t>
            </w:r>
          </w:p>
        </w:tc>
        <w:tc>
          <w:tcPr>
            <w:tcW w:w="2311" w:type="dxa"/>
          </w:tcPr>
          <w:p w:rsidR="002173F5" w:rsidRDefault="002173F5" w:rsidP="00A12911">
            <w:pPr>
              <w:jc w:val="left"/>
            </w:pPr>
            <w:r>
              <w:t>Assumed identical to risk by CHADS</w:t>
            </w:r>
            <w:r w:rsidRPr="00A12911">
              <w:rPr>
                <w:vertAlign w:val="subscript"/>
              </w:rPr>
              <w:t>2</w:t>
            </w:r>
            <w:r>
              <w:t xml:space="preserve"> score</w:t>
            </w:r>
          </w:p>
        </w:tc>
        <w:tc>
          <w:tcPr>
            <w:tcW w:w="2312" w:type="dxa"/>
          </w:tcPr>
          <w:p w:rsidR="002173F5" w:rsidRDefault="002173F5" w:rsidP="008D11C1">
            <w:r>
              <w:fldChar w:fldCharType="begin" w:fldLock="1"/>
            </w:r>
            <w:r w:rsidR="00F15320">
              <w:instrText xml:space="preserve">ADDIN Mendeley Citation{161baf1f-1b50-41fc-b041-a2f76dfe6f6b} CSL_CITATION  { "citationItems" : [ { "id" : "ITEM-1", "itemData" : { "DOI" : "01.CIR.0000145172.55640.93 [pii]\n10.1161/01.CIR.0000145172.55640.93", "ISBN" : "1524-4539 (Electronic)\n0009-7322 (Linking)", "abstract" : "BACKGROUND: The rate of stroke in atrial fibrillation (AF) depends on the presence of comorbid conditions and the use of antithrombotic therapy. Although adjusted-dose warfarin is superior to aspirin for reducing stroke in AF, the absolute risk reduction of warfarin depends on the stroke rate with aspirin. This prospective cohort study tested the predictive accuracy of 5 stroke risk stratification schemes. METHODS AND RESULTS: The study pooled individual data from 2580 participants with nonvalvular AF who were prescribed aspirin in a multicenter trial (Atrial Fibrillation, Aspirin, Anticoagulation I study [AFASAK-1], AFASAK-2, European Atrial Fibrillation Trial, Primary Prevention of Arterial Thromboembolism in patients with nonrheumatic Atrial Fibrillation in primary care study, and Stroke Prevention and Atrial Fibrillation [SPAF]-III high risk or SPAF-III low risk). There were 207 ischemic strokes during 4887 patient-years of aspirin therapy. All schemes predicted stroke better than chance, but the number of patients categorized as low and high risk varied substantially. AF patients with prior cerebral ischemia were classified as high risk by all 5 schemes and had 10.8 strokes per 100 patient-years. The CHADS(2) scheme (an acronym for Congestive heart failure, Hypertension, Age \u003e75, Diabetes mellitus, and prior Stroke or transient ischemic attack) successfully identified primary prevention patients who were at high risk of stroke (5.3 strokes per 100 patient-years). In contrast, patients identified as high risk by other schemes had 3.0 to 4.2 strokes per 100 patient-years. Low-risk patients identified by all schemes had 0.5 to 1.4 strokes per 100 patient-years of therapy. CONCLUSIONS: Patients with AF who have high and low rates of stroke when given aspirin can be reliably identified, allowing selection of antithrombotic prophylaxis to be individualized.", "author" : [ { "family" : "Gage", "given" : "B F" }, { "family" : "van Walraven", "given" : "C" }, { "family" : "Pearce", "given" : "L" }, { "family" : "Hart", "given" : "R G" }, { "family" : "Koudstaal", "given" : "P J" }, { "family" : "Boode", "given" : "B S" }, { "family" : "Petersen", "given" : "P" } ], "container-title" : "Circulation", "edition" : "2004/10/13", "id" : "ITEM-1", "issue" : "16", "issued" : { "date-parts" : [ [ "2004" ] ] }, "note" : "\u003cm:note\u003eGage, Brian F\u003cm:linebreak/\u003evan Walraven, Carl\u003cm:linebreak/\u003ePearce, Lesly\u003cm:linebreak/\u003eHart, Robert G\u003cm:linebreak/\u003eKoudstaal, Peter J\u003cm:linebreak/\u003eBoode, B S P\u003cm:linebreak/\u003ePetersen, Palle\u003cm:linebreak/\u003eR01 NS 24224/NS/NINDS NIH HHS/United States\u003cm:linebreak/\u003eMeta-Analysis\u003cm:linebreak/\u003eResearch Support, N.I.H., Extramural\u003cm:linebreak/\u003eResearch Support, Non-U.S. Gov't\u003cm:linebreak/\u003eResearch Support, U.S. Gov't, P.H.S.\u003cm:linebreak/\u003eValidation Studies\u003cm:linebreak/\u003eUnited States\u003cm:linebreak/\u003eCirculation\u003cm:linebreak/\u003eCirculation. 2004 Oct 19;110(16):2287-92. Epub 2004 Oct 11.\u003c/m:note\u003e", "page" : "2287-2292", "title" : "Selecting patients with atrial fibrillation for anticoagulation: stroke risk stratification in patients taking aspirin", "type" : "article-journal", "volume" : "110" }, "uris" : [ "http://www.mendeley.com/documents/?uuid=161baf1f-1b50-41fc-b041-a2f76dfe6f6b" ] } ], "mendeley" : { "previouslyFormattedCitation" : "(8)" }, "properties" : { "noteIndex" : 0 }, "schema" : "https://github.com/citation-style-language/schema/raw/master/csl-citation.json" } </w:instrText>
            </w:r>
            <w:r>
              <w:fldChar w:fldCharType="separate"/>
            </w:r>
            <w:r w:rsidRPr="00A12911">
              <w:rPr>
                <w:noProof/>
              </w:rPr>
              <w:t>(8)</w:t>
            </w:r>
            <w:r>
              <w:fldChar w:fldCharType="end"/>
            </w:r>
          </w:p>
        </w:tc>
      </w:tr>
      <w:tr w:rsidR="002173F5" w:rsidTr="00F15320">
        <w:trPr>
          <w:trHeight w:val="529"/>
        </w:trPr>
        <w:tc>
          <w:tcPr>
            <w:tcW w:w="2310" w:type="dxa"/>
            <w:vMerge/>
          </w:tcPr>
          <w:p w:rsidR="002173F5" w:rsidRPr="00F15320" w:rsidRDefault="002173F5" w:rsidP="008D11C1">
            <w:pPr>
              <w:rPr>
                <w:b/>
              </w:rPr>
            </w:pPr>
          </w:p>
        </w:tc>
        <w:tc>
          <w:tcPr>
            <w:tcW w:w="2309" w:type="dxa"/>
          </w:tcPr>
          <w:p w:rsidR="002173F5" w:rsidRDefault="002173F5" w:rsidP="008D11C1">
            <w:r>
              <w:t xml:space="preserve">Annual stroke risk in those with LA ABN </w:t>
            </w:r>
          </w:p>
        </w:tc>
        <w:tc>
          <w:tcPr>
            <w:tcW w:w="2311" w:type="dxa"/>
          </w:tcPr>
          <w:p w:rsidR="002173F5" w:rsidRDefault="002173F5" w:rsidP="00A12911">
            <w:pPr>
              <w:jc w:val="left"/>
            </w:pPr>
            <w:r>
              <w:t>Simulated from Lognormal distribution</w:t>
            </w:r>
          </w:p>
        </w:tc>
        <w:tc>
          <w:tcPr>
            <w:tcW w:w="2312" w:type="dxa"/>
          </w:tcPr>
          <w:p w:rsidR="002173F5" w:rsidRDefault="002173F5" w:rsidP="008D11C1">
            <w:r>
              <w:fldChar w:fldCharType="begin" w:fldLock="1"/>
            </w:r>
            <w:r w:rsidR="00F15320">
              <w:instrText xml:space="preserve">ADDIN Mendeley Citation{b15534d5-dfe1-42ed-8f1a-7ade251f010e} CSL_CITATION  { "citationItems" : [ { "id" : "ITEM-1", "itemData" : { "DOI" : "NEJMoa0905561 [pii]\n10.1056/NEJMoa0905561", "ISBN" : "1533-4406 (Electronic)\n0028-4793 (Linking)", "abstract" : "BACKGROUND: Warfarin reduces the risk of stroke in patients with atrial fibrillation but increases the risk of hemorrhage and is difficult to use. Dabigatran is a new oral direct thrombin inhibitor. METHODS: In this noninferiority trial, we randomly assigned 18,113 patients who had atrial fibrillation and a risk of stroke to receive, in a blinded fashion, fixed doses of dabigatran--110 mg or 150 mg twice daily--or, in an unblinded fashion, adjusted-dose warfarin. The median duration of the follow-up period was 2.0 years. The primary outcome was stroke or systemic embolism. RESULTS: Rates of the primary outcome were 1.69% per year in the warfarin group, as compared with 1.53% per year in the group that received 110 mg of dabigatran (relative risk with dabigatran, 0.91; 95% confidence interval [CI], 0.74 to 1.11; P\u003c0.001 for noninferiority) and 1.11% per year in the group that received 150 mg of dabigatran (relative risk, 0.66; 95% CI, 0.53 to 0.82; P\u003c0.001 for superiority). The rate of major bleeding was 3.36% per year in the warfarin group, as compared with 2.71% per year in the group receiving 110 mg of dabigatran (P=0.003) and 3.11% per year in the group receiving 150 mg of dabigatran (P=0.31). The rate of hemorrhagic stroke was 0.38% per year in the warfarin group, as compared with 0.12% per year with 110 mg of dabigatran (P\u003c0.001) and 0.10% per year with 150 mg of dabigatran (P\u003c0.001). The mortality rate was 4.13% per year in the warfarin group, as compared with 3.75% per year with 110 mg of dabigatran (P=0.13) and 3.64% per year with 150 mg of dabigatran (P=0.051). CONCLUSIONS: In patients with atrial fibrillation, dabigatran given at a dose of 110 mg was associated with rates of stroke and systemic embolism that were similar to those associated with warfarin, as well as lower rates of major hemorrhage. Dabigatran administered at a dose of 150 mg, as compared with warfarin, was associated with lower rates of stroke and systemic embolism but similar rates of major hemorrhage. (ClinicalTrials.gov number, NCT00262600.)", "author" : [ { "family" : "Connolly", "given" : "S J" }, { "family" : "Ezekowitz", "given" : "M D" }, { "family" : "Yusuf", "given" : "S" }, { "family" : "Eikelboom", "given" : "J" }, { "family" : "Oldgren", "given" : "J" }, { "family" : "Parekh", "given" : "A" }, { "family" : "Pogue", "given" : "J" }, { "family" : "Reilly", "given" : "P A" }, { "family" : "Themeles", "given" : "E" }, { "family" : "Varrone", "given" : "J" }, { "family" : "Wang", "given" : "S" }, { "family" : "Alings", "given" : "M" }, { "family" : "Xavier", "given" : "D" }, { "family" : "Zhu", "given" : "J" }, { "family" : "Diaz", "given" : "R" }, { "family" : "Lewis", "given" : "B S" }, { "family" : "Darius", "given" : "H" }, { "family" : "Diener", "given" : "H C" }, { "family" : "Joyner", "given" : "C D" }, { "family" : "Wallentin", "given" : "L" } ], "container-title" : "N Engl J Med", "edition" : "2009/09/01", "id" : "ITEM-1", "issue" : "12", "issued" : { "date-parts" : [ [ "2009" ] ] }, "note" : "\u003cm:note\u003eConnolly, Stuart J\u003cm:linebreak/\u003eEzekowitz, Michael D\u003cm:linebreak/\u003eYusuf, Salim\u003cm:linebreak/\u003eEikelboom, John\u003cm:linebreak/\u003eOldgren, Jonas\u003cm:linebreak/\u003eParekh, Amit\u003cm:linebreak/\u003ePogue, Janice\u003cm:linebreak/\u003eReilly, Paul A\u003cm:linebreak/\u003eThemeles, Ellison\u003cm:linebreak/\u003eVarrone, Jeanne\u003cm:linebreak/\u003eWang, Susan\u003cm:linebreak/\u003eAlings, Marco\u003cm:linebreak/\u003eXavier, Denis\u003cm:linebreak/\u003eZhu, Jun\u003cm:linebreak/\u003eDiaz, Rafael\u003cm:linebreak/\u003eLewis, Basil S\u003cm:linebreak/\u003eDarius, Harald\u003cm:linebreak/\u003eDiener, Hans-Christoph\u003cm:linebreak/\u003eJoyner, Campbell D\u003cm:linebreak/\u003eWallentin, Lars\u003cm:linebreak/\u003eRE-LY Steering Committee and Investigators\u003cm:linebreak/\u003eComparative Study\u003cm:linebreak/\u003eMulticenter Study\u003cm:linebreak/\u003eRandomized Controlled Trial\u003cm:linebreak/\u003eResearch Support, Non-U.S. Gov't\u003cm:linebreak/\u003eUnited States\u003cm:linebreak/\u003eThe New England journal of medicine\u003cm:linebreak/\u003eN Engl J Med. 2009 Sep 17;361(12):1139-51. Epub 2009 Aug 30.\u003c/m:note\u003e", "page" : "1139-1151", "title" : "Dabigatran versus warfarin in patients with atrial fibrillation", "type" : "article-journal", "volume" : "361" }, "uris" : [ "http://www.mendeley.com/documents/?uuid=b15534d5-dfe1-42ed-8f1a-7ade251f010e" ] } ], "mendeley" : { "previouslyFormattedCitation" : "(9)" }, "properties" : { "noteIndex" : 0 }, "schema" : "https://github.com/citation-style-language/schema/raw/master/csl-citation.json" } </w:instrText>
            </w:r>
            <w:r>
              <w:fldChar w:fldCharType="separate"/>
            </w:r>
            <w:r w:rsidRPr="00A12911">
              <w:rPr>
                <w:noProof/>
              </w:rPr>
              <w:t>(9)</w:t>
            </w:r>
            <w:r>
              <w:fldChar w:fldCharType="end"/>
            </w:r>
          </w:p>
        </w:tc>
      </w:tr>
      <w:tr w:rsidR="002173F5" w:rsidTr="00F15320">
        <w:trPr>
          <w:trHeight w:val="1317"/>
        </w:trPr>
        <w:tc>
          <w:tcPr>
            <w:tcW w:w="2310" w:type="dxa"/>
            <w:vMerge/>
          </w:tcPr>
          <w:p w:rsidR="002173F5" w:rsidRPr="00F15320" w:rsidRDefault="002173F5" w:rsidP="008D11C1">
            <w:pPr>
              <w:rPr>
                <w:b/>
              </w:rPr>
            </w:pPr>
          </w:p>
        </w:tc>
        <w:tc>
          <w:tcPr>
            <w:tcW w:w="2309" w:type="dxa"/>
          </w:tcPr>
          <w:p w:rsidR="002173F5" w:rsidRDefault="002173F5" w:rsidP="008D11C1">
            <w:r>
              <w:t xml:space="preserve">Relative risk (RR) of stroke in patients receiving </w:t>
            </w:r>
            <w:proofErr w:type="spellStart"/>
            <w:r>
              <w:t>dabigatran</w:t>
            </w:r>
            <w:proofErr w:type="spellEnd"/>
          </w:p>
        </w:tc>
        <w:tc>
          <w:tcPr>
            <w:tcW w:w="2311" w:type="dxa"/>
          </w:tcPr>
          <w:p w:rsidR="002173F5" w:rsidRDefault="002173F5" w:rsidP="00397282">
            <w:pPr>
              <w:jc w:val="left"/>
            </w:pPr>
            <w:r>
              <w:t>Indirect comparison simulation approach</w:t>
            </w:r>
          </w:p>
        </w:tc>
        <w:tc>
          <w:tcPr>
            <w:tcW w:w="2312" w:type="dxa"/>
          </w:tcPr>
          <w:p w:rsidR="002173F5" w:rsidRDefault="002173F5" w:rsidP="008D11C1">
            <w:r>
              <w:fldChar w:fldCharType="begin" w:fldLock="1"/>
            </w:r>
            <w:r w:rsidR="00F15320">
              <w:instrText xml:space="preserve">ADDIN Mendeley Citation{44a35ec8-9a44-4e09-b53d-e00b8d8fd08e} CSL_CITATION  { "citationItems" : [ { "id" : "ITEM-1", "itemData" : { "DOI" : "10.1016/j.thromres.2005.08.007", "abstract" : "To compare the effectiveness of aspirin, warfarin, and ximelagatran as thromboprophylaxis in patients with non-valvular atrial fibrillation (NVAF).", "author" : [ { "family" : "Lip", "given" : "Gregory Y H" }, { "family" : "Edwards", "given" : "Steven J" } ], "container-title" : "Thrombosis research", "id" : "ITEM-1", "issue" : "3", "issued" : { "date-parts" : [ [ "2006", "1" ] ] }, "page" : "321-33", "title" : "Stroke prevention with aspirin, warfarin and ximelagatran in patients with non-valvular atrial fibrillation: a systematic review and meta-analysis.", "type" : "article-journal", "volume" : "118" }, "uris" : [ "http://www.mendeley.com/documents/?uuid=44a35ec8-9a44-4e09-b53d-e00b8d8fd08e" ] } ], "mendeley" : { "previouslyFormattedCitation" : "(10)" }, "properties" : { "noteIndex" : 0 }, "schema" : "https://github.com/citation-style-language/schema/raw/master/csl-citation.json" } </w:instrText>
            </w:r>
            <w:r>
              <w:fldChar w:fldCharType="separate"/>
            </w:r>
            <w:r w:rsidRPr="00397282">
              <w:rPr>
                <w:noProof/>
              </w:rPr>
              <w:t>(10)</w:t>
            </w:r>
            <w:r>
              <w:fldChar w:fldCharType="end"/>
            </w:r>
            <w:r>
              <w:t xml:space="preserve"> for RR of warfarin compared with placebo</w:t>
            </w:r>
          </w:p>
          <w:p w:rsidR="002173F5" w:rsidRDefault="002173F5" w:rsidP="008D11C1">
            <w:r>
              <w:fldChar w:fldCharType="begin" w:fldLock="1"/>
            </w:r>
            <w:r w:rsidR="00F15320">
              <w:instrText xml:space="preserve">ADDIN Mendeley Citation{7132dd64-ce8d-4895-9e83-f5e47e8838d6}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\u003c75 years (1.89% versus 3.04%; P\u003c0.001) and a similar risk in those aged \u003e/=75 years (4.43% versus 4.37%; P=0.89; P for interaction \u003c0.001), whereas dabigatran 150 mg twice a day compared with warfarin was associated with a lower risk of major bleeding in those aged \u003c75 years (2.12% versus 3.04%; P\u003c0.001) and a trend toward higher risk of major bleeding in those aged \u003e/=75 years (5.10% versus 4.37%; P=0.07; P for interaction \u003c0.001).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\u003c75 years. In those aged \u003e/=75 years, intracranial bleeding risk is lower but extracranial bleeding risk is similar or higher with both doses of dabigatran compared with warfarin. CLINICAL TRIAL REGISTRATION: http://www.clinicaltrials.gov. Unique identifier: NCT00262600.", "author" : [ { "family" : "Eikelboom", "given" : "J W" }, { "family" : "Wallentin", "given" : "L" }, { "family" : "Connolly", "given" : "S J" }, { "family" : "Ezekowitz", "given" : "M" }, { "family" : "Healey", "given" : "J S" }, { "family" : "Oldgren", "given" : "J" }, { "family" : "Yang", "given" : "S" }, { "family" : "Alings", "given" : "M" }, { "family" : "Kaatz", "given" : "S" }, { "family" : "Hohnloser", "given" : "S H" }, { "family" : "Diener", "given" : "H C" }, { "family" : "Franzosi", "given" : "M G" }, { "family" : "Huber", "given" : "K" }, { "family" : "Reilly", "given" : "P" }, { "family" : "Varrone", "given" : "J" }, { "family" : "Yusuf", "given" : "S" } ], "container-title" : "Circulation", "edition" : "2011/05/18", "id" : "ITEM-1", "issue" : "21", "issued" : { "date-parts" : [ [ "2011" ] ] }, "note" : "\u003cm:note\u003eEikelboom, John W\u003cm:linebreak/\u003eWallentin, Lars\u003cm:linebreak/\u003eConnolly, Stuart J\u003cm:linebreak/\u003eEzekowitz, Mike\u003cm:linebreak/\u003eHealey, Jeff S\u003cm:linebreak/\u003eOldgren, Jonas\u003cm:linebreak/\u003eYang, Sean\u003cm:linebreak/\u003eAlings, Marco\u003cm:linebreak/\u003eKaatz, Scott\u003cm:linebreak/\u003eHohnloser, Stefan H\u003cm:linebreak/\u003eDiener, Hans-Christoph\u003cm:linebreak/\u003eFranzosi, Maria Grazia\u003cm:linebreak/\u003eHuber, Kurt\u003cm:linebreak/\u003eReilly, Paul\u003cm:linebreak/\u003eVarrone, Jeanne\u003cm:linebreak/\u003eYusuf, Salim\u003cm:linebreak/\u003eComparative Study\u003cm:linebreak/\u003eRandomized Controlled Trial\u003cm:linebreak/\u003eResearch Support, Non-U.S. Gov't\u003cm:linebreak/\u003eUnited States\u003cm:linebreak/\u003eCirculation\u003cm:linebreak/\u003eCirculation. 2011 May 31;123(21):2363-72. Epub 2011 May 16.\u003c/m:note\u003e",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"(4)" }, "properties" : { "noteIndex" : 0 }, "schema" : "https://github.com/citation-style-language/schema/raw/master/csl-citation.json" } </w:instrText>
            </w:r>
            <w:r>
              <w:fldChar w:fldCharType="separate"/>
            </w:r>
            <w:r w:rsidRPr="00397282">
              <w:rPr>
                <w:noProof/>
              </w:rPr>
              <w:t>(4)</w:t>
            </w:r>
            <w:r>
              <w:fldChar w:fldCharType="end"/>
            </w:r>
            <w:r>
              <w:t xml:space="preserve"> for RR of </w:t>
            </w:r>
            <w:proofErr w:type="spellStart"/>
            <w:r>
              <w:t>dabigatran</w:t>
            </w:r>
            <w:proofErr w:type="spellEnd"/>
            <w:r>
              <w:t xml:space="preserve"> compared with warfarin</w:t>
            </w:r>
          </w:p>
        </w:tc>
      </w:tr>
      <w:tr w:rsidR="002173F5" w:rsidTr="00F15320">
        <w:trPr>
          <w:trHeight w:val="978"/>
        </w:trPr>
        <w:tc>
          <w:tcPr>
            <w:tcW w:w="2310" w:type="dxa"/>
            <w:vMerge/>
          </w:tcPr>
          <w:p w:rsidR="002173F5" w:rsidRPr="00F15320" w:rsidRDefault="002173F5" w:rsidP="008D11C1">
            <w:pPr>
              <w:rPr>
                <w:b/>
              </w:rPr>
            </w:pPr>
          </w:p>
        </w:tc>
        <w:tc>
          <w:tcPr>
            <w:tcW w:w="2309" w:type="dxa"/>
          </w:tcPr>
          <w:p w:rsidR="002173F5" w:rsidRDefault="002173F5" w:rsidP="00397282">
            <w:r>
              <w:t xml:space="preserve">Annual major bleeding risk for patients receiving </w:t>
            </w:r>
            <w:proofErr w:type="spellStart"/>
            <w:r>
              <w:t>dabigatran</w:t>
            </w:r>
            <w:proofErr w:type="spellEnd"/>
          </w:p>
        </w:tc>
        <w:tc>
          <w:tcPr>
            <w:tcW w:w="2311" w:type="dxa"/>
          </w:tcPr>
          <w:p w:rsidR="002173F5" w:rsidRDefault="002173F5" w:rsidP="00397282">
            <w:pPr>
              <w:jc w:val="left"/>
            </w:pPr>
            <w:proofErr w:type="spellStart"/>
            <w:r>
              <w:t>Statified</w:t>
            </w:r>
            <w:proofErr w:type="spellEnd"/>
            <w:r>
              <w:t xml:space="preserve"> by age. Credible interval calculated using simulation approach</w:t>
            </w:r>
          </w:p>
        </w:tc>
        <w:tc>
          <w:tcPr>
            <w:tcW w:w="2312" w:type="dxa"/>
          </w:tcPr>
          <w:p w:rsidR="002173F5" w:rsidRDefault="002173F5" w:rsidP="008D11C1">
            <w:r>
              <w:fldChar w:fldCharType="begin" w:fldLock="1"/>
            </w:r>
            <w:r w:rsidR="00F15320">
              <w:instrText xml:space="preserve">ADDIN Mendeley Citation{7132dd64-ce8d-4895-9e83-f5e47e8838d6}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\u003c75 years (1.89% versus 3.04%; P\u003c0.001) and a similar risk in those aged \u003e/=75 years (4.43% versus 4.37%; P=0.89; P for interaction \u003c0.001), whereas dabigatran 150 mg twice a day compared with warfarin was associated with a lower risk of major bleeding in those aged \u003c75 years (2.12% versus 3.04%; P\u003c0.001) and a trend toward higher risk of major bleeding in those aged \u003e/=75 years (5.10% versus 4.37%; P=0.07; P for interaction \u003c0.001).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\u003c75 years. In those aged \u003e/=75 years, intracranial bleeding risk is lower but extracranial bleeding risk is similar or higher with both doses of dabigatran compared with warfarin. CLINICAL TRIAL REGISTRATION: http://www.clinicaltrials.gov. Unique identifier: NCT00262600.", "author" : [ { "family" : "Eikelboom", "given" : "J W" }, { "family" : "Wallentin", "given" : "L" }, { "family" : "Connolly", "given" : "S J" }, { "family" : "Ezekowitz", "given" : "M" }, { "family" : "Healey", "given" : "J S" }, { "family" : "Oldgren", "given" : "J" }, { "family" : "Yang", "given" : "S" }, { "family" : "Alings", "given" : "M" }, { "family" : "Kaatz", "given" : "S" }, { "family" : "Hohnloser", "given" : "S H" }, { "family" : "Diener", "given" : "H C" }, { "family" : "Franzosi", "given" : "M G" }, { "family" : "Huber", "given" : "K" }, { "family" : "Reilly", "given" : "P" }, { "family" : "Varrone", "given" : "J" }, { "family" : "Yusuf", "given" : "S" } ], "container-title" : "Circulation", "edition" : "2011/05/18", "id" : "ITEM-1", "issue" : "21", "issued" : { "date-parts" : [ [ "2011" ] ] }, "note" : "\u003cm:note\u003eEikelboom, John W\u003cm:linebreak/\u003eWallentin, Lars\u003cm:linebreak/\u003eConnolly, Stuart J\u003cm:linebreak/\u003eEzekowitz, Mike\u003cm:linebreak/\u003eHealey, Jeff S\u003cm:linebreak/\u003eOldgren, Jonas\u003cm:linebreak/\u003eYang, Sean\u003cm:linebreak/\u003eAlings, Marco\u003cm:linebreak/\u003eKaatz, Scott\u003cm:linebreak/\u003eHohnloser, Stefan H\u003cm:linebreak/\u003eDiener, Hans-Christoph\u003cm:linebreak/\u003eFranzosi, Maria Grazia\u003cm:linebreak/\u003eHuber, Kurt\u003cm:linebreak/\u003eReilly, Paul\u003cm:linebreak/\u003eVarrone, Jeanne\u003cm:linebreak/\u003eYusuf, Salim\u003cm:linebreak/\u003eComparative Study\u003cm:linebreak/\u003eRandomized Controlled Trial\u003cm:linebreak/\u003eResearch Support, Non-U.S. Gov't\u003cm:linebreak/\u003eUnited States\u003cm:linebreak/\u003eCirculation\u003cm:linebreak/\u003eCirculation. 2011 May 31;123(21):2363-72. Epub 2011 May 16.\u003c/m:note\u003e",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"(4)" }, "properties" : { "noteIndex" : 0 }, "schema" : "https://github.com/citation-style-language/schema/raw/master/csl-citation.json" } </w:instrText>
            </w:r>
            <w:r>
              <w:fldChar w:fldCharType="separate"/>
            </w:r>
            <w:r w:rsidRPr="00397282">
              <w:rPr>
                <w:noProof/>
              </w:rPr>
              <w:t>(4)</w:t>
            </w:r>
            <w:r>
              <w:fldChar w:fldCharType="end"/>
            </w:r>
          </w:p>
        </w:tc>
      </w:tr>
      <w:tr w:rsidR="002173F5" w:rsidTr="00F15320">
        <w:trPr>
          <w:trHeight w:val="1344"/>
        </w:trPr>
        <w:tc>
          <w:tcPr>
            <w:tcW w:w="2310" w:type="dxa"/>
            <w:vMerge/>
          </w:tcPr>
          <w:p w:rsidR="002173F5" w:rsidRPr="00F15320" w:rsidRDefault="002173F5" w:rsidP="008D11C1">
            <w:pPr>
              <w:rPr>
                <w:b/>
              </w:rPr>
            </w:pPr>
          </w:p>
        </w:tc>
        <w:tc>
          <w:tcPr>
            <w:tcW w:w="2309" w:type="dxa"/>
          </w:tcPr>
          <w:p w:rsidR="002173F5" w:rsidRDefault="002173F5" w:rsidP="00397282">
            <w:r>
              <w:t>Outcome following stroke</w:t>
            </w:r>
          </w:p>
        </w:tc>
        <w:tc>
          <w:tcPr>
            <w:tcW w:w="2311" w:type="dxa"/>
          </w:tcPr>
          <w:p w:rsidR="002173F5" w:rsidRDefault="002173F5" w:rsidP="00397282">
            <w:pPr>
              <w:jc w:val="left"/>
            </w:pPr>
            <w:r>
              <w:t>Simulation &amp; mapping based approach</w:t>
            </w:r>
          </w:p>
        </w:tc>
        <w:tc>
          <w:tcPr>
            <w:tcW w:w="2312" w:type="dxa"/>
          </w:tcPr>
          <w:p w:rsidR="002173F5" w:rsidRDefault="002173F5" w:rsidP="00972322">
            <w:r>
              <w:t xml:space="preserve">Method described in companion paper [Ref], using results published in </w:t>
            </w:r>
            <w:r>
              <w:fldChar w:fldCharType="begin" w:fldLock="1"/>
            </w:r>
            <w:r w:rsidR="00F15320">
              <w:instrText xml:space="preserve">ADDIN Mendeley Citation{46c5ac94-26e5-463f-b59e-19565ae7b9c4}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"\u003cm:note\u003e599EH\u003cm:linebreak/\u003eTimes Cited:2\u003cm:linebreak/\u003eCited References Count:28\u003c/m:note\u003e", "page" : "341-354", "title" : "Mapping the Modified Rankin Scale (mRS) Measurement into the Generic EuroQol (EQ-5D) Health Outcome", "type" : "article-journal", "volume" : "30" }, "uris" : [ "http://www.mendeley.com/documents/?uuid=46c5ac94-26e5-463f-b59e-19565ae7b9c4" ] } ], "mendeley" : { "previouslyFormattedCitation" : "(11)" }, "properties" : { "noteIndex" : 0 }, "schema" : "https://github.com/citation-style-language/schema/raw/master/csl-citation.json" } </w:instrText>
            </w:r>
            <w:r>
              <w:fldChar w:fldCharType="separate"/>
            </w:r>
            <w:r w:rsidRPr="00972322">
              <w:rPr>
                <w:noProof/>
              </w:rPr>
              <w:t>(11)</w:t>
            </w:r>
            <w:r>
              <w:fldChar w:fldCharType="end"/>
            </w:r>
          </w:p>
        </w:tc>
      </w:tr>
      <w:tr w:rsidR="002173F5" w:rsidTr="00F15320">
        <w:trPr>
          <w:trHeight w:val="109"/>
        </w:trPr>
        <w:tc>
          <w:tcPr>
            <w:tcW w:w="2310" w:type="dxa"/>
            <w:vMerge/>
          </w:tcPr>
          <w:p w:rsidR="002173F5" w:rsidRPr="00F15320" w:rsidRDefault="002173F5" w:rsidP="008D11C1">
            <w:pPr>
              <w:rPr>
                <w:b/>
              </w:rPr>
            </w:pPr>
          </w:p>
        </w:tc>
        <w:tc>
          <w:tcPr>
            <w:tcW w:w="2309" w:type="dxa"/>
          </w:tcPr>
          <w:p w:rsidR="002173F5" w:rsidRDefault="002173F5" w:rsidP="00397282">
            <w:r>
              <w:t>Outcome following a major bleeding event</w:t>
            </w:r>
          </w:p>
        </w:tc>
        <w:tc>
          <w:tcPr>
            <w:tcW w:w="2311" w:type="dxa"/>
          </w:tcPr>
          <w:p w:rsidR="002173F5" w:rsidRDefault="002173F5" w:rsidP="00397282">
            <w:pPr>
              <w:jc w:val="left"/>
            </w:pPr>
            <w:r>
              <w:t>Previous estimates</w:t>
            </w:r>
          </w:p>
        </w:tc>
        <w:tc>
          <w:tcPr>
            <w:tcW w:w="2312" w:type="dxa"/>
          </w:tcPr>
          <w:p w:rsidR="002173F5" w:rsidRDefault="002173F5" w:rsidP="00972322">
            <w:r>
              <w:fldChar w:fldCharType="begin" w:fldLock="1"/>
            </w:r>
            <w:r w:rsidR="00F15320">
              <w:instrText xml:space="preserve">ADDIN Mendeley Citation{dbac3526-14ee-4ea7-9960-f60763d63120} CSL_CITATION  { "citationItems" : [ { "id" : "ITEM-1", "itemData" : { "DOI" : "10.3310/hta13020", "author" : [ { "family" : "Simpson", "given" : "E L" }, { "family" : "Stevenson", "given" : "M D" }, { "family" : "Rawdin", "given" : "A" }, { "family" : "Papaioannou", "given" : "D" } ], "container-title" : "Health Technology Assessment", "id" : "ITEM-1", "issue" : "2", "issued" : { "date-parts" : [ [ "2009" ] ] }, "note" : "\u003cm:note/\u003e", "title" : "Thrombophilia testing in people with venous thromboembolism: systematic review and cost-effectiveness analysis", "type" : "article-journal", "volume" : "13" }, "uris" : [ "http://www.mendeley.com/documents/?uuid=dbac3526-14ee-4ea7-9960-f60763d63120" ] } ], "mendeley" : { "previouslyFormattedCitation" : "(12)" }, "properties" : { "noteIndex" : 0 }, "schema" : "https://github.com/citation-style-language/schema/raw/master/csl-citation.json" } </w:instrText>
            </w:r>
            <w:r>
              <w:fldChar w:fldCharType="separate"/>
            </w:r>
            <w:r w:rsidRPr="002173F5">
              <w:rPr>
                <w:noProof/>
              </w:rPr>
              <w:t>(12)</w:t>
            </w:r>
            <w:r>
              <w:fldChar w:fldCharType="end"/>
            </w:r>
          </w:p>
        </w:tc>
      </w:tr>
      <w:tr w:rsidR="00875B61" w:rsidTr="00F15320">
        <w:trPr>
          <w:trHeight w:val="612"/>
        </w:trPr>
        <w:tc>
          <w:tcPr>
            <w:tcW w:w="2310" w:type="dxa"/>
            <w:vMerge w:val="restart"/>
          </w:tcPr>
          <w:p w:rsidR="00875B61" w:rsidRPr="00F15320" w:rsidRDefault="00875B61" w:rsidP="008D11C1">
            <w:pPr>
              <w:rPr>
                <w:b/>
              </w:rPr>
            </w:pPr>
            <w:r w:rsidRPr="00F15320">
              <w:rPr>
                <w:b/>
              </w:rPr>
              <w:t>Utilities</w:t>
            </w:r>
          </w:p>
        </w:tc>
        <w:tc>
          <w:tcPr>
            <w:tcW w:w="2309" w:type="dxa"/>
          </w:tcPr>
          <w:p w:rsidR="00875B61" w:rsidRDefault="00875B61" w:rsidP="008D11C1">
            <w:r>
              <w:t>Baseline utilities by age and gender</w:t>
            </w:r>
          </w:p>
        </w:tc>
        <w:tc>
          <w:tcPr>
            <w:tcW w:w="2311" w:type="dxa"/>
          </w:tcPr>
          <w:p w:rsidR="00875B61" w:rsidRDefault="00875B61" w:rsidP="008D11C1">
            <w:r>
              <w:t>Regression based approach</w:t>
            </w:r>
          </w:p>
        </w:tc>
        <w:tc>
          <w:tcPr>
            <w:tcW w:w="2312" w:type="dxa"/>
          </w:tcPr>
          <w:p w:rsidR="00875B61" w:rsidRDefault="00875B61" w:rsidP="008D11C1">
            <w:r>
              <w:fldChar w:fldCharType="begin" w:fldLock="1"/>
            </w:r>
            <w:r w:rsidR="00F15320">
              <w:instrText xml:space="preserve">ADDIN Mendeley Citation{bfe4d3b7-823a-4c85-b21f-49ab22620108} CSL_CITATION  { "citationItems" : [ { "id" : "ITEM-1", "itemData" : { "DOI" : "10.1111/j.1524-4733.2010.00700.x", "abstract" : "The methods used to estimate health-state utility values (HSUV) for multiple health conditions can produce very different values. Economic results generated using baselines of perfect health are not comparable with those generated using baselines adjusted to reflect the HSUVs associated with the health condition. Despite this, there is no guidance on the preferred techniques and little research describing the effect on cost per quality adjusted life-year (QALY) results when using the different methods.", "author" : [ { "family" : "Ara", "given" : "Roberta" }, { "family" : "Brazier", "given" : "John E" } ], "container-title" : "Value in health : the journal of the International Society for Pharmacoeconomics and Outcomes Research", "id" : "ITEM-1", "issue" : "5", "issued" : { "date-parts" : [ [ "2010", "8" ] ] }, "page" : "509-18", "title" : "Populating an economic model with health state utility values: moving toward better practice.", "type" : "article-journal", "volume" : "13" }, "uris" : [ "http://www.mendeley.com/documents/?uuid=bfe4d3b7-823a-4c85-b21f-49ab22620108" ] } ], "mendeley" : { "previouslyFormattedCitation" : "(13)" }, "properties" : { "noteIndex" : 0 }, "schema" : "https://github.com/citation-style-language/schema/raw/master/csl-citation.json" } </w:instrText>
            </w:r>
            <w:r>
              <w:fldChar w:fldCharType="separate"/>
            </w:r>
            <w:r w:rsidR="002173F5" w:rsidRPr="002173F5">
              <w:rPr>
                <w:noProof/>
              </w:rPr>
              <w:t>(13)</w:t>
            </w:r>
            <w:r>
              <w:fldChar w:fldCharType="end"/>
            </w:r>
          </w:p>
        </w:tc>
      </w:tr>
      <w:tr w:rsidR="00972322" w:rsidTr="00F15320">
        <w:trPr>
          <w:trHeight w:val="122"/>
        </w:trPr>
        <w:tc>
          <w:tcPr>
            <w:tcW w:w="2310" w:type="dxa"/>
            <w:vMerge/>
          </w:tcPr>
          <w:p w:rsidR="00972322" w:rsidRDefault="00972322" w:rsidP="008D11C1"/>
        </w:tc>
        <w:tc>
          <w:tcPr>
            <w:tcW w:w="2309" w:type="dxa"/>
          </w:tcPr>
          <w:p w:rsidR="00972322" w:rsidRDefault="00972322" w:rsidP="002173F5">
            <w:r>
              <w:t>Utility multiplier following stroke</w:t>
            </w:r>
            <w:r w:rsidR="002173F5">
              <w:t xml:space="preserve">, utility multiplier following </w:t>
            </w:r>
            <w:r w:rsidR="002173F5">
              <w:lastRenderedPageBreak/>
              <w:t>major non-fatal intracranial bleed</w:t>
            </w:r>
          </w:p>
        </w:tc>
        <w:tc>
          <w:tcPr>
            <w:tcW w:w="2311" w:type="dxa"/>
          </w:tcPr>
          <w:p w:rsidR="00972322" w:rsidRDefault="00972322" w:rsidP="00972322">
            <w:pPr>
              <w:jc w:val="left"/>
            </w:pPr>
            <w:r>
              <w:lastRenderedPageBreak/>
              <w:t>Simulation &amp; mapping based approach</w:t>
            </w:r>
          </w:p>
        </w:tc>
        <w:tc>
          <w:tcPr>
            <w:tcW w:w="2312" w:type="dxa"/>
          </w:tcPr>
          <w:p w:rsidR="00972322" w:rsidRDefault="00972322" w:rsidP="00972322">
            <w:r>
              <w:t xml:space="preserve">Method described in companion paper [Ref], using results published in </w:t>
            </w:r>
            <w:r>
              <w:lastRenderedPageBreak/>
              <w:fldChar w:fldCharType="begin" w:fldLock="1"/>
            </w:r>
            <w:r w:rsidR="00F15320">
              <w:instrText xml:space="preserve">ADDIN Mendeley Citation{46c5ac94-26e5-463f-b59e-19565ae7b9c4}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"\u003cm:note\u003e599EH\u003cm:linebreak/\u003eTimes Cited:2\u003cm:linebreak/\u003eCited References Count:28\u003c/m:note\u003e", "page" : "341-354", "title" : "Mapping the Modified Rankin Scale (mRS) Measurement into the Generic EuroQol (EQ-5D) Health Outcome", "type" : "article-journal", "volume" : "30" }, "uris" : [ "http://www.mendeley.com/documents/?uuid=46c5ac94-26e5-463f-b59e-19565ae7b9c4" ] } ], "mendeley" : { "previouslyFormattedCitation" : "(11)" }, "properties" : { "noteIndex" : 0 }, "schema" : "https://github.com/citation-style-language/schema/raw/master/csl-citation.json" } </w:instrText>
            </w:r>
            <w:r>
              <w:fldChar w:fldCharType="separate"/>
            </w:r>
            <w:r w:rsidRPr="00972322">
              <w:rPr>
                <w:noProof/>
              </w:rPr>
              <w:t>(11)</w:t>
            </w:r>
            <w:r>
              <w:fldChar w:fldCharType="end"/>
            </w:r>
          </w:p>
        </w:tc>
      </w:tr>
      <w:tr w:rsidR="00F15320" w:rsidTr="00F15320">
        <w:trPr>
          <w:trHeight w:val="258"/>
        </w:trPr>
        <w:tc>
          <w:tcPr>
            <w:tcW w:w="2310" w:type="dxa"/>
            <w:vMerge w:val="restart"/>
          </w:tcPr>
          <w:p w:rsidR="00F15320" w:rsidRPr="00F15320" w:rsidRDefault="00F15320" w:rsidP="008D11C1">
            <w:pPr>
              <w:rPr>
                <w:b/>
              </w:rPr>
            </w:pPr>
            <w:r w:rsidRPr="00F15320">
              <w:rPr>
                <w:b/>
              </w:rPr>
              <w:lastRenderedPageBreak/>
              <w:t>Costs</w:t>
            </w:r>
          </w:p>
        </w:tc>
        <w:tc>
          <w:tcPr>
            <w:tcW w:w="2309" w:type="dxa"/>
          </w:tcPr>
          <w:p w:rsidR="00F15320" w:rsidRDefault="00F15320" w:rsidP="008D11C1">
            <w:r>
              <w:t xml:space="preserve">Annual cost of </w:t>
            </w:r>
            <w:proofErr w:type="spellStart"/>
            <w:r>
              <w:t>dabigatran</w:t>
            </w:r>
            <w:proofErr w:type="spellEnd"/>
          </w:p>
        </w:tc>
        <w:tc>
          <w:tcPr>
            <w:tcW w:w="2311" w:type="dxa"/>
          </w:tcPr>
          <w:p w:rsidR="00F15320" w:rsidRDefault="00F15320" w:rsidP="008D11C1">
            <w:r>
              <w:t>£821.25</w:t>
            </w:r>
          </w:p>
        </w:tc>
        <w:tc>
          <w:tcPr>
            <w:tcW w:w="2312" w:type="dxa"/>
          </w:tcPr>
          <w:p w:rsidR="00F15320" w:rsidRDefault="00F15320" w:rsidP="008D11C1">
            <w:r>
              <w:fldChar w:fldCharType="begin" w:fldLock="1"/>
            </w:r>
            <w:r>
              <w:instrText xml:space="preserve">ADDIN Mendeley Citation{6d827589-3505-4467-8e9e-7bf24f2e9e81} CSL_CITATION  { "citationItems" : [ { "id" : "ITEM-1", "itemData" : { "author" : [ { "family" : "NICE", "given" : "" } ], "id" : "ITEM-1", "issue" : "12 January", "issued" : { "date-parts" : [ [ "2011" ] ] }, "note" : "\u003cm:note\u003e\u003c/m:note\u003e", "title" : "Dabigatran etexilate for the prevention of stroke and systemic embolism in atrial fibrillation: Final appraisal determination", "type" : "article", "volume" : "2012" }, "uris" : [ "http://www.mendeley.com/documents/?uuid=6d827589-3505-4467-8e9e-7bf24f2e9e81" ] } ], "mendeley" : { "previouslyFormattedCitation" : "(14)" }, "properties" : { "noteIndex" : 0 }, "schema" : "https://github.com/citation-style-language/schema/raw/master/csl-citation.json" } </w:instrText>
            </w:r>
            <w:r>
              <w:fldChar w:fldCharType="separate"/>
            </w:r>
            <w:r w:rsidRPr="002173F5">
              <w:rPr>
                <w:noProof/>
              </w:rPr>
              <w:t>(14)</w:t>
            </w:r>
            <w:r>
              <w:fldChar w:fldCharType="end"/>
            </w:r>
          </w:p>
        </w:tc>
      </w:tr>
      <w:tr w:rsidR="00F15320" w:rsidTr="00F15320">
        <w:trPr>
          <w:trHeight w:val="231"/>
        </w:trPr>
        <w:tc>
          <w:tcPr>
            <w:tcW w:w="2310" w:type="dxa"/>
            <w:vMerge/>
          </w:tcPr>
          <w:p w:rsidR="00F15320" w:rsidRDefault="00F15320" w:rsidP="008D11C1"/>
        </w:tc>
        <w:tc>
          <w:tcPr>
            <w:tcW w:w="2309" w:type="dxa"/>
          </w:tcPr>
          <w:p w:rsidR="00F15320" w:rsidRDefault="00F15320" w:rsidP="008D11C1">
            <w:r>
              <w:t>Cost of TTE</w:t>
            </w:r>
          </w:p>
        </w:tc>
        <w:tc>
          <w:tcPr>
            <w:tcW w:w="2311" w:type="dxa"/>
          </w:tcPr>
          <w:p w:rsidR="00F15320" w:rsidRDefault="00F15320" w:rsidP="008D11C1">
            <w:r>
              <w:t>£66</w:t>
            </w:r>
          </w:p>
        </w:tc>
        <w:tc>
          <w:tcPr>
            <w:tcW w:w="2312" w:type="dxa"/>
          </w:tcPr>
          <w:p w:rsidR="00F15320" w:rsidRDefault="00F15320" w:rsidP="008D11C1">
            <w:r>
              <w:fldChar w:fldCharType="begin" w:fldLock="1"/>
            </w:r>
            <w:r>
              <w:instrText xml:space="preserve">ADDIN Mendeley Citation{83ecf639-a58b-4bc0-9392-407007d1467d} CSL_CITATION  { "citationItems" : [ { "id" : "ITEM-1", "itemData" : { "author" : [ { "family" : "DoH", "given"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"(15)" }, "properties" : { "noteIndex" : 0 }, "schema" : "https://github.com/citation-style-language/schema/raw/master/csl-citation.json" } </w:instrText>
            </w:r>
            <w:r>
              <w:fldChar w:fldCharType="separate"/>
            </w:r>
            <w:r w:rsidRPr="002173F5">
              <w:rPr>
                <w:noProof/>
              </w:rPr>
              <w:t>(15)</w:t>
            </w:r>
            <w:r>
              <w:fldChar w:fldCharType="end"/>
            </w:r>
          </w:p>
        </w:tc>
      </w:tr>
      <w:tr w:rsidR="00F15320" w:rsidTr="00F15320">
        <w:trPr>
          <w:trHeight w:val="597"/>
        </w:trPr>
        <w:tc>
          <w:tcPr>
            <w:tcW w:w="2310" w:type="dxa"/>
            <w:vMerge/>
          </w:tcPr>
          <w:p w:rsidR="00F15320" w:rsidRDefault="00F15320" w:rsidP="008D11C1"/>
        </w:tc>
        <w:tc>
          <w:tcPr>
            <w:tcW w:w="2309" w:type="dxa"/>
          </w:tcPr>
          <w:p w:rsidR="00F15320" w:rsidRDefault="00F15320" w:rsidP="008D11C1">
            <w:r>
              <w:t>Cost of death due to stroke</w:t>
            </w:r>
          </w:p>
        </w:tc>
        <w:tc>
          <w:tcPr>
            <w:tcW w:w="2311" w:type="dxa"/>
          </w:tcPr>
          <w:p w:rsidR="00F15320" w:rsidRDefault="00F15320" w:rsidP="008D11C1">
            <w:r>
              <w:t xml:space="preserve">£7,019 (95% </w:t>
            </w:r>
            <w:proofErr w:type="spellStart"/>
            <w:r>
              <w:t>CrI</w:t>
            </w:r>
            <w:proofErr w:type="spellEnd"/>
            <w:r>
              <w:t xml:space="preserve"> £6,975 to £7,064)</w:t>
            </w:r>
          </w:p>
        </w:tc>
        <w:tc>
          <w:tcPr>
            <w:tcW w:w="2312" w:type="dxa"/>
          </w:tcPr>
          <w:p w:rsidR="00F15320" w:rsidRDefault="00F15320" w:rsidP="008D11C1">
            <w:r>
              <w:fldChar w:fldCharType="begin" w:fldLock="1"/>
            </w:r>
            <w:r>
              <w:instrText xml:space="preserve">ADDIN Mendeley Citation{bd4d8f3a-ea79-42f8-98dd-23e6f4f46cb5} CSL_CITATION  { "citationItems" : [ { "id" : "ITEM-1", "itemData" : { "author" : [ { "family" : "Sandercock", "given" : "P" }, { "family" : "Berge", "given" : "E" }, { "family" : "Dennis", "given" : "M" }, { "family" : "Forbes", "given" : "J" }, { "family" : "Hand", "given" : "P" }, { "family" : "Kwan", "given" : "J" }, { "family" : "Lewis", "given" : "S" }, { "family" : "Lindley", "given" : "R" }, { "family" : "Neilson", "given" : "A" }, { "family" : "Thomas", "given" : "B" }, { "family" : "Wardlaw", "given" : "J" } ], "container-title" : "Health Technology Assessment", "id" : "ITEM-1", "issue" : "26", "issued" : { "date-parts" : [ [ "2002" ] ] }, "note" : "\u003cm:note\u003e\u003c/m:note\u003e", "title" : "A systematic review of the effectiveness, cost-effectiveness and barriers to implementation of thrombolytic and neuroprotective therapy for acute ischaemic stroke in the NHS", "type" : "article-journal", "volume" : "6" }, "uris" : [ "http://www.mendeley.com/documents/?uuid=bd4d8f3a-ea79-42f8-98dd-23e6f4f46cb5" ] } ], "mendeley" : { "previouslyFormattedCitation" : "(16)" }, "properties" : { "noteIndex" : 0 }, "schema" : "https://github.com/citation-style-language/schema/raw/master/csl-citation.json" } </w:instrText>
            </w:r>
            <w:r>
              <w:fldChar w:fldCharType="separate"/>
            </w:r>
            <w:r w:rsidRPr="002173F5">
              <w:rPr>
                <w:noProof/>
              </w:rPr>
              <w:t>(16)</w:t>
            </w:r>
            <w:r>
              <w:fldChar w:fldCharType="end"/>
            </w:r>
          </w:p>
        </w:tc>
      </w:tr>
      <w:tr w:rsidR="00F15320" w:rsidTr="00F15320">
        <w:trPr>
          <w:trHeight w:val="1630"/>
        </w:trPr>
        <w:tc>
          <w:tcPr>
            <w:tcW w:w="2310" w:type="dxa"/>
            <w:vMerge/>
          </w:tcPr>
          <w:p w:rsidR="00F15320" w:rsidRDefault="00F15320" w:rsidP="008D11C1"/>
        </w:tc>
        <w:tc>
          <w:tcPr>
            <w:tcW w:w="2309" w:type="dxa"/>
          </w:tcPr>
          <w:p w:rsidR="00F15320" w:rsidRDefault="00F15320" w:rsidP="002173F5">
            <w:r>
              <w:t>Costs in stroke survivors</w:t>
            </w:r>
          </w:p>
        </w:tc>
        <w:tc>
          <w:tcPr>
            <w:tcW w:w="2311" w:type="dxa"/>
          </w:tcPr>
          <w:p w:rsidR="00F15320" w:rsidRDefault="00F15320" w:rsidP="0089571D">
            <w:r>
              <w:t>Various. Differing according to dependent and independent states. Subdivided into ongoing and continuing costs</w:t>
            </w:r>
          </w:p>
        </w:tc>
        <w:tc>
          <w:tcPr>
            <w:tcW w:w="2312" w:type="dxa"/>
          </w:tcPr>
          <w:p w:rsidR="00F15320" w:rsidRDefault="00F15320" w:rsidP="008D11C1">
            <w:r>
              <w:fldChar w:fldCharType="begin" w:fldLock="1"/>
            </w:r>
            <w:r>
              <w:instrText xml:space="preserve">ADDIN Mendeley Citation{83ecf639-a58b-4bc0-9392-407007d1467d} CSL_CITATION  { "citationItems" : [ { "id" : "ITEM-1", "itemData" : { "author" : [ { "family" : "DoH", "given"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"(15)" }, "properties" : { "noteIndex" : 0 }, "schema" : "https://github.com/citation-style-language/schema/raw/master/csl-citation.json" } </w:instrText>
            </w:r>
            <w:r>
              <w:fldChar w:fldCharType="separate"/>
            </w:r>
            <w:r w:rsidRPr="002173F5">
              <w:rPr>
                <w:noProof/>
              </w:rPr>
              <w:t>(15)</w:t>
            </w:r>
            <w:r>
              <w:fldChar w:fldCharType="end"/>
            </w:r>
            <w:r>
              <w:fldChar w:fldCharType="begin" w:fldLock="1"/>
            </w:r>
            <w:r>
              <w:instrText xml:space="preserve">ADDIN Mendeley Citation{a0421089-5288-4a8d-a7a4-42744d167907} CSL_CITATION  { "citationItems" : [ { "id" : "ITEM-1", "itemData" : { "author" : [ { "family" : "NHS", "given" : "" } ], "id" : "ITEM-1", "issue" : "13 January", "issued" : { "date-parts" : [ [ "2007" ] ] }, "note" : "\u003cm:note\u003e\u003c/m:note\u003e", "title" : "National Stroke Strategy Impact Assessment", "type" : "article", "volume" : "2012" }, "uris" : [ "http://www.mendeley.com/documents/?uuid=a0421089-5288-4a8d-a7a4-42744d167907" ] } ], "mendeley" : { "previouslyFormattedCitation" : "(17)" }, "properties" : { "noteIndex" : 0 }, "schema" : "https://github.com/citation-style-language/schema/raw/master/csl-citation.json" } </w:instrText>
            </w:r>
            <w:r>
              <w:fldChar w:fldCharType="separate"/>
            </w:r>
            <w:r w:rsidRPr="002173F5">
              <w:rPr>
                <w:noProof/>
              </w:rPr>
              <w:t>(17)</w:t>
            </w:r>
            <w:r>
              <w:fldChar w:fldCharType="end"/>
            </w:r>
            <w:r>
              <w:fldChar w:fldCharType="begin" w:fldLock="1"/>
            </w:r>
            <w:r>
              <w:instrText xml:space="preserve">ADDIN Mendeley Citation{83ce0d2a-1f8f-4642-908d-f6d610aa3940} CSL_CITATION  { "citationItems" : [ { "id" : "ITEM-1", "itemData" : { "author" : [ { "family" : "Curtis", "given" : "L" } ], "id" : "ITEM-1", "issued" : { "date-parts" : [ [ "2010" ] ] }, "page" : "257", "publisher-place" : "Kent", "title" : "Unit Costs of Health and Social Care 2010", "type" : "report" }, "uris" : [ "http://www.mendeley.com/documents/?uuid=83ce0d2a-1f8f-4642-908d-f6d610aa3940" ] } ], "mendeley" : { "previouslyFormattedCitation" : "(18)" }, "properties" : { "noteIndex" : 0 }, "schema" : "https://github.com/citation-style-language/schema/raw/master/csl-citation.json" } </w:instrText>
            </w:r>
            <w:r>
              <w:fldChar w:fldCharType="separate"/>
            </w:r>
            <w:r w:rsidRPr="002173F5">
              <w:rPr>
                <w:noProof/>
              </w:rPr>
              <w:t>(18)</w:t>
            </w:r>
            <w:r>
              <w:fldChar w:fldCharType="end"/>
            </w:r>
          </w:p>
        </w:tc>
      </w:tr>
      <w:tr w:rsidR="00F15320" w:rsidTr="00F15320">
        <w:trPr>
          <w:trHeight w:val="231"/>
        </w:trPr>
        <w:tc>
          <w:tcPr>
            <w:tcW w:w="2310" w:type="dxa"/>
            <w:vMerge/>
          </w:tcPr>
          <w:p w:rsidR="00F15320" w:rsidRDefault="00F15320" w:rsidP="008D11C1"/>
        </w:tc>
        <w:tc>
          <w:tcPr>
            <w:tcW w:w="2309" w:type="dxa"/>
          </w:tcPr>
          <w:p w:rsidR="00F15320" w:rsidRDefault="00F15320" w:rsidP="002173F5">
            <w:r>
              <w:t>Costs of fatal bleed</w:t>
            </w:r>
          </w:p>
        </w:tc>
        <w:tc>
          <w:tcPr>
            <w:tcW w:w="4623" w:type="dxa"/>
            <w:gridSpan w:val="2"/>
          </w:tcPr>
          <w:p w:rsidR="00F15320" w:rsidRDefault="00F15320" w:rsidP="008D11C1">
            <w:r>
              <w:t>Assumed identical to costs of death due to stroke</w:t>
            </w:r>
          </w:p>
        </w:tc>
      </w:tr>
      <w:tr w:rsidR="00F15320" w:rsidTr="00F15320">
        <w:trPr>
          <w:trHeight w:val="122"/>
        </w:trPr>
        <w:tc>
          <w:tcPr>
            <w:tcW w:w="2310" w:type="dxa"/>
            <w:vMerge/>
          </w:tcPr>
          <w:p w:rsidR="00F15320" w:rsidRDefault="00F15320" w:rsidP="008D11C1"/>
        </w:tc>
        <w:tc>
          <w:tcPr>
            <w:tcW w:w="2309" w:type="dxa"/>
          </w:tcPr>
          <w:p w:rsidR="00F15320" w:rsidRDefault="00F15320" w:rsidP="00F15320">
            <w:r>
              <w:t>Costs of nonfatal bleed</w:t>
            </w:r>
          </w:p>
        </w:tc>
        <w:tc>
          <w:tcPr>
            <w:tcW w:w="2311" w:type="dxa"/>
          </w:tcPr>
          <w:p w:rsidR="00F15320" w:rsidRDefault="00F15320" w:rsidP="00F15320">
            <w:proofErr w:type="spellStart"/>
            <w:r>
              <w:t>VariousDepends</w:t>
            </w:r>
            <w:proofErr w:type="spellEnd"/>
            <w:r>
              <w:t xml:space="preserve"> on whether bleed is gastrointestinal or intracranial. If intracranial, depends on severity of resulting disability</w:t>
            </w:r>
          </w:p>
        </w:tc>
        <w:tc>
          <w:tcPr>
            <w:tcW w:w="2312" w:type="dxa"/>
          </w:tcPr>
          <w:p w:rsidR="00F15320" w:rsidRDefault="00F15320" w:rsidP="00F15320">
            <w:pPr>
              <w:keepNext/>
            </w:pPr>
            <w:r>
              <w:fldChar w:fldCharType="begin" w:fldLock="1"/>
            </w:r>
            <w:r>
              <w:instrText xml:space="preserve">ADDIN Mendeley Citation{83ecf639-a58b-4bc0-9392-407007d1467d} CSL_CITATION  { "citationItems" : [ { "id" : "ITEM-1", "itemData" : { "author" : [ { "family" : "DoH", "given"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"(15)" }, "properties" : { "noteIndex" : 0 }, "schema" : "https://github.com/citation-style-language/schema/raw/master/csl-citation.json" } </w:instrText>
            </w:r>
            <w:r>
              <w:fldChar w:fldCharType="separate"/>
            </w:r>
            <w:r w:rsidRPr="00F15320">
              <w:rPr>
                <w:noProof/>
              </w:rPr>
              <w:t>(15)</w:t>
            </w:r>
            <w:r>
              <w:fldChar w:fldCharType="end"/>
            </w:r>
          </w:p>
        </w:tc>
      </w:tr>
    </w:tbl>
    <w:p w:rsidR="00D57902" w:rsidRDefault="00F15320" w:rsidP="00F15320">
      <w:pPr>
        <w:pStyle w:val="Caption"/>
      </w:pPr>
      <w:bookmarkStart w:id="250" w:name="_Ref321401422"/>
      <w:r>
        <w:t xml:space="preserve">Table </w:t>
      </w:r>
      <w:r w:rsidR="00ED065B">
        <w:fldChar w:fldCharType="begin"/>
      </w:r>
      <w:r w:rsidR="00ED065B">
        <w:instrText xml:space="preserve"> SEQ Table \* ARABIC </w:instrText>
      </w:r>
      <w:r w:rsidR="00ED065B">
        <w:fldChar w:fldCharType="separate"/>
      </w:r>
      <w:r>
        <w:rPr>
          <w:noProof/>
        </w:rPr>
        <w:t>3</w:t>
      </w:r>
      <w:r w:rsidR="00ED065B">
        <w:rPr>
          <w:noProof/>
        </w:rPr>
        <w:fldChar w:fldCharType="end"/>
      </w:r>
      <w:bookmarkEnd w:id="250"/>
      <w:r>
        <w:t xml:space="preserve"> Parameters used in model</w:t>
      </w:r>
    </w:p>
    <w:p w:rsidR="00E97667" w:rsidRDefault="00E97667" w:rsidP="008D11C1">
      <w:r>
        <w:t xml:space="preserve">Three mutually exclusive outcomes could result from a stroke: death, a dependent state, and an independent state. Each outcome has different utilities, probabilities and costs. Similarly, three mutually exclusive outcomes could result from a major bleeding event: death, an intracranial (IC) bleeding event, or a non-intracranial (NIC) bleeding event (assumed to be a gastrointestinal bleed). The severity of an IC bleed can vary substantially, and this variation of outcomes was itself simulated using data based on outcomes categorized by GOS score following traumatic brain injury. The full methodology used to produce these estimates is presented elsewhere </w:t>
      </w:r>
      <w:r w:rsidR="004111A3">
        <w:fldChar w:fldCharType="begin" w:fldLock="1"/>
      </w:r>
      <w:r w:rsidR="00F15320">
        <w:instrText xml:space="preserve">ADDIN Mendeley Citation{779c182a-76c2-4bca-b460-1b6ba4032a4a} CSL_CITATION  { "citationItems" : [ { "id" : "ITEM-1", "itemData" : { "author" : [ { "family" : "Simpson", "given" : "E L" }, { "family" : "Stevenson", "given" : "M D" }, { "family" : "Scope", "given" : "A" }, { "family" : "Poku", "given" : "E" }, { "family" : "Minton", "given" : "J" }, { "family" : "Evans", "given" : "P" } ], "id" : "ITEM-1", "issued" : { "date-parts" : [ [ "2012" ] ] }, "page" : "303", "title" : "Echocardiography in newly diagnosed atrial fibrillation patients: a systematic review and economic evaluation", "type" : "report" }, "uris" : [ "http://www.mendeley.com/documents/?uuid=779c182a-76c2-4bca-b460-1b6ba4032a4a" ] } ], "mendeley" : { "previouslyFormattedCitation" : "(21)" }, "properties" : { "noteIndex" : 0 }, "schema" : "https://github.com/citation-style-language/schema/raw/master/csl-citation.json" } </w:instrText>
      </w:r>
      <w:r w:rsidR="004111A3">
        <w:fldChar w:fldCharType="separate"/>
      </w:r>
      <w:r w:rsidR="002173F5" w:rsidRPr="002173F5">
        <w:rPr>
          <w:noProof/>
        </w:rPr>
        <w:t>(21)</w:t>
      </w:r>
      <w:r w:rsidR="004111A3">
        <w:fldChar w:fldCharType="end"/>
      </w:r>
      <w:r>
        <w:t xml:space="preserve"> </w:t>
      </w:r>
    </w:p>
    <w:p w:rsidR="00F91783" w:rsidRPr="00EF4EB9" w:rsidRDefault="00A8404E" w:rsidP="008D11C1">
      <w:r>
        <w:t>The DES is dynamically updated when events occur that affect an individual’s</w:t>
      </w:r>
      <w:r w:rsidR="00F91783">
        <w:t xml:space="preserve"> CHADS</w:t>
      </w:r>
      <w:r w:rsidR="00F91783" w:rsidRPr="003E2F7C">
        <w:rPr>
          <w:vertAlign w:val="subscript"/>
        </w:rPr>
        <w:t>2</w:t>
      </w:r>
      <w:r w:rsidR="00F91783">
        <w:t xml:space="preserve"> or CHA</w:t>
      </w:r>
      <w:r w:rsidR="003E2F7C" w:rsidRPr="003E2F7C">
        <w:rPr>
          <w:vertAlign w:val="subscript"/>
        </w:rPr>
        <w:t>2</w:t>
      </w:r>
      <w:r w:rsidR="00F91783">
        <w:t>DS</w:t>
      </w:r>
      <w:r w:rsidR="003E2F7C" w:rsidRPr="003E2F7C">
        <w:rPr>
          <w:vertAlign w:val="subscript"/>
        </w:rPr>
        <w:t>2</w:t>
      </w:r>
      <w:r w:rsidR="00F91783">
        <w:t>-VASc score, or other characteristics that affect their stroke or bleed risk. For example, when the patient reaches an age of 65, their CHA</w:t>
      </w:r>
      <w:r w:rsidR="003E2F7C" w:rsidRPr="003E2F7C">
        <w:rPr>
          <w:vertAlign w:val="subscript"/>
        </w:rPr>
        <w:t>2</w:t>
      </w:r>
      <w:r w:rsidR="00F91783">
        <w:t>DS</w:t>
      </w:r>
      <w:r w:rsidR="003E2F7C" w:rsidRPr="003E2F7C">
        <w:rPr>
          <w:vertAlign w:val="subscript"/>
        </w:rPr>
        <w:t>2</w:t>
      </w:r>
      <w:r w:rsidR="00F91783">
        <w:t>-VASc score increases by one; at age 75 their score increases by one CHADS</w:t>
      </w:r>
      <w:r w:rsidR="00F91783" w:rsidRPr="003E2F7C">
        <w:rPr>
          <w:vertAlign w:val="subscript"/>
        </w:rPr>
        <w:t>2</w:t>
      </w:r>
      <w:r w:rsidR="00F91783">
        <w:t xml:space="preserve"> point, and their CHA</w:t>
      </w:r>
      <w:r w:rsidR="003E2F7C" w:rsidRPr="003E2F7C">
        <w:rPr>
          <w:vertAlign w:val="subscript"/>
        </w:rPr>
        <w:t>2</w:t>
      </w:r>
      <w:r w:rsidR="00F91783">
        <w:t>DS</w:t>
      </w:r>
      <w:r w:rsidR="00F91783" w:rsidRPr="003E2F7C">
        <w:rPr>
          <w:vertAlign w:val="subscript"/>
        </w:rPr>
        <w:t>2</w:t>
      </w:r>
      <w:r w:rsidR="00F91783">
        <w:t>-VASc score by an additional point. A stroke leads to an increment of two points on the CHADS</w:t>
      </w:r>
      <w:r w:rsidR="00F91783" w:rsidRPr="003E2F7C">
        <w:rPr>
          <w:vertAlign w:val="subscript"/>
        </w:rPr>
        <w:t>2</w:t>
      </w:r>
      <w:r w:rsidR="00F91783">
        <w:t>/CHA</w:t>
      </w:r>
      <w:r w:rsidR="003E2F7C" w:rsidRPr="003E2F7C">
        <w:rPr>
          <w:vertAlign w:val="subscript"/>
        </w:rPr>
        <w:t>2</w:t>
      </w:r>
      <w:r w:rsidR="00F91783">
        <w:t>DS</w:t>
      </w:r>
      <w:r w:rsidR="00F91783" w:rsidRPr="003E2F7C">
        <w:rPr>
          <w:vertAlign w:val="subscript"/>
        </w:rPr>
        <w:t>2</w:t>
      </w:r>
      <w:r w:rsidR="00F91783">
        <w:t xml:space="preserve">-VASc score. </w:t>
      </w:r>
      <w:r w:rsidR="00F91783" w:rsidRPr="00EF4EB9">
        <w:t>If a patient suffers a major bleeding event after taking OACs, they stop being prescribed the OACs, leading to the risk of bleeds reducing to zero, but the risk of stroke increasing.</w:t>
      </w:r>
      <w:r w:rsidR="00F91783">
        <w:t xml:space="preserve"> </w:t>
      </w:r>
      <w:r w:rsidR="00F91783" w:rsidRPr="00EF4EB9">
        <w:t>If a patient experiences a stroke and are not already taking an OAC, they are prescribed OACs</w:t>
      </w:r>
      <w:ins w:id="251" w:author="Matt" w:date="2012-02-27T08:52:00Z">
        <w:r w:rsidR="00C23AC0">
          <w:t>, pro</w:t>
        </w:r>
      </w:ins>
      <w:ins w:id="252" w:author="Matt" w:date="2012-02-27T08:53:00Z">
        <w:r w:rsidR="00C23AC0">
          <w:t xml:space="preserve">vided they have not experienced a previous </w:t>
        </w:r>
        <w:r w:rsidR="00C23AC0">
          <w:lastRenderedPageBreak/>
          <w:t>bleeding episode</w:t>
        </w:r>
      </w:ins>
      <w:r w:rsidR="00604F56">
        <w:t>.</w:t>
      </w:r>
      <w:r w:rsidR="00F91783">
        <w:t xml:space="preserve"> If a patient suffers a severe intracranial </w:t>
      </w:r>
      <w:proofErr w:type="spellStart"/>
      <w:r w:rsidR="00F91783">
        <w:t>haemorrhage</w:t>
      </w:r>
      <w:proofErr w:type="spellEnd"/>
      <w:r w:rsidR="00F91783">
        <w:t xml:space="preserve"> (Gl</w:t>
      </w:r>
      <w:r w:rsidR="00604F56">
        <w:t>asgow outcome scale category 2) as</w:t>
      </w:r>
      <w:r w:rsidR="00F91783">
        <w:t xml:space="preserve"> a result of taking OACs, their </w:t>
      </w:r>
      <w:r w:rsidR="00F91783" w:rsidRPr="00EF4EB9">
        <w:t>life expectancy was reduced to a maximum of 3.4 years</w:t>
      </w:r>
      <w:ins w:id="253" w:author="Matt" w:date="2012-02-27T08:53:00Z">
        <w:r w:rsidR="00C23AC0">
          <w:t xml:space="preserve"> with no QALY </w:t>
        </w:r>
        <w:commentRangeStart w:id="254"/>
        <w:r w:rsidR="00C23AC0">
          <w:t>gain</w:t>
        </w:r>
        <w:commentRangeEnd w:id="254"/>
        <w:r w:rsidR="00C23AC0">
          <w:rPr>
            <w:rStyle w:val="CommentReference"/>
            <w:rFonts w:ascii="Times New Roman" w:eastAsia="Times New Roman" w:hAnsi="Times New Roman" w:cs="Times New Roman"/>
            <w:lang w:val="en-GB" w:eastAsia="en-GB" w:bidi="ar-SA"/>
          </w:rPr>
          <w:commentReference w:id="254"/>
        </w:r>
      </w:ins>
      <w:r w:rsidR="00F91783" w:rsidRPr="00EF4EB9">
        <w:t xml:space="preserve">. </w:t>
      </w:r>
      <w:r w:rsidR="00604F56">
        <w:t>Additionally, t</w:t>
      </w:r>
      <w:r w:rsidR="00F91783" w:rsidRPr="00EF4EB9">
        <w:t xml:space="preserve">he risk of a major bleeding event when taking </w:t>
      </w:r>
      <w:del w:id="255" w:author="Matt" w:date="2012-02-27T08:53:00Z">
        <w:r w:rsidR="00F91783" w:rsidRPr="00EF4EB9" w:rsidDel="00C23AC0">
          <w:delText xml:space="preserve">Dabigatran </w:delText>
        </w:r>
      </w:del>
      <w:proofErr w:type="spellStart"/>
      <w:ins w:id="256" w:author="Matt" w:date="2012-02-27T08:53:00Z">
        <w:r w:rsidR="00C23AC0">
          <w:t>d</w:t>
        </w:r>
        <w:r w:rsidR="00C23AC0" w:rsidRPr="00EF4EB9">
          <w:t>abigatran</w:t>
        </w:r>
        <w:proofErr w:type="spellEnd"/>
        <w:r w:rsidR="00C23AC0" w:rsidRPr="00EF4EB9">
          <w:t xml:space="preserve"> </w:t>
        </w:r>
      </w:ins>
      <w:r w:rsidR="00F91783" w:rsidRPr="00EF4EB9">
        <w:t>(150mg twice daily) was also assumed to change at the age of 75.</w:t>
      </w:r>
    </w:p>
    <w:p w:rsidR="00454436" w:rsidRPr="00930CCB" w:rsidRDefault="008864FC" w:rsidP="008D11C1">
      <w:bookmarkStart w:id="257" w:name="_Toc316637315"/>
      <w:r>
        <w:t xml:space="preserve">The </w:t>
      </w:r>
      <w:del w:id="258" w:author="Matt" w:date="2012-02-27T08:56:00Z">
        <w:r w:rsidDel="00C23AC0">
          <w:delText xml:space="preserve">differences in </w:delText>
        </w:r>
      </w:del>
      <w:r w:rsidR="00670364">
        <w:t xml:space="preserve">costs and QALYs associated with the simulated patient experiences following both baseline (without TTE) and comparator (with TTE) strategies were used to estimate the incremental cost effectiveness ratio (ICER) of the comparator strategies compared with the baseline strategies, and so the cost-effectiveness of TTE in this context. The probability that the comparator strategy is cost-effective at a wide range of </w:t>
      </w:r>
      <w:r w:rsidR="000F1109" w:rsidRPr="00EF4EB9">
        <w:t>maximum acceptable incremental cost effectiveness ratios</w:t>
      </w:r>
      <w:r w:rsidR="000F1109">
        <w:t xml:space="preserve"> (MAICERS) is presented in the form of cost-effectiveness acceptability curves (CEACs) and cost-effectiveness acceptability frontiers (CEAFs), and the probability of being cost-effective at the commonly quoted threshold of £20,000 per QALY is reported. </w:t>
      </w:r>
    </w:p>
    <w:p w:rsidR="00454436" w:rsidRPr="00DF7E46" w:rsidRDefault="00454436" w:rsidP="008D11C1">
      <w:r w:rsidRPr="00EF4EB9">
        <w:t>The expected value of perfect information (EVPI) was calculated. This provides the maximum level of investment that a funding body would be prepared to pay to eliminate all uncertainty in the decision problem.</w:t>
      </w:r>
      <w:r w:rsidR="004111A3">
        <w:fldChar w:fldCharType="begin" w:fldLock="1"/>
      </w:r>
      <w:r w:rsidR="00F15320">
        <w:instrText xml:space="preserve">ADDIN Mendeley Citation{199d73e3-d495-4ffc-a802-22ee0102f0b2} CSL_CITATION  { "citationItems" : [ { "id" : "ITEM-1", "itemData" : { "abstract" : "Whilst significant advances have been made in persuading clinical researchers of the value of conducting economic evaluation alongside clinical trials, a number of problems remain. The most fundamental is the fact that economic principles are almost entirely ignored in the traditional approach to trial design. For example, in the selection of an optimal sample size no consideration is given to the marginal costs or benefits of sample information. In the traditional approach this can lead to either unbounded or arbitrary sample sizes. This paper presents a decision-analytic approach to trial design which takes explicit account of the costs of sampling, the benefits of sample information and the decision rules of cost-effectiveness analysis. It also provides a consistent framework for setting priorities in research funding and establishes a set of screens (or hurdles) to evaluate the potential cost-effectiveness of research proposals. The framework permits research priority setting based explicitly on the budget constraint faced by clinical practitioners and on the information available prior to prospective research. It demonstrates the link between the value of clinical research and the budgetary restrictions on service provision, and it provides practical tools to establish the optimal allocation of resources between areas of clinical research or between service provision and research.", "author" : [ { "family" : "Claxton", "given" : "K" }, { "family" : "Posnett", "given" : "J" } ], "container-title" : "Health Economics", "id" : "ITEM-1", "issue" : "6", "issued" : { "date-parts" : [ [ "1996" ] ] }, "page" : "513-524", "publisher" : "John Wiley \u0026 Sons", "title" : "An economic approach to clinical trial design and research priority-setting.", "type" : "article-journal", "volume" : "5" }, "uris" : [ "http://www.mendeley.com/documents/?uuid=199d73e3-d495-4ffc-a802-22ee0102f0b2" ] } ], "mendeley" : { "previouslyFormattedCitation" : "(22)" }, "properties" : { "noteIndex" : 0 }, "schema" : "https://github.com/citation-style-language/schema/raw/master/csl-citation.json" } </w:instrText>
      </w:r>
      <w:r w:rsidR="004111A3">
        <w:fldChar w:fldCharType="separate"/>
      </w:r>
      <w:r w:rsidR="002173F5" w:rsidRPr="002173F5">
        <w:rPr>
          <w:noProof/>
        </w:rPr>
        <w:t>(22)</w:t>
      </w:r>
      <w:r w:rsidR="004111A3">
        <w:fldChar w:fldCharType="end"/>
      </w:r>
      <w:r w:rsidRPr="00EF4EB9">
        <w:t xml:space="preserve"> In calculating EVPI an estimation of the number of patients who will be affected by the decision is required. </w:t>
      </w:r>
      <w:r w:rsidR="00DF7E46">
        <w:t>A</w:t>
      </w:r>
      <w:r w:rsidRPr="00EF4EB9">
        <w:t>ssuming that the incidence of AF was 1 per 1,000 person years (approximately the pooled rate for women and men aged 55 to 64 years reported by the Renfrew Paisley study)</w:t>
      </w:r>
      <w:ins w:id="259" w:author="Matt" w:date="2012-02-27T08:56:00Z">
        <w:r w:rsidR="00C23AC0">
          <w:t>,</w:t>
        </w:r>
      </w:ins>
      <w:del w:id="260" w:author="Matt" w:date="2012-02-27T08:56:00Z">
        <w:r w:rsidRPr="00EF4EB9" w:rsidDel="00C23AC0">
          <w:delText>.</w:delText>
        </w:r>
      </w:del>
      <w:r w:rsidR="004111A3">
        <w:fldChar w:fldCharType="begin" w:fldLock="1"/>
      </w:r>
      <w:r w:rsidR="00F15320">
        <w:instrText xml:space="preserve">ADDIN Mendeley Citation{b0aefcf4-fd33-49b7-9159-3a3920d2e245} CSL_CITATION  { "citationItems" : [ { "id" : "ITEM-1", "itemData" : { "DOI" : "10.1136/heart.86.5.516", "author" : [ { "family" : "Stewart", "given" : "S" } ], "container-title" : "Heart", "id" : "ITEM-1", "issue" : "5", "issued" : { "date-parts" : [ [ "2001", "11", "1" ] ] }, "page" : "516-521", "title" : "Population prevalence, incidence, and predictors of atrial fibrillation in the Renfrew/Paisley study", "type" : "article-journal", "volume" : "86" }, "uris" : [ "http://www.mendeley.com/documents/?uuid=b0aefcf4-fd33-49b7-9159-3a3920d2e245" ] } ], "mendeley" : { "previouslyFormattedCitation" : "(23)" }, "properties" : { "noteIndex" : 0 }, "schema" : "https://github.com/citation-style-language/schema/raw/master/csl-citation.json" } </w:instrText>
      </w:r>
      <w:r w:rsidR="004111A3">
        <w:fldChar w:fldCharType="separate"/>
      </w:r>
      <w:r w:rsidR="002173F5" w:rsidRPr="002173F5">
        <w:rPr>
          <w:noProof/>
        </w:rPr>
        <w:t>(23)</w:t>
      </w:r>
      <w:r w:rsidR="004111A3">
        <w:fldChar w:fldCharType="end"/>
      </w:r>
      <w:r w:rsidRPr="00EF4EB9">
        <w:rPr>
          <w:color w:val="292526"/>
        </w:rPr>
        <w:t xml:space="preserve"> that there are 6.7 million people aged between 55 and 64 years in England and Wales,</w:t>
      </w:r>
      <w:r w:rsidR="004111A3">
        <w:rPr>
          <w:color w:val="292526"/>
        </w:rPr>
        <w:fldChar w:fldCharType="begin" w:fldLock="1"/>
      </w:r>
      <w:r w:rsidR="00F15320">
        <w:rPr>
          <w:color w:val="292526"/>
        </w:rPr>
        <w:instrText xml:space="preserve">ADDIN Mendeley Citation{5c25ca0c-37ab-4190-bb9d-875eb06f641e} CSL_CITATION  { "citationItems" : [ { "id" : "ITEM-1", "itemData" : { "URL" : "http://www.ons.gov.uk/ons/publications/re-reference-tables.html?edition=tcm:77-231283", "accessed" : { "date-parts" : [ [ "2012" ] ] }, "author" : [ { "family" : "Office for National Statistics", "given" : "" } ], "id" : "ITEM-1", "title" : "Population Estimates by Marital Status, Mid-2010. 2012", "type" : "webpage" }, "uris" : [ "http://www.mendeley.com/documents/?uuid=5c25ca0c-37ab-4190-bb9d-875eb06f641e" ] } ], "mendeley" : { "previouslyFormattedCitation" : "(24)" }, "properties" : { "noteIndex" : 0 }, "schema" : "https://github.com/citation-style-language/schema/raw/master/csl-citation.json" } </w:instrText>
      </w:r>
      <w:r w:rsidR="004111A3">
        <w:rPr>
          <w:color w:val="292526"/>
        </w:rPr>
        <w:fldChar w:fldCharType="separate"/>
      </w:r>
      <w:r w:rsidR="002173F5" w:rsidRPr="002173F5">
        <w:rPr>
          <w:noProof/>
          <w:color w:val="292526"/>
        </w:rPr>
        <w:t>(24)</w:t>
      </w:r>
      <w:r w:rsidR="004111A3">
        <w:rPr>
          <w:color w:val="292526"/>
        </w:rPr>
        <w:fldChar w:fldCharType="end"/>
      </w:r>
      <w:r w:rsidRPr="00EF4EB9">
        <w:rPr>
          <w:color w:val="292526"/>
        </w:rPr>
        <w:t xml:space="preserve"> that 6% of people are in the CHADS</w:t>
      </w:r>
      <w:r w:rsidRPr="00EF4EB9">
        <w:rPr>
          <w:color w:val="292526"/>
          <w:vertAlign w:val="subscript"/>
        </w:rPr>
        <w:t>2</w:t>
      </w:r>
      <w:r w:rsidRPr="00EF4EB9">
        <w:rPr>
          <w:color w:val="292526"/>
        </w:rPr>
        <w:t xml:space="preserve"> 0 category,</w:t>
      </w:r>
      <w:r w:rsidR="004111A3">
        <w:rPr>
          <w:color w:val="292526"/>
        </w:rPr>
        <w:fldChar w:fldCharType="begin" w:fldLock="1"/>
      </w:r>
      <w:r w:rsidR="00F15320">
        <w:rPr>
          <w:color w:val="292526"/>
        </w:rPr>
        <w:instrText xml:space="preserve">ADDIN Mendeley Citation{8d34788d-aa53-4b23-9db2-b896cfdeae1e}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"\u003cm:note\u003eProvidencia, Rui\u003cm:linebreak/\u003eBotelho, Ana\u003cm:linebreak/\u003eTrigo, Joana\u003cm:linebreak/\u003eQuintal, Nuno\u003cm:linebreak/\u003eNascimento, Jose\u003cm:linebreak/\u003eMota, Paula\u003cm:linebreak/\u003eLeitao-Marques, Antonio\u003cm:linebreak/\u003eEngland\u003cm:linebreak/\u003eEuropace : European pacing, arrhythmias, and cardiac electrophysiology : journal of the working groups on cardiac pacing, arrhythmias, and cardiac cellular electrophysiology of the European Society of Cardiology\u003cm:linebreak/\u003eEuropace. 2012 Jan;14(1):36-45. Epub 2011 Aug 24.\u003c/m:note\u003e",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 </w:instrText>
      </w:r>
      <w:r w:rsidR="004111A3">
        <w:rPr>
          <w:color w:val="292526"/>
        </w:rPr>
        <w:fldChar w:fldCharType="separate"/>
      </w:r>
      <w:r w:rsidR="009C2038" w:rsidRPr="009C2038">
        <w:rPr>
          <w:noProof/>
          <w:color w:val="292526"/>
        </w:rPr>
        <w:t>(6)</w:t>
      </w:r>
      <w:r w:rsidR="004111A3">
        <w:rPr>
          <w:color w:val="292526"/>
        </w:rPr>
        <w:fldChar w:fldCharType="end"/>
      </w:r>
      <w:r w:rsidRPr="00EF4EB9">
        <w:rPr>
          <w:color w:val="292526"/>
        </w:rPr>
        <w:t xml:space="preserve"> and that the information is relevant for 10 years</w:t>
      </w:r>
      <w:r w:rsidR="00DF7E46">
        <w:rPr>
          <w:color w:val="292526"/>
        </w:rPr>
        <w:t>, then</w:t>
      </w:r>
      <w:r w:rsidRPr="00EF4EB9">
        <w:rPr>
          <w:color w:val="292526"/>
        </w:rPr>
        <w:t xml:space="preserve"> around 70,000 people would benefit from the</w:t>
      </w:r>
      <w:ins w:id="261" w:author="Matt" w:date="2012-02-27T08:57:00Z">
        <w:r w:rsidR="00C23AC0">
          <w:rPr>
            <w:color w:val="292526"/>
          </w:rPr>
          <w:t>re</w:t>
        </w:r>
      </w:ins>
      <w:r w:rsidRPr="00EF4EB9">
        <w:rPr>
          <w:color w:val="292526"/>
        </w:rPr>
        <w:t xml:space="preserve"> being no uncertainty regarding whether TTE is cost effective.</w:t>
      </w:r>
    </w:p>
    <w:p w:rsidR="00454436" w:rsidRPr="00EF4EB9" w:rsidRDefault="00DF7E46" w:rsidP="008D11C1">
      <w:r>
        <w:t>S</w:t>
      </w:r>
      <w:r w:rsidR="00454436" w:rsidRPr="00EF4EB9">
        <w:t xml:space="preserve">ensitivity analyses were </w:t>
      </w:r>
      <w:r>
        <w:t xml:space="preserve">also </w:t>
      </w:r>
      <w:r w:rsidR="00454436" w:rsidRPr="00EF4EB9">
        <w:t xml:space="preserve">undertaken on two key parameters, the </w:t>
      </w:r>
      <w:r w:rsidR="000F1109">
        <w:t>TPHR, and</w:t>
      </w:r>
      <w:r w:rsidR="00454436" w:rsidRPr="00EF4EB9">
        <w:t xml:space="preserve"> the joint uncertainty in the sensitivity and specificity of TTE in detecting LA ABN.</w:t>
      </w:r>
    </w:p>
    <w:bookmarkEnd w:id="257"/>
    <w:p w:rsidR="0005390C" w:rsidRDefault="00DF4463" w:rsidP="003562A1">
      <w:pPr>
        <w:pStyle w:val="Heading2"/>
        <w:numPr>
          <w:ilvl w:val="0"/>
          <w:numId w:val="0"/>
        </w:numPr>
      </w:pPr>
      <w:r>
        <w:t>Results</w:t>
      </w:r>
    </w:p>
    <w:p w:rsidR="00605BB7" w:rsidRPr="00EF4EB9" w:rsidRDefault="00ED065B" w:rsidP="008D11C1">
      <w:r>
        <w:fldChar w:fldCharType="begin"/>
      </w:r>
      <w:r>
        <w:instrText xml:space="preserve"> REF _Ref321238070 \h </w:instrText>
      </w:r>
      <w:r>
        <w:fldChar w:fldCharType="separate"/>
      </w:r>
      <w:ins w:id="262" w:author="Jon Minton" w:date="2012-04-03T17:39:00Z">
        <w:r w:rsidR="00492057">
          <w:t>Table 3</w:t>
        </w:r>
      </w:ins>
      <w:r>
        <w:fldChar w:fldCharType="end"/>
      </w:r>
      <w:r w:rsidR="00605BB7" w:rsidRPr="00EF4EB9">
        <w:t xml:space="preserve"> shows the </w:t>
      </w:r>
      <w:r w:rsidR="00B325C3">
        <w:t>shows the simulated patient experience when TTE is added to either CHADS</w:t>
      </w:r>
      <w:r w:rsidR="00B325C3" w:rsidRPr="00DF7E46">
        <w:rPr>
          <w:vertAlign w:val="subscript"/>
        </w:rPr>
        <w:t>2</w:t>
      </w:r>
      <w:r w:rsidR="00B325C3">
        <w:t xml:space="preserve"> or CHA</w:t>
      </w:r>
      <w:r w:rsidR="00DF7E46" w:rsidRPr="00DF7E46">
        <w:rPr>
          <w:vertAlign w:val="subscript"/>
        </w:rPr>
        <w:t>2</w:t>
      </w:r>
      <w:r w:rsidR="00B325C3">
        <w:t>DS</w:t>
      </w:r>
      <w:r w:rsidR="00B325C3" w:rsidRPr="00DF7E46">
        <w:rPr>
          <w:vertAlign w:val="subscript"/>
        </w:rPr>
        <w:t>2</w:t>
      </w:r>
      <w:r w:rsidR="00B325C3">
        <w:t xml:space="preserve">-VASc, in </w:t>
      </w:r>
      <w:r w:rsidR="00605BB7" w:rsidRPr="00EF4EB9">
        <w:t xml:space="preserve">terms of clinical events. </w:t>
      </w:r>
      <w:r w:rsidR="00501F33">
        <w:t xml:space="preserve">These suggest that using information from </w:t>
      </w:r>
      <w:r w:rsidR="00605BB7" w:rsidRPr="00EF4EB9">
        <w:t xml:space="preserve">TTE increases the expected life of patients, and increases the proportion of patients that die of non stroke- or bleed-related causes. An initial TTE reduces the estimated number of strokes but at the expense of a greater number of bleeds. </w:t>
      </w:r>
    </w:p>
    <w:tbl>
      <w:tblPr>
        <w:tblStyle w:val="TableGrid"/>
        <w:tblW w:w="9889" w:type="dxa"/>
        <w:tblLayout w:type="fixed"/>
        <w:tblLook w:val="04A0" w:firstRow="1" w:lastRow="0" w:firstColumn="1" w:lastColumn="0" w:noHBand="0" w:noVBand="1"/>
      </w:tblPr>
      <w:tblGrid>
        <w:gridCol w:w="675"/>
        <w:gridCol w:w="1985"/>
        <w:gridCol w:w="850"/>
        <w:gridCol w:w="851"/>
        <w:gridCol w:w="992"/>
        <w:gridCol w:w="851"/>
        <w:gridCol w:w="992"/>
        <w:gridCol w:w="992"/>
        <w:gridCol w:w="851"/>
        <w:gridCol w:w="850"/>
      </w:tblGrid>
      <w:tr w:rsidR="00605BB7" w:rsidRPr="00EF4EB9" w:rsidTr="00492057">
        <w:tc>
          <w:tcPr>
            <w:tcW w:w="2660" w:type="dxa"/>
            <w:gridSpan w:val="2"/>
          </w:tcPr>
          <w:p w:rsidR="00605BB7" w:rsidRPr="00EF4EB9" w:rsidRDefault="00605BB7" w:rsidP="008D11C1"/>
        </w:tc>
        <w:tc>
          <w:tcPr>
            <w:tcW w:w="850" w:type="dxa"/>
          </w:tcPr>
          <w:p w:rsidR="00605BB7" w:rsidRPr="00EF4EB9" w:rsidRDefault="00605BB7" w:rsidP="008D11C1"/>
        </w:tc>
        <w:tc>
          <w:tcPr>
            <w:tcW w:w="2694" w:type="dxa"/>
            <w:gridSpan w:val="3"/>
          </w:tcPr>
          <w:p w:rsidR="00605BB7" w:rsidRPr="00EF4EB9" w:rsidRDefault="00605BB7" w:rsidP="008D11C1">
            <w:r w:rsidRPr="00EF4EB9">
              <w:t>Cause of Death (%)</w:t>
            </w:r>
          </w:p>
        </w:tc>
        <w:tc>
          <w:tcPr>
            <w:tcW w:w="3685" w:type="dxa"/>
            <w:gridSpan w:val="4"/>
          </w:tcPr>
          <w:p w:rsidR="00605BB7" w:rsidRPr="00EF4EB9" w:rsidRDefault="00605BB7" w:rsidP="008D11C1">
            <w:r w:rsidRPr="00EF4EB9">
              <w:t>Average Number of Events</w:t>
            </w:r>
          </w:p>
        </w:tc>
      </w:tr>
      <w:tr w:rsidR="00B325C3" w:rsidRPr="00EF4EB9" w:rsidTr="00492057">
        <w:tc>
          <w:tcPr>
            <w:tcW w:w="675" w:type="dxa"/>
          </w:tcPr>
          <w:p w:rsidR="00605BB7" w:rsidRPr="00EF4EB9" w:rsidRDefault="00605BB7" w:rsidP="008D11C1"/>
        </w:tc>
        <w:tc>
          <w:tcPr>
            <w:tcW w:w="1985" w:type="dxa"/>
          </w:tcPr>
          <w:p w:rsidR="00605BB7" w:rsidRPr="00EF4EB9" w:rsidRDefault="00605BB7" w:rsidP="008D11C1">
            <w:r w:rsidRPr="00EF4EB9">
              <w:t>Strategy</w:t>
            </w:r>
          </w:p>
        </w:tc>
        <w:tc>
          <w:tcPr>
            <w:tcW w:w="850" w:type="dxa"/>
          </w:tcPr>
          <w:p w:rsidR="00605BB7" w:rsidRPr="00EF4EB9" w:rsidRDefault="00605BB7" w:rsidP="008D11C1">
            <w:r w:rsidRPr="00EF4EB9">
              <w:t>Life Years</w:t>
            </w:r>
          </w:p>
        </w:tc>
        <w:tc>
          <w:tcPr>
            <w:tcW w:w="851" w:type="dxa"/>
          </w:tcPr>
          <w:p w:rsidR="00605BB7" w:rsidRPr="00EF4EB9" w:rsidRDefault="00605BB7" w:rsidP="008D11C1">
            <w:r w:rsidRPr="00EF4EB9">
              <w:t>Stroke</w:t>
            </w:r>
          </w:p>
        </w:tc>
        <w:tc>
          <w:tcPr>
            <w:tcW w:w="992" w:type="dxa"/>
          </w:tcPr>
          <w:p w:rsidR="00605BB7" w:rsidRPr="00EF4EB9" w:rsidRDefault="00605BB7" w:rsidP="008D11C1">
            <w:r w:rsidRPr="00EF4EB9">
              <w:t>Bleed</w:t>
            </w:r>
          </w:p>
        </w:tc>
        <w:tc>
          <w:tcPr>
            <w:tcW w:w="851" w:type="dxa"/>
          </w:tcPr>
          <w:p w:rsidR="00605BB7" w:rsidRPr="00EF4EB9" w:rsidRDefault="00605BB7" w:rsidP="008D11C1">
            <w:r w:rsidRPr="00EF4EB9">
              <w:t>Other</w:t>
            </w:r>
          </w:p>
        </w:tc>
        <w:tc>
          <w:tcPr>
            <w:tcW w:w="992" w:type="dxa"/>
          </w:tcPr>
          <w:p w:rsidR="00605BB7" w:rsidRPr="00EF4EB9" w:rsidRDefault="00605BB7" w:rsidP="008D11C1">
            <w:r w:rsidRPr="00EF4EB9">
              <w:t>Dep</w:t>
            </w:r>
            <w:r w:rsidR="00B325C3">
              <w:t xml:space="preserve">. </w:t>
            </w:r>
            <w:r w:rsidRPr="00EF4EB9">
              <w:t>Strokes</w:t>
            </w:r>
          </w:p>
        </w:tc>
        <w:tc>
          <w:tcPr>
            <w:tcW w:w="992" w:type="dxa"/>
          </w:tcPr>
          <w:p w:rsidR="00605BB7" w:rsidRPr="00EF4EB9" w:rsidRDefault="00605BB7" w:rsidP="008D11C1">
            <w:r w:rsidRPr="00EF4EB9">
              <w:t>Ind</w:t>
            </w:r>
            <w:r w:rsidR="00B325C3">
              <w:t>.</w:t>
            </w:r>
            <w:r w:rsidRPr="00EF4EB9">
              <w:t xml:space="preserve"> Strokes</w:t>
            </w:r>
          </w:p>
        </w:tc>
        <w:tc>
          <w:tcPr>
            <w:tcW w:w="851" w:type="dxa"/>
          </w:tcPr>
          <w:p w:rsidR="00605BB7" w:rsidRPr="00EF4EB9" w:rsidRDefault="00605BB7" w:rsidP="008D11C1">
            <w:r w:rsidRPr="00EF4EB9">
              <w:t>ICH</w:t>
            </w:r>
          </w:p>
        </w:tc>
        <w:tc>
          <w:tcPr>
            <w:tcW w:w="850" w:type="dxa"/>
          </w:tcPr>
          <w:p w:rsidR="00605BB7" w:rsidRPr="00EF4EB9" w:rsidRDefault="00605BB7" w:rsidP="008D11C1">
            <w:r w:rsidRPr="00EF4EB9">
              <w:t>NICH</w:t>
            </w:r>
          </w:p>
        </w:tc>
      </w:tr>
      <w:tr w:rsidR="00B325C3" w:rsidRPr="00EF4EB9" w:rsidTr="00492057">
        <w:trPr>
          <w:trHeight w:val="558"/>
        </w:trPr>
        <w:tc>
          <w:tcPr>
            <w:tcW w:w="675" w:type="dxa"/>
            <w:vMerge w:val="restart"/>
            <w:textDirection w:val="btLr"/>
          </w:tcPr>
          <w:p w:rsidR="00605BB7" w:rsidRPr="00EF4EB9" w:rsidRDefault="00605BB7" w:rsidP="008D11C1">
            <w:r>
              <w:lastRenderedPageBreak/>
              <w:t>CHADS</w:t>
            </w:r>
            <w:r w:rsidRPr="00DF7E46">
              <w:rPr>
                <w:vertAlign w:val="subscript"/>
              </w:rPr>
              <w:t>2</w:t>
            </w:r>
          </w:p>
        </w:tc>
        <w:tc>
          <w:tcPr>
            <w:tcW w:w="1985" w:type="dxa"/>
          </w:tcPr>
          <w:p w:rsidR="00605BB7" w:rsidRPr="00EF4EB9" w:rsidRDefault="00605BB7" w:rsidP="008D11C1">
            <w:r w:rsidRPr="00EF4EB9">
              <w:t>No initial treatment</w:t>
            </w:r>
          </w:p>
        </w:tc>
        <w:tc>
          <w:tcPr>
            <w:tcW w:w="850" w:type="dxa"/>
            <w:vAlign w:val="bottom"/>
          </w:tcPr>
          <w:p w:rsidR="00605BB7" w:rsidRPr="00EF4EB9" w:rsidRDefault="00605BB7" w:rsidP="008D11C1">
            <w:r w:rsidRPr="00EF4EB9">
              <w:t>20.024</w:t>
            </w:r>
          </w:p>
        </w:tc>
        <w:tc>
          <w:tcPr>
            <w:tcW w:w="851" w:type="dxa"/>
            <w:vAlign w:val="bottom"/>
          </w:tcPr>
          <w:p w:rsidR="00605BB7" w:rsidRPr="00EF4EB9" w:rsidRDefault="00605BB7" w:rsidP="008D11C1">
            <w:r w:rsidRPr="00EF4EB9">
              <w:t>12.2</w:t>
            </w:r>
          </w:p>
        </w:tc>
        <w:tc>
          <w:tcPr>
            <w:tcW w:w="992" w:type="dxa"/>
            <w:vAlign w:val="bottom"/>
          </w:tcPr>
          <w:p w:rsidR="00605BB7" w:rsidRPr="00EF4EB9" w:rsidRDefault="00605BB7" w:rsidP="008D11C1">
            <w:r w:rsidRPr="00EF4EB9">
              <w:t>1.4</w:t>
            </w:r>
          </w:p>
        </w:tc>
        <w:tc>
          <w:tcPr>
            <w:tcW w:w="851" w:type="dxa"/>
            <w:vAlign w:val="bottom"/>
          </w:tcPr>
          <w:p w:rsidR="00605BB7" w:rsidRPr="00EF4EB9" w:rsidRDefault="00605BB7" w:rsidP="008D11C1">
            <w:r w:rsidRPr="00EF4EB9">
              <w:t>86.4</w:t>
            </w:r>
          </w:p>
        </w:tc>
        <w:tc>
          <w:tcPr>
            <w:tcW w:w="992" w:type="dxa"/>
            <w:vAlign w:val="bottom"/>
          </w:tcPr>
          <w:p w:rsidR="00605BB7" w:rsidRPr="00EF4EB9" w:rsidRDefault="00605BB7" w:rsidP="008D11C1">
            <w:r w:rsidRPr="00EF4EB9">
              <w:t>0.115</w:t>
            </w:r>
          </w:p>
        </w:tc>
        <w:tc>
          <w:tcPr>
            <w:tcW w:w="992" w:type="dxa"/>
            <w:vAlign w:val="bottom"/>
          </w:tcPr>
          <w:p w:rsidR="00605BB7" w:rsidRPr="00EF4EB9" w:rsidRDefault="00605BB7" w:rsidP="008D11C1">
            <w:r w:rsidRPr="00EF4EB9">
              <w:t>0.262</w:t>
            </w:r>
          </w:p>
        </w:tc>
        <w:tc>
          <w:tcPr>
            <w:tcW w:w="851" w:type="dxa"/>
            <w:vAlign w:val="bottom"/>
          </w:tcPr>
          <w:p w:rsidR="00605BB7" w:rsidRPr="00EF4EB9" w:rsidRDefault="00605BB7" w:rsidP="008D11C1">
            <w:r w:rsidRPr="00EF4EB9">
              <w:t>0.011</w:t>
            </w:r>
          </w:p>
        </w:tc>
        <w:tc>
          <w:tcPr>
            <w:tcW w:w="850" w:type="dxa"/>
            <w:vAlign w:val="bottom"/>
          </w:tcPr>
          <w:p w:rsidR="00605BB7" w:rsidRPr="00EF4EB9" w:rsidRDefault="00605BB7" w:rsidP="008D11C1">
            <w:r w:rsidRPr="00EF4EB9">
              <w:t>0.082</w:t>
            </w:r>
          </w:p>
        </w:tc>
      </w:tr>
      <w:tr w:rsidR="00B325C3" w:rsidRPr="00EF4EB9" w:rsidTr="00492057">
        <w:trPr>
          <w:trHeight w:val="1150"/>
        </w:trPr>
        <w:tc>
          <w:tcPr>
            <w:tcW w:w="675" w:type="dxa"/>
            <w:vMerge/>
            <w:tcBorders>
              <w:bottom w:val="single" w:sz="4" w:space="0" w:color="auto"/>
            </w:tcBorders>
          </w:tcPr>
          <w:p w:rsidR="00605BB7" w:rsidRPr="00EF4EB9" w:rsidRDefault="00605BB7" w:rsidP="008D11C1"/>
        </w:tc>
        <w:tc>
          <w:tcPr>
            <w:tcW w:w="1985" w:type="dxa"/>
            <w:tcBorders>
              <w:bottom w:val="single" w:sz="4" w:space="0" w:color="auto"/>
            </w:tcBorders>
          </w:tcPr>
          <w:p w:rsidR="00605BB7" w:rsidRDefault="00605BB7" w:rsidP="008D11C1">
            <w:r w:rsidRPr="00EF4EB9">
              <w:t>TTE with those diagnosed with LA ABN</w:t>
            </w:r>
          </w:p>
          <w:p w:rsidR="00605BB7" w:rsidRPr="00EF4EB9" w:rsidRDefault="00605BB7" w:rsidP="008D11C1">
            <w:r w:rsidRPr="00EF4EB9">
              <w:t>treated</w:t>
            </w:r>
          </w:p>
        </w:tc>
        <w:tc>
          <w:tcPr>
            <w:tcW w:w="850" w:type="dxa"/>
            <w:tcBorders>
              <w:bottom w:val="single" w:sz="4" w:space="0" w:color="auto"/>
            </w:tcBorders>
            <w:vAlign w:val="bottom"/>
          </w:tcPr>
          <w:p w:rsidR="00605BB7" w:rsidRPr="00EF4EB9" w:rsidRDefault="00605BB7" w:rsidP="008D11C1">
            <w:r w:rsidRPr="00EF4EB9">
              <w:t>20.175</w:t>
            </w:r>
          </w:p>
        </w:tc>
        <w:tc>
          <w:tcPr>
            <w:tcW w:w="851" w:type="dxa"/>
            <w:tcBorders>
              <w:bottom w:val="single" w:sz="4" w:space="0" w:color="auto"/>
            </w:tcBorders>
            <w:vAlign w:val="bottom"/>
          </w:tcPr>
          <w:p w:rsidR="00605BB7" w:rsidRPr="00EF4EB9" w:rsidRDefault="00605BB7" w:rsidP="008D11C1">
            <w:r w:rsidRPr="00EF4EB9">
              <w:t>10.9</w:t>
            </w:r>
          </w:p>
        </w:tc>
        <w:tc>
          <w:tcPr>
            <w:tcW w:w="992" w:type="dxa"/>
            <w:tcBorders>
              <w:bottom w:val="single" w:sz="4" w:space="0" w:color="auto"/>
            </w:tcBorders>
            <w:vAlign w:val="bottom"/>
          </w:tcPr>
          <w:p w:rsidR="00605BB7" w:rsidRPr="00EF4EB9" w:rsidRDefault="00605BB7" w:rsidP="008D11C1">
            <w:r w:rsidRPr="00EF4EB9">
              <w:t>1.8</w:t>
            </w:r>
          </w:p>
        </w:tc>
        <w:tc>
          <w:tcPr>
            <w:tcW w:w="851" w:type="dxa"/>
            <w:tcBorders>
              <w:bottom w:val="single" w:sz="4" w:space="0" w:color="auto"/>
            </w:tcBorders>
            <w:vAlign w:val="bottom"/>
          </w:tcPr>
          <w:p w:rsidR="00605BB7" w:rsidRPr="00EF4EB9" w:rsidRDefault="00605BB7" w:rsidP="008D11C1">
            <w:r w:rsidRPr="00EF4EB9">
              <w:t>87.3</w:t>
            </w:r>
          </w:p>
        </w:tc>
        <w:tc>
          <w:tcPr>
            <w:tcW w:w="992" w:type="dxa"/>
            <w:tcBorders>
              <w:bottom w:val="single" w:sz="4" w:space="0" w:color="auto"/>
            </w:tcBorders>
            <w:vAlign w:val="bottom"/>
          </w:tcPr>
          <w:p w:rsidR="00605BB7" w:rsidRPr="00EF4EB9" w:rsidRDefault="00605BB7" w:rsidP="008D11C1">
            <w:r w:rsidRPr="00EF4EB9">
              <w:t>0.104</w:t>
            </w:r>
          </w:p>
        </w:tc>
        <w:tc>
          <w:tcPr>
            <w:tcW w:w="992" w:type="dxa"/>
            <w:tcBorders>
              <w:bottom w:val="single" w:sz="4" w:space="0" w:color="auto"/>
            </w:tcBorders>
            <w:vAlign w:val="bottom"/>
          </w:tcPr>
          <w:p w:rsidR="00605BB7" w:rsidRPr="00EF4EB9" w:rsidRDefault="00605BB7" w:rsidP="008D11C1">
            <w:r w:rsidRPr="00EF4EB9">
              <w:t>0.235</w:t>
            </w:r>
          </w:p>
        </w:tc>
        <w:tc>
          <w:tcPr>
            <w:tcW w:w="851" w:type="dxa"/>
            <w:tcBorders>
              <w:bottom w:val="single" w:sz="4" w:space="0" w:color="auto"/>
            </w:tcBorders>
            <w:vAlign w:val="bottom"/>
          </w:tcPr>
          <w:p w:rsidR="00605BB7" w:rsidRPr="00EF4EB9" w:rsidRDefault="00605BB7" w:rsidP="008D11C1">
            <w:r w:rsidRPr="00EF4EB9">
              <w:t>0.014</w:t>
            </w:r>
          </w:p>
        </w:tc>
        <w:tc>
          <w:tcPr>
            <w:tcW w:w="850" w:type="dxa"/>
            <w:tcBorders>
              <w:bottom w:val="single" w:sz="4" w:space="0" w:color="auto"/>
            </w:tcBorders>
            <w:vAlign w:val="bottom"/>
          </w:tcPr>
          <w:p w:rsidR="00605BB7" w:rsidRPr="00EF4EB9" w:rsidRDefault="00605BB7" w:rsidP="008D11C1">
            <w:r w:rsidRPr="00EF4EB9">
              <w:t>0.109</w:t>
            </w:r>
          </w:p>
        </w:tc>
      </w:tr>
      <w:tr w:rsidR="00B325C3" w:rsidRPr="00EF4EB9" w:rsidTr="00492057">
        <w:trPr>
          <w:cantSplit/>
          <w:trHeight w:val="535"/>
        </w:trPr>
        <w:tc>
          <w:tcPr>
            <w:tcW w:w="675" w:type="dxa"/>
            <w:vMerge w:val="restart"/>
            <w:textDirection w:val="btLr"/>
          </w:tcPr>
          <w:p w:rsidR="00605BB7" w:rsidRPr="00EF4EB9" w:rsidRDefault="00605BB7" w:rsidP="008D11C1">
            <w:r>
              <w:t>CHA</w:t>
            </w:r>
            <w:r w:rsidR="00DF7E46" w:rsidRPr="00DF7E46">
              <w:rPr>
                <w:vertAlign w:val="subscript"/>
              </w:rPr>
              <w:t>2</w:t>
            </w:r>
            <w:r>
              <w:t>DS</w:t>
            </w:r>
            <w:r w:rsidRPr="00DF7E46">
              <w:rPr>
                <w:vertAlign w:val="subscript"/>
              </w:rPr>
              <w:t>2</w:t>
            </w:r>
            <w:r>
              <w:t>-VASc</w:t>
            </w:r>
          </w:p>
        </w:tc>
        <w:tc>
          <w:tcPr>
            <w:tcW w:w="1985" w:type="dxa"/>
            <w:tcBorders>
              <w:bottom w:val="single" w:sz="4" w:space="0" w:color="auto"/>
            </w:tcBorders>
          </w:tcPr>
          <w:p w:rsidR="00605BB7" w:rsidRPr="00EF4EB9" w:rsidRDefault="00605BB7" w:rsidP="008D11C1">
            <w:r w:rsidRPr="00EF4EB9">
              <w:t>No initial treatment</w:t>
            </w:r>
          </w:p>
        </w:tc>
        <w:tc>
          <w:tcPr>
            <w:tcW w:w="850" w:type="dxa"/>
            <w:tcBorders>
              <w:bottom w:val="single" w:sz="4" w:space="0" w:color="auto"/>
            </w:tcBorders>
          </w:tcPr>
          <w:p w:rsidR="00605BB7" w:rsidRPr="00EF4EB9" w:rsidRDefault="00605BB7" w:rsidP="008D11C1">
            <w:r w:rsidRPr="00EF4EB9">
              <w:t>19.777</w:t>
            </w:r>
          </w:p>
        </w:tc>
        <w:tc>
          <w:tcPr>
            <w:tcW w:w="851" w:type="dxa"/>
            <w:tcBorders>
              <w:bottom w:val="single" w:sz="4" w:space="0" w:color="auto"/>
            </w:tcBorders>
          </w:tcPr>
          <w:p w:rsidR="00605BB7" w:rsidRPr="00EF4EB9" w:rsidRDefault="00605BB7" w:rsidP="008D11C1">
            <w:r w:rsidRPr="00EF4EB9">
              <w:t>14.6</w:t>
            </w:r>
          </w:p>
        </w:tc>
        <w:tc>
          <w:tcPr>
            <w:tcW w:w="992" w:type="dxa"/>
            <w:tcBorders>
              <w:bottom w:val="single" w:sz="4" w:space="0" w:color="auto"/>
            </w:tcBorders>
          </w:tcPr>
          <w:p w:rsidR="00605BB7" w:rsidRPr="00EF4EB9" w:rsidRDefault="00605BB7" w:rsidP="008D11C1">
            <w:r w:rsidRPr="00EF4EB9">
              <w:t>1.6</w:t>
            </w:r>
          </w:p>
        </w:tc>
        <w:tc>
          <w:tcPr>
            <w:tcW w:w="851" w:type="dxa"/>
            <w:tcBorders>
              <w:bottom w:val="single" w:sz="4" w:space="0" w:color="auto"/>
            </w:tcBorders>
          </w:tcPr>
          <w:p w:rsidR="00605BB7" w:rsidRPr="00EF4EB9" w:rsidRDefault="00605BB7" w:rsidP="008D11C1">
            <w:r w:rsidRPr="00EF4EB9">
              <w:t>83.9</w:t>
            </w:r>
          </w:p>
        </w:tc>
        <w:tc>
          <w:tcPr>
            <w:tcW w:w="992" w:type="dxa"/>
            <w:tcBorders>
              <w:bottom w:val="single" w:sz="4" w:space="0" w:color="auto"/>
            </w:tcBorders>
          </w:tcPr>
          <w:p w:rsidR="00605BB7" w:rsidRPr="00EF4EB9" w:rsidRDefault="00605BB7" w:rsidP="008D11C1">
            <w:r w:rsidRPr="00EF4EB9">
              <w:t>0.140</w:t>
            </w:r>
          </w:p>
        </w:tc>
        <w:tc>
          <w:tcPr>
            <w:tcW w:w="992" w:type="dxa"/>
            <w:tcBorders>
              <w:bottom w:val="single" w:sz="4" w:space="0" w:color="auto"/>
            </w:tcBorders>
          </w:tcPr>
          <w:p w:rsidR="00605BB7" w:rsidRPr="00EF4EB9" w:rsidRDefault="00605BB7" w:rsidP="008D11C1">
            <w:r w:rsidRPr="00EF4EB9">
              <w:t>0.311</w:t>
            </w:r>
          </w:p>
        </w:tc>
        <w:tc>
          <w:tcPr>
            <w:tcW w:w="851" w:type="dxa"/>
            <w:tcBorders>
              <w:bottom w:val="single" w:sz="4" w:space="0" w:color="auto"/>
            </w:tcBorders>
          </w:tcPr>
          <w:p w:rsidR="00605BB7" w:rsidRPr="00EF4EB9" w:rsidRDefault="00605BB7" w:rsidP="008D11C1">
            <w:r w:rsidRPr="00EF4EB9">
              <w:t>0.012</w:t>
            </w:r>
          </w:p>
        </w:tc>
        <w:tc>
          <w:tcPr>
            <w:tcW w:w="850" w:type="dxa"/>
            <w:tcBorders>
              <w:bottom w:val="single" w:sz="4" w:space="0" w:color="auto"/>
            </w:tcBorders>
          </w:tcPr>
          <w:p w:rsidR="00605BB7" w:rsidRPr="00EF4EB9" w:rsidRDefault="00605BB7" w:rsidP="008D11C1">
            <w:r w:rsidRPr="00EF4EB9">
              <w:t>0.092</w:t>
            </w:r>
          </w:p>
        </w:tc>
      </w:tr>
      <w:tr w:rsidR="00B325C3" w:rsidRPr="00EF4EB9" w:rsidTr="00492057">
        <w:trPr>
          <w:trHeight w:val="135"/>
        </w:trPr>
        <w:tc>
          <w:tcPr>
            <w:tcW w:w="675" w:type="dxa"/>
            <w:vMerge/>
            <w:tcBorders>
              <w:bottom w:val="single" w:sz="4" w:space="0" w:color="auto"/>
            </w:tcBorders>
          </w:tcPr>
          <w:p w:rsidR="00605BB7" w:rsidRPr="00EF4EB9" w:rsidRDefault="00605BB7" w:rsidP="008D11C1"/>
        </w:tc>
        <w:tc>
          <w:tcPr>
            <w:tcW w:w="1985" w:type="dxa"/>
            <w:tcBorders>
              <w:bottom w:val="single" w:sz="4" w:space="0" w:color="auto"/>
            </w:tcBorders>
          </w:tcPr>
          <w:p w:rsidR="00605BB7" w:rsidRDefault="00605BB7" w:rsidP="008D11C1">
            <w:r w:rsidRPr="00EF4EB9">
              <w:t>TTE with those diagnosed with LA ABN</w:t>
            </w:r>
          </w:p>
          <w:p w:rsidR="00605BB7" w:rsidRPr="00EF4EB9" w:rsidRDefault="00605BB7" w:rsidP="008D11C1">
            <w:r w:rsidRPr="00EF4EB9">
              <w:t>treated</w:t>
            </w:r>
          </w:p>
        </w:tc>
        <w:tc>
          <w:tcPr>
            <w:tcW w:w="850" w:type="dxa"/>
            <w:tcBorders>
              <w:bottom w:val="single" w:sz="4" w:space="0" w:color="auto"/>
            </w:tcBorders>
            <w:vAlign w:val="bottom"/>
          </w:tcPr>
          <w:p w:rsidR="00605BB7" w:rsidRPr="00EF4EB9" w:rsidRDefault="00605BB7" w:rsidP="008D11C1">
            <w:r w:rsidRPr="00EF4EB9">
              <w:t>19.823</w:t>
            </w:r>
          </w:p>
        </w:tc>
        <w:tc>
          <w:tcPr>
            <w:tcW w:w="851" w:type="dxa"/>
            <w:tcBorders>
              <w:bottom w:val="single" w:sz="4" w:space="0" w:color="auto"/>
            </w:tcBorders>
            <w:vAlign w:val="bottom"/>
          </w:tcPr>
          <w:p w:rsidR="00605BB7" w:rsidRPr="00EF4EB9" w:rsidRDefault="00605BB7" w:rsidP="008D11C1">
            <w:r w:rsidRPr="00EF4EB9">
              <w:t>14.0</w:t>
            </w:r>
          </w:p>
        </w:tc>
        <w:tc>
          <w:tcPr>
            <w:tcW w:w="992" w:type="dxa"/>
            <w:tcBorders>
              <w:bottom w:val="single" w:sz="4" w:space="0" w:color="auto"/>
            </w:tcBorders>
            <w:vAlign w:val="bottom"/>
          </w:tcPr>
          <w:p w:rsidR="00605BB7" w:rsidRPr="00EF4EB9" w:rsidRDefault="00605BB7" w:rsidP="008D11C1">
            <w:r w:rsidRPr="00EF4EB9">
              <w:t>1.9</w:t>
            </w:r>
          </w:p>
        </w:tc>
        <w:tc>
          <w:tcPr>
            <w:tcW w:w="851" w:type="dxa"/>
            <w:tcBorders>
              <w:bottom w:val="single" w:sz="4" w:space="0" w:color="auto"/>
            </w:tcBorders>
            <w:vAlign w:val="bottom"/>
          </w:tcPr>
          <w:p w:rsidR="00605BB7" w:rsidRPr="00EF4EB9" w:rsidRDefault="00605BB7" w:rsidP="008D11C1">
            <w:r w:rsidRPr="00EF4EB9">
              <w:t>84.1</w:t>
            </w:r>
          </w:p>
        </w:tc>
        <w:tc>
          <w:tcPr>
            <w:tcW w:w="992" w:type="dxa"/>
            <w:tcBorders>
              <w:bottom w:val="single" w:sz="4" w:space="0" w:color="auto"/>
            </w:tcBorders>
            <w:vAlign w:val="bottom"/>
          </w:tcPr>
          <w:p w:rsidR="00605BB7" w:rsidRPr="00EF4EB9" w:rsidRDefault="00605BB7" w:rsidP="008D11C1">
            <w:r w:rsidRPr="00EF4EB9">
              <w:t>0.136</w:t>
            </w:r>
          </w:p>
        </w:tc>
        <w:tc>
          <w:tcPr>
            <w:tcW w:w="992" w:type="dxa"/>
            <w:tcBorders>
              <w:bottom w:val="single" w:sz="4" w:space="0" w:color="auto"/>
            </w:tcBorders>
            <w:vAlign w:val="bottom"/>
          </w:tcPr>
          <w:p w:rsidR="00605BB7" w:rsidRPr="00EF4EB9" w:rsidRDefault="00605BB7" w:rsidP="008D11C1">
            <w:r w:rsidRPr="00EF4EB9">
              <w:t>0.298</w:t>
            </w:r>
          </w:p>
        </w:tc>
        <w:tc>
          <w:tcPr>
            <w:tcW w:w="851" w:type="dxa"/>
            <w:tcBorders>
              <w:bottom w:val="single" w:sz="4" w:space="0" w:color="auto"/>
            </w:tcBorders>
            <w:vAlign w:val="bottom"/>
          </w:tcPr>
          <w:p w:rsidR="00605BB7" w:rsidRPr="00EF4EB9" w:rsidRDefault="00605BB7" w:rsidP="008D11C1">
            <w:r w:rsidRPr="00EF4EB9">
              <w:t>0.014</w:t>
            </w:r>
          </w:p>
        </w:tc>
        <w:tc>
          <w:tcPr>
            <w:tcW w:w="850" w:type="dxa"/>
            <w:tcBorders>
              <w:bottom w:val="single" w:sz="4" w:space="0" w:color="auto"/>
            </w:tcBorders>
            <w:vAlign w:val="bottom"/>
          </w:tcPr>
          <w:p w:rsidR="00605BB7" w:rsidRPr="00EF4EB9" w:rsidRDefault="00605BB7" w:rsidP="008D11C1">
            <w:r w:rsidRPr="00EF4EB9">
              <w:t>0.111</w:t>
            </w:r>
          </w:p>
        </w:tc>
      </w:tr>
      <w:tr w:rsidR="00605BB7" w:rsidRPr="00EF4EB9" w:rsidTr="00492057">
        <w:tc>
          <w:tcPr>
            <w:tcW w:w="9889" w:type="dxa"/>
            <w:gridSpan w:val="10"/>
            <w:tcBorders>
              <w:top w:val="nil"/>
              <w:left w:val="nil"/>
              <w:bottom w:val="nil"/>
              <w:right w:val="nil"/>
            </w:tcBorders>
          </w:tcPr>
          <w:p w:rsidR="00605BB7" w:rsidRPr="00EF4EB9" w:rsidRDefault="00605BB7" w:rsidP="008D11C1">
            <w:r w:rsidRPr="00EF4EB9">
              <w:t xml:space="preserve">TTE = Transthoracic Echocardiography; LA ABN = Left Atrial Abnormality; ICH = Intracranial </w:t>
            </w:r>
            <w:proofErr w:type="spellStart"/>
            <w:r w:rsidRPr="00EF4EB9">
              <w:t>haemorrhage</w:t>
            </w:r>
            <w:proofErr w:type="spellEnd"/>
            <w:r w:rsidRPr="00EF4EB9">
              <w:t xml:space="preserve">;  NICH = Non- intracranial </w:t>
            </w:r>
            <w:proofErr w:type="spellStart"/>
            <w:r w:rsidRPr="00EF4EB9">
              <w:t>haemorrhage</w:t>
            </w:r>
            <w:proofErr w:type="spellEnd"/>
            <w:r w:rsidRPr="00EF4EB9">
              <w:t xml:space="preserve"> </w:t>
            </w:r>
          </w:p>
        </w:tc>
      </w:tr>
    </w:tbl>
    <w:p w:rsidR="00DF4463" w:rsidRDefault="00492057" w:rsidP="008D11C1">
      <w:pPr>
        <w:pStyle w:val="Caption"/>
      </w:pPr>
      <w:bookmarkStart w:id="263" w:name="_Ref321238070"/>
      <w:r>
        <w:t xml:space="preserve">Table </w:t>
      </w:r>
      <w:r w:rsidR="00ED065B">
        <w:fldChar w:fldCharType="begin"/>
      </w:r>
      <w:r w:rsidR="00ED065B">
        <w:instrText xml:space="preserve"> SEQ Table \* ARABIC </w:instrText>
      </w:r>
      <w:r w:rsidR="00ED065B">
        <w:fldChar w:fldCharType="separate"/>
      </w:r>
      <w:r w:rsidR="00F15320">
        <w:rPr>
          <w:noProof/>
        </w:rPr>
        <w:t>4</w:t>
      </w:r>
      <w:r w:rsidR="00ED065B">
        <w:rPr>
          <w:noProof/>
        </w:rPr>
        <w:fldChar w:fldCharType="end"/>
      </w:r>
      <w:bookmarkEnd w:id="263"/>
      <w:r>
        <w:t xml:space="preserve"> Simulated patient experience: patients with a clinical prediction rule score of 0</w:t>
      </w:r>
    </w:p>
    <w:p w:rsidR="000F1109" w:rsidRDefault="00ED065B" w:rsidP="008D11C1">
      <w:r>
        <w:fldChar w:fldCharType="begin"/>
      </w:r>
      <w:r>
        <w:instrText xml:space="preserve"> REF _Ref321240189 \h </w:instrText>
      </w:r>
      <w:r>
        <w:fldChar w:fldCharType="separate"/>
      </w:r>
      <w:ins w:id="264" w:author="Jon Minton" w:date="2012-04-03T18:14:00Z">
        <w:r w:rsidR="00F5273F">
          <w:t>Table 4</w:t>
        </w:r>
      </w:ins>
      <w:r>
        <w:fldChar w:fldCharType="end"/>
      </w:r>
      <w:r w:rsidR="00F5273F">
        <w:t xml:space="preserve"> </w:t>
      </w:r>
      <w:r w:rsidR="000F1109">
        <w:t xml:space="preserve">shows the costs, QALYs, and ICERs associated with the simulated patient experiences presented in </w:t>
      </w:r>
      <w:r>
        <w:fldChar w:fldCharType="begin"/>
      </w:r>
      <w:r>
        <w:instrText xml:space="preserve"> REF _Ref321238070 \h </w:instrText>
      </w:r>
      <w:r>
        <w:fldChar w:fldCharType="separate"/>
      </w:r>
      <w:ins w:id="265" w:author="Jon Minton" w:date="2012-04-03T18:14:00Z">
        <w:r w:rsidR="00F5273F">
          <w:t>Table 3</w:t>
        </w:r>
      </w:ins>
      <w:r>
        <w:fldChar w:fldCharType="end"/>
      </w:r>
      <w:r w:rsidR="000F1109">
        <w:t>. For CHADS</w:t>
      </w:r>
      <w:r w:rsidR="000F1109" w:rsidRPr="00B7598B">
        <w:rPr>
          <w:vertAlign w:val="subscript"/>
        </w:rPr>
        <w:t>2</w:t>
      </w:r>
      <w:r w:rsidR="000F1109">
        <w:t>, t</w:t>
      </w:r>
      <w:r w:rsidR="000F1109" w:rsidRPr="00EF4EB9">
        <w:t>he mean cost per QALY of below £6000 indicates that TTE is likely to be</w:t>
      </w:r>
      <w:r w:rsidR="000F1109">
        <w:t xml:space="preserve"> a</w:t>
      </w:r>
      <w:r w:rsidR="000F1109" w:rsidRPr="00EF4EB9">
        <w:t xml:space="preserve"> cost effective use of resources</w:t>
      </w:r>
      <w:r w:rsidR="000F1109">
        <w:t>. For CHA</w:t>
      </w:r>
      <w:r w:rsidR="00B7598B" w:rsidRPr="00B7598B">
        <w:rPr>
          <w:vertAlign w:val="subscript"/>
        </w:rPr>
        <w:t>2</w:t>
      </w:r>
      <w:r w:rsidR="000F1109">
        <w:t>DS</w:t>
      </w:r>
      <w:r w:rsidR="000F1109" w:rsidRPr="00B7598B">
        <w:rPr>
          <w:vertAlign w:val="subscript"/>
        </w:rPr>
        <w:t>2</w:t>
      </w:r>
      <w:r w:rsidR="000F1109">
        <w:t>-VASc, the mean cost per QALY of almost £50,000 suggests TTE is not likely to be cost-effective in this context.</w:t>
      </w:r>
      <w:r w:rsidR="00F5273F">
        <w:t xml:space="preserve"> The</w:t>
      </w:r>
      <w:r w:rsidR="000C54E6">
        <w:t xml:space="preserve"> 95% credible intervals for the ICERs range from dominating to almost £30,000 per QALY for CHADS</w:t>
      </w:r>
      <w:r w:rsidR="000C54E6" w:rsidRPr="00F5273F">
        <w:rPr>
          <w:vertAlign w:val="subscript"/>
        </w:rPr>
        <w:t>2</w:t>
      </w:r>
      <w:r w:rsidR="000C54E6">
        <w:t>, and from less than £6,000 to dominated for CHA</w:t>
      </w:r>
      <w:r w:rsidR="00E36064" w:rsidRPr="00E36064">
        <w:rPr>
          <w:vertAlign w:val="subscript"/>
        </w:rPr>
        <w:t>2</w:t>
      </w:r>
      <w:r w:rsidR="000C54E6">
        <w:t>DS</w:t>
      </w:r>
      <w:r w:rsidR="000C54E6" w:rsidRPr="00E36064">
        <w:rPr>
          <w:vertAlign w:val="subscript"/>
        </w:rPr>
        <w:t>2</w:t>
      </w:r>
      <w:r w:rsidR="000C54E6">
        <w:t>-VASc. These correspond directly to the joint estimation of costs and QALYs resulting from the PSA, as shown in figure 2(a) and figure 2(b). For figure 2(a) (CHADS</w:t>
      </w:r>
      <w:r w:rsidR="000C54E6" w:rsidRPr="00FB3E31">
        <w:rPr>
          <w:vertAlign w:val="subscript"/>
        </w:rPr>
        <w:t>2</w:t>
      </w:r>
      <w:r w:rsidR="000C54E6">
        <w:t>), a significant proportion of the estimates are in the south east quadrant, indicating simple dominance over the baseline strategy. For figure 2(b) (CHA</w:t>
      </w:r>
      <w:r w:rsidR="00B7598B" w:rsidRPr="00B7598B">
        <w:rPr>
          <w:vertAlign w:val="subscript"/>
        </w:rPr>
        <w:t>2</w:t>
      </w:r>
      <w:r w:rsidR="00B7598B">
        <w:t>DS</w:t>
      </w:r>
      <w:r w:rsidR="00B7598B">
        <w:rPr>
          <w:vertAlign w:val="subscript"/>
        </w:rPr>
        <w:t>2</w:t>
      </w:r>
      <w:r w:rsidR="000C54E6">
        <w:t>-VAsc), a significant proportion of the estimates are in the north-west quadrant, indicating that the comparator strategy (CHA</w:t>
      </w:r>
      <w:r w:rsidR="00B7598B" w:rsidRPr="00B7598B">
        <w:rPr>
          <w:vertAlign w:val="subscript"/>
        </w:rPr>
        <w:t>2</w:t>
      </w:r>
      <w:r w:rsidR="000C54E6">
        <w:t>DS</w:t>
      </w:r>
      <w:r w:rsidR="000C54E6" w:rsidRPr="00B7598B">
        <w:rPr>
          <w:vertAlign w:val="subscript"/>
        </w:rPr>
        <w:t>2</w:t>
      </w:r>
      <w:r w:rsidR="000C54E6">
        <w:t>-VASc with TTE) is dominated by the baseline strategy (CHA</w:t>
      </w:r>
      <w:r w:rsidR="00B7598B" w:rsidRPr="00B7598B">
        <w:rPr>
          <w:vertAlign w:val="subscript"/>
        </w:rPr>
        <w:t>2</w:t>
      </w:r>
      <w:r w:rsidR="000C54E6">
        <w:t>DS</w:t>
      </w:r>
      <w:r w:rsidR="000C54E6" w:rsidRPr="00B7598B">
        <w:rPr>
          <w:vertAlign w:val="subscript"/>
        </w:rPr>
        <w:t>2</w:t>
      </w:r>
      <w:r w:rsidR="000C54E6">
        <w:t xml:space="preserve">-VASc alone). </w:t>
      </w:r>
    </w:p>
    <w:tbl>
      <w:tblPr>
        <w:tblStyle w:val="TableGrid"/>
        <w:tblW w:w="9251" w:type="dxa"/>
        <w:tblLook w:val="04A0" w:firstRow="1" w:lastRow="0" w:firstColumn="1" w:lastColumn="0" w:noHBand="0" w:noVBand="1"/>
      </w:tblPr>
      <w:tblGrid>
        <w:gridCol w:w="673"/>
        <w:gridCol w:w="1835"/>
        <w:gridCol w:w="973"/>
        <w:gridCol w:w="843"/>
        <w:gridCol w:w="1318"/>
        <w:gridCol w:w="1318"/>
        <w:gridCol w:w="2241"/>
        <w:gridCol w:w="50"/>
      </w:tblGrid>
      <w:tr w:rsidR="000F1109" w:rsidRPr="00EF4EB9" w:rsidTr="00BD4F95">
        <w:trPr>
          <w:gridAfter w:val="1"/>
          <w:wAfter w:w="50" w:type="dxa"/>
        </w:trPr>
        <w:tc>
          <w:tcPr>
            <w:tcW w:w="2508" w:type="dxa"/>
            <w:gridSpan w:val="2"/>
          </w:tcPr>
          <w:p w:rsidR="000F1109" w:rsidRPr="00EF4EB9" w:rsidRDefault="000F1109" w:rsidP="008D11C1">
            <w:r w:rsidRPr="00EF4EB9">
              <w:t>Strategy</w:t>
            </w:r>
          </w:p>
        </w:tc>
        <w:tc>
          <w:tcPr>
            <w:tcW w:w="973" w:type="dxa"/>
          </w:tcPr>
          <w:p w:rsidR="000F1109" w:rsidRPr="00EF4EB9" w:rsidRDefault="000F1109" w:rsidP="008D11C1">
            <w:r w:rsidRPr="00EF4EB9">
              <w:t>Cost</w:t>
            </w:r>
          </w:p>
        </w:tc>
        <w:tc>
          <w:tcPr>
            <w:tcW w:w="843" w:type="dxa"/>
          </w:tcPr>
          <w:p w:rsidR="000F1109" w:rsidRPr="00EF4EB9" w:rsidRDefault="000F1109" w:rsidP="008D11C1">
            <w:r w:rsidRPr="00EF4EB9">
              <w:t>QALYs</w:t>
            </w:r>
          </w:p>
        </w:tc>
        <w:tc>
          <w:tcPr>
            <w:tcW w:w="1318" w:type="dxa"/>
            <w:tcBorders>
              <w:bottom w:val="single" w:sz="4" w:space="0" w:color="auto"/>
            </w:tcBorders>
          </w:tcPr>
          <w:p w:rsidR="000F1109" w:rsidRPr="00EF4EB9" w:rsidRDefault="000F1109" w:rsidP="008D11C1">
            <w:r w:rsidRPr="00EF4EB9">
              <w:t xml:space="preserve">Incremental Cost </w:t>
            </w:r>
          </w:p>
        </w:tc>
        <w:tc>
          <w:tcPr>
            <w:tcW w:w="1318" w:type="dxa"/>
            <w:tcBorders>
              <w:bottom w:val="single" w:sz="4" w:space="0" w:color="auto"/>
            </w:tcBorders>
          </w:tcPr>
          <w:p w:rsidR="000F1109" w:rsidRPr="00EF4EB9" w:rsidRDefault="000F1109" w:rsidP="008D11C1">
            <w:r w:rsidRPr="00EF4EB9">
              <w:t>Incremental QALYs</w:t>
            </w:r>
          </w:p>
        </w:tc>
        <w:tc>
          <w:tcPr>
            <w:tcW w:w="2241" w:type="dxa"/>
            <w:tcBorders>
              <w:bottom w:val="single" w:sz="4" w:space="0" w:color="auto"/>
            </w:tcBorders>
          </w:tcPr>
          <w:p w:rsidR="000F1109" w:rsidRPr="00EF4EB9" w:rsidRDefault="000F1109" w:rsidP="008D11C1">
            <w:r w:rsidRPr="00EF4EB9">
              <w:t>Cost per QALY</w:t>
            </w:r>
          </w:p>
          <w:p w:rsidR="000F1109" w:rsidRPr="00EF4EB9" w:rsidRDefault="000F1109" w:rsidP="008D11C1">
            <w:r w:rsidRPr="00EF4EB9">
              <w:t>(2.5</w:t>
            </w:r>
            <w:r w:rsidRPr="00EF4EB9">
              <w:rPr>
                <w:vertAlign w:val="superscript"/>
              </w:rPr>
              <w:t>th</w:t>
            </w:r>
            <w:r w:rsidRPr="00EF4EB9">
              <w:t xml:space="preserve"> and 97.5</w:t>
            </w:r>
            <w:r w:rsidRPr="00EF4EB9">
              <w:rPr>
                <w:vertAlign w:val="superscript"/>
              </w:rPr>
              <w:t>th</w:t>
            </w:r>
            <w:r w:rsidRPr="00EF4EB9">
              <w:t xml:space="preserve"> percentiles)</w:t>
            </w:r>
          </w:p>
        </w:tc>
      </w:tr>
      <w:tr w:rsidR="000F1109" w:rsidRPr="00EF4EB9" w:rsidTr="00BD4F95">
        <w:tc>
          <w:tcPr>
            <w:tcW w:w="673" w:type="dxa"/>
            <w:vMerge w:val="restart"/>
            <w:textDirection w:val="btLr"/>
          </w:tcPr>
          <w:p w:rsidR="000F1109" w:rsidRPr="00EF4EB9" w:rsidRDefault="000F1109" w:rsidP="008D11C1">
            <w:r>
              <w:t>CHADS</w:t>
            </w:r>
            <w:r w:rsidRPr="00BD4F95">
              <w:rPr>
                <w:vertAlign w:val="subscript"/>
              </w:rPr>
              <w:t>2</w:t>
            </w:r>
          </w:p>
        </w:tc>
        <w:tc>
          <w:tcPr>
            <w:tcW w:w="1835" w:type="dxa"/>
          </w:tcPr>
          <w:p w:rsidR="000F1109" w:rsidRPr="00EF4EB9" w:rsidRDefault="000F1109" w:rsidP="008D11C1">
            <w:r w:rsidRPr="00EF4EB9">
              <w:t>No initial treatment</w:t>
            </w:r>
          </w:p>
        </w:tc>
        <w:tc>
          <w:tcPr>
            <w:tcW w:w="973" w:type="dxa"/>
            <w:vAlign w:val="bottom"/>
          </w:tcPr>
          <w:p w:rsidR="000F1109" w:rsidRPr="00EF4EB9" w:rsidRDefault="000F1109" w:rsidP="008D11C1">
            <w:r w:rsidRPr="00EF4EB9">
              <w:t>£13,792</w:t>
            </w:r>
          </w:p>
        </w:tc>
        <w:tc>
          <w:tcPr>
            <w:tcW w:w="843" w:type="dxa"/>
            <w:vAlign w:val="bottom"/>
          </w:tcPr>
          <w:p w:rsidR="000F1109" w:rsidRPr="00EF4EB9" w:rsidRDefault="000F1109" w:rsidP="008D11C1">
            <w:r w:rsidRPr="00EF4EB9">
              <w:t>10.185</w:t>
            </w:r>
          </w:p>
        </w:tc>
        <w:tc>
          <w:tcPr>
            <w:tcW w:w="1318" w:type="dxa"/>
            <w:tcBorders>
              <w:right w:val="nil"/>
            </w:tcBorders>
            <w:vAlign w:val="bottom"/>
          </w:tcPr>
          <w:p w:rsidR="000F1109" w:rsidRPr="00EF4EB9" w:rsidRDefault="000F1109" w:rsidP="008D11C1"/>
        </w:tc>
        <w:tc>
          <w:tcPr>
            <w:tcW w:w="1318" w:type="dxa"/>
            <w:tcBorders>
              <w:left w:val="nil"/>
              <w:right w:val="nil"/>
            </w:tcBorders>
            <w:vAlign w:val="bottom"/>
          </w:tcPr>
          <w:p w:rsidR="000F1109" w:rsidRPr="00EF4EB9" w:rsidRDefault="000F1109" w:rsidP="008D11C1"/>
        </w:tc>
        <w:tc>
          <w:tcPr>
            <w:tcW w:w="2291" w:type="dxa"/>
            <w:gridSpan w:val="2"/>
            <w:tcBorders>
              <w:top w:val="nil"/>
              <w:left w:val="nil"/>
              <w:right w:val="nil"/>
            </w:tcBorders>
            <w:vAlign w:val="bottom"/>
          </w:tcPr>
          <w:p w:rsidR="000F1109" w:rsidRPr="00EF4EB9" w:rsidRDefault="000F1109" w:rsidP="008D11C1"/>
        </w:tc>
      </w:tr>
      <w:tr w:rsidR="000F1109" w:rsidRPr="00EF4EB9" w:rsidTr="00BD4F95">
        <w:trPr>
          <w:trHeight w:val="675"/>
        </w:trPr>
        <w:tc>
          <w:tcPr>
            <w:tcW w:w="673" w:type="dxa"/>
            <w:vMerge/>
            <w:tcBorders>
              <w:bottom w:val="single" w:sz="4" w:space="0" w:color="auto"/>
            </w:tcBorders>
            <w:textDirection w:val="btLr"/>
          </w:tcPr>
          <w:p w:rsidR="000F1109" w:rsidRPr="00EF4EB9" w:rsidRDefault="000F1109" w:rsidP="008D11C1"/>
        </w:tc>
        <w:tc>
          <w:tcPr>
            <w:tcW w:w="1835" w:type="dxa"/>
            <w:tcBorders>
              <w:bottom w:val="single" w:sz="4" w:space="0" w:color="auto"/>
            </w:tcBorders>
          </w:tcPr>
          <w:p w:rsidR="000F1109" w:rsidRPr="00EF4EB9" w:rsidRDefault="000F1109" w:rsidP="008D11C1">
            <w:r w:rsidRPr="00EF4EB9">
              <w:t>TTE with those diagnosed with LA ABN treated</w:t>
            </w:r>
          </w:p>
        </w:tc>
        <w:tc>
          <w:tcPr>
            <w:tcW w:w="973" w:type="dxa"/>
            <w:tcBorders>
              <w:bottom w:val="single" w:sz="4" w:space="0" w:color="auto"/>
            </w:tcBorders>
            <w:vAlign w:val="bottom"/>
          </w:tcPr>
          <w:p w:rsidR="000F1109" w:rsidRPr="00EF4EB9" w:rsidRDefault="000F1109" w:rsidP="008D11C1">
            <w:r w:rsidRPr="00EF4EB9">
              <w:t>£15,646</w:t>
            </w:r>
          </w:p>
        </w:tc>
        <w:tc>
          <w:tcPr>
            <w:tcW w:w="843" w:type="dxa"/>
            <w:tcBorders>
              <w:bottom w:val="single" w:sz="4" w:space="0" w:color="auto"/>
            </w:tcBorders>
            <w:vAlign w:val="bottom"/>
          </w:tcPr>
          <w:p w:rsidR="000F1109" w:rsidRPr="00EF4EB9" w:rsidRDefault="000F1109" w:rsidP="008D11C1">
            <w:r w:rsidRPr="00EF4EB9">
              <w:t>10.502</w:t>
            </w:r>
          </w:p>
        </w:tc>
        <w:tc>
          <w:tcPr>
            <w:tcW w:w="1318" w:type="dxa"/>
            <w:tcBorders>
              <w:bottom w:val="single" w:sz="4" w:space="0" w:color="auto"/>
            </w:tcBorders>
            <w:vAlign w:val="bottom"/>
          </w:tcPr>
          <w:p w:rsidR="000F1109" w:rsidRPr="00EF4EB9" w:rsidRDefault="000F1109" w:rsidP="008D11C1">
            <w:r w:rsidRPr="00EF4EB9">
              <w:t>£1,854</w:t>
            </w:r>
          </w:p>
        </w:tc>
        <w:tc>
          <w:tcPr>
            <w:tcW w:w="1318" w:type="dxa"/>
            <w:tcBorders>
              <w:bottom w:val="single" w:sz="4" w:space="0" w:color="auto"/>
            </w:tcBorders>
            <w:vAlign w:val="bottom"/>
          </w:tcPr>
          <w:p w:rsidR="000F1109" w:rsidRPr="00EF4EB9" w:rsidRDefault="000F1109" w:rsidP="008D11C1">
            <w:r w:rsidRPr="00EF4EB9">
              <w:t>0.317</w:t>
            </w:r>
          </w:p>
        </w:tc>
        <w:tc>
          <w:tcPr>
            <w:tcW w:w="2291" w:type="dxa"/>
            <w:gridSpan w:val="2"/>
            <w:tcBorders>
              <w:bottom w:val="single" w:sz="4" w:space="0" w:color="auto"/>
            </w:tcBorders>
            <w:vAlign w:val="bottom"/>
          </w:tcPr>
          <w:p w:rsidR="000F1109" w:rsidRPr="00EF4EB9" w:rsidRDefault="000F1109" w:rsidP="008D11C1">
            <w:r w:rsidRPr="00EF4EB9">
              <w:t xml:space="preserve">£5847 </w:t>
            </w:r>
          </w:p>
          <w:p w:rsidR="000F1109" w:rsidRPr="00EF4EB9" w:rsidRDefault="000F1109" w:rsidP="008D11C1">
            <w:r w:rsidRPr="00EF4EB9">
              <w:t>(Dominating -£28,939)</w:t>
            </w:r>
          </w:p>
        </w:tc>
      </w:tr>
      <w:tr w:rsidR="000F1109" w:rsidRPr="00EF4EB9" w:rsidTr="00BD4F95">
        <w:trPr>
          <w:trHeight w:val="700"/>
        </w:trPr>
        <w:tc>
          <w:tcPr>
            <w:tcW w:w="673" w:type="dxa"/>
            <w:vMerge w:val="restart"/>
            <w:textDirection w:val="btLr"/>
          </w:tcPr>
          <w:p w:rsidR="000F1109" w:rsidRPr="00EF4EB9" w:rsidRDefault="000F1109" w:rsidP="008D11C1">
            <w:r>
              <w:t>CHA</w:t>
            </w:r>
            <w:r w:rsidR="00BD4F95" w:rsidRPr="00BD4F95">
              <w:rPr>
                <w:vertAlign w:val="subscript"/>
              </w:rPr>
              <w:t>2</w:t>
            </w:r>
            <w:r>
              <w:t>DS</w:t>
            </w:r>
            <w:r w:rsidRPr="00BD4F95">
              <w:rPr>
                <w:vertAlign w:val="subscript"/>
              </w:rPr>
              <w:t>2</w:t>
            </w:r>
            <w:r>
              <w:t>-VASc</w:t>
            </w:r>
          </w:p>
        </w:tc>
        <w:tc>
          <w:tcPr>
            <w:tcW w:w="1835" w:type="dxa"/>
            <w:tcBorders>
              <w:bottom w:val="single" w:sz="4" w:space="0" w:color="auto"/>
            </w:tcBorders>
          </w:tcPr>
          <w:p w:rsidR="000F1109" w:rsidRPr="00EF4EB9" w:rsidRDefault="000F1109" w:rsidP="008D11C1">
            <w:r w:rsidRPr="00EF4EB9">
              <w:t>No initial treatment</w:t>
            </w:r>
          </w:p>
        </w:tc>
        <w:tc>
          <w:tcPr>
            <w:tcW w:w="973" w:type="dxa"/>
            <w:tcBorders>
              <w:bottom w:val="single" w:sz="4" w:space="0" w:color="auto"/>
            </w:tcBorders>
            <w:vAlign w:val="bottom"/>
          </w:tcPr>
          <w:p w:rsidR="000F1109" w:rsidRPr="00EF4EB9" w:rsidRDefault="000F1109" w:rsidP="008D11C1">
            <w:r w:rsidRPr="00EF4EB9">
              <w:t>£15,249</w:t>
            </w:r>
          </w:p>
        </w:tc>
        <w:tc>
          <w:tcPr>
            <w:tcW w:w="843" w:type="dxa"/>
            <w:tcBorders>
              <w:bottom w:val="single" w:sz="4" w:space="0" w:color="auto"/>
            </w:tcBorders>
            <w:vAlign w:val="bottom"/>
          </w:tcPr>
          <w:p w:rsidR="000F1109" w:rsidRPr="00EF4EB9" w:rsidRDefault="000F1109" w:rsidP="008D11C1">
            <w:r w:rsidRPr="00EF4EB9">
              <w:t>10.077</w:t>
            </w:r>
          </w:p>
        </w:tc>
        <w:tc>
          <w:tcPr>
            <w:tcW w:w="4927" w:type="dxa"/>
            <w:gridSpan w:val="4"/>
            <w:tcBorders>
              <w:bottom w:val="single" w:sz="4" w:space="0" w:color="auto"/>
              <w:right w:val="nil"/>
            </w:tcBorders>
            <w:vAlign w:val="bottom"/>
          </w:tcPr>
          <w:p w:rsidR="000F1109" w:rsidRPr="00EF4EB9" w:rsidRDefault="000F1109" w:rsidP="008D11C1"/>
        </w:tc>
      </w:tr>
      <w:tr w:rsidR="000F1109" w:rsidRPr="00EF4EB9" w:rsidTr="00BD4F95">
        <w:trPr>
          <w:trHeight w:val="94"/>
        </w:trPr>
        <w:tc>
          <w:tcPr>
            <w:tcW w:w="673" w:type="dxa"/>
            <w:vMerge/>
            <w:tcBorders>
              <w:bottom w:val="single" w:sz="4" w:space="0" w:color="auto"/>
            </w:tcBorders>
          </w:tcPr>
          <w:p w:rsidR="000F1109" w:rsidRPr="00EF4EB9" w:rsidRDefault="000F1109" w:rsidP="008D11C1"/>
        </w:tc>
        <w:tc>
          <w:tcPr>
            <w:tcW w:w="1835" w:type="dxa"/>
            <w:tcBorders>
              <w:bottom w:val="single" w:sz="4" w:space="0" w:color="auto"/>
            </w:tcBorders>
          </w:tcPr>
          <w:p w:rsidR="000F1109" w:rsidRPr="00EF4EB9" w:rsidRDefault="000F1109" w:rsidP="008D11C1">
            <w:r w:rsidRPr="00EF4EB9">
              <w:t xml:space="preserve">TTE with those diagnosed with LA </w:t>
            </w:r>
            <w:r w:rsidRPr="00EF4EB9">
              <w:lastRenderedPageBreak/>
              <w:t>ABN treated</w:t>
            </w:r>
          </w:p>
        </w:tc>
        <w:tc>
          <w:tcPr>
            <w:tcW w:w="973" w:type="dxa"/>
            <w:tcBorders>
              <w:bottom w:val="single" w:sz="4" w:space="0" w:color="auto"/>
            </w:tcBorders>
            <w:vAlign w:val="bottom"/>
          </w:tcPr>
          <w:p w:rsidR="000F1109" w:rsidRPr="00EF4EB9" w:rsidRDefault="000F1109" w:rsidP="008D11C1">
            <w:r w:rsidRPr="00EF4EB9">
              <w:lastRenderedPageBreak/>
              <w:t>£19,729</w:t>
            </w:r>
          </w:p>
        </w:tc>
        <w:tc>
          <w:tcPr>
            <w:tcW w:w="843" w:type="dxa"/>
            <w:tcBorders>
              <w:bottom w:val="single" w:sz="4" w:space="0" w:color="auto"/>
            </w:tcBorders>
            <w:vAlign w:val="bottom"/>
          </w:tcPr>
          <w:p w:rsidR="000F1109" w:rsidRPr="00EF4EB9" w:rsidRDefault="000F1109" w:rsidP="008D11C1">
            <w:r w:rsidRPr="00EF4EB9">
              <w:t>10.168</w:t>
            </w:r>
          </w:p>
        </w:tc>
        <w:tc>
          <w:tcPr>
            <w:tcW w:w="1318" w:type="dxa"/>
            <w:tcBorders>
              <w:bottom w:val="single" w:sz="4" w:space="0" w:color="auto"/>
            </w:tcBorders>
            <w:vAlign w:val="bottom"/>
          </w:tcPr>
          <w:p w:rsidR="000F1109" w:rsidRPr="00EF4EB9" w:rsidRDefault="000F1109" w:rsidP="008D11C1">
            <w:r w:rsidRPr="00EF4EB9">
              <w:t>£4480</w:t>
            </w:r>
          </w:p>
        </w:tc>
        <w:tc>
          <w:tcPr>
            <w:tcW w:w="1318" w:type="dxa"/>
            <w:tcBorders>
              <w:bottom w:val="single" w:sz="4" w:space="0" w:color="auto"/>
            </w:tcBorders>
            <w:vAlign w:val="bottom"/>
          </w:tcPr>
          <w:p w:rsidR="000F1109" w:rsidRPr="00EF4EB9" w:rsidRDefault="000F1109" w:rsidP="008D11C1">
            <w:r w:rsidRPr="00EF4EB9">
              <w:t>0.091</w:t>
            </w:r>
          </w:p>
        </w:tc>
        <w:tc>
          <w:tcPr>
            <w:tcW w:w="2291" w:type="dxa"/>
            <w:gridSpan w:val="2"/>
            <w:tcBorders>
              <w:bottom w:val="single" w:sz="4" w:space="0" w:color="auto"/>
            </w:tcBorders>
            <w:vAlign w:val="bottom"/>
          </w:tcPr>
          <w:p w:rsidR="000F1109" w:rsidRPr="00EF4EB9" w:rsidRDefault="000F1109" w:rsidP="008D11C1">
            <w:r w:rsidRPr="00EF4EB9">
              <w:t xml:space="preserve">£49,491 </w:t>
            </w:r>
          </w:p>
          <w:p w:rsidR="000F1109" w:rsidRPr="00EF4EB9" w:rsidRDefault="000F1109" w:rsidP="008D11C1">
            <w:r w:rsidRPr="00EF4EB9">
              <w:t>(£5604</w:t>
            </w:r>
            <w:r>
              <w:t xml:space="preserve"> - </w:t>
            </w:r>
            <w:r w:rsidRPr="00EF4EB9">
              <w:t xml:space="preserve"> Dominated)</w:t>
            </w:r>
          </w:p>
        </w:tc>
      </w:tr>
      <w:tr w:rsidR="000F1109" w:rsidRPr="00EF4EB9" w:rsidTr="00BD4F95">
        <w:trPr>
          <w:gridAfter w:val="1"/>
          <w:wAfter w:w="50" w:type="dxa"/>
        </w:trPr>
        <w:tc>
          <w:tcPr>
            <w:tcW w:w="9201" w:type="dxa"/>
            <w:gridSpan w:val="7"/>
            <w:tcBorders>
              <w:left w:val="nil"/>
              <w:bottom w:val="nil"/>
              <w:right w:val="nil"/>
            </w:tcBorders>
          </w:tcPr>
          <w:p w:rsidR="000F1109" w:rsidRPr="00EF4EB9" w:rsidRDefault="000F1109" w:rsidP="008D11C1">
            <w:r w:rsidRPr="00EF4EB9">
              <w:lastRenderedPageBreak/>
              <w:t>TTE = Transthoracic Echocardiography; LA ABN = Left Atrial Abnormality</w:t>
            </w:r>
          </w:p>
        </w:tc>
      </w:tr>
    </w:tbl>
    <w:p w:rsidR="000F1109" w:rsidRPr="00EF4EB9" w:rsidRDefault="00E97667" w:rsidP="008D11C1">
      <w:pPr>
        <w:pStyle w:val="Caption"/>
      </w:pPr>
      <w:bookmarkStart w:id="266" w:name="_Ref321240189"/>
      <w:r>
        <w:t xml:space="preserve">Table </w:t>
      </w:r>
      <w:r w:rsidR="00ED065B">
        <w:fldChar w:fldCharType="begin"/>
      </w:r>
      <w:r w:rsidR="00ED065B">
        <w:instrText xml:space="preserve"> SEQ Table \* ARABIC </w:instrText>
      </w:r>
      <w:r w:rsidR="00ED065B">
        <w:fldChar w:fldCharType="separate"/>
      </w:r>
      <w:r w:rsidR="00F15320">
        <w:rPr>
          <w:noProof/>
        </w:rPr>
        <w:t>5</w:t>
      </w:r>
      <w:r w:rsidR="00ED065B">
        <w:rPr>
          <w:noProof/>
        </w:rPr>
        <w:fldChar w:fldCharType="end"/>
      </w:r>
      <w:bookmarkEnd w:id="266"/>
      <w:r>
        <w:t xml:space="preserve"> Cost effectiveness of the use of TTE in patients with a CHADS</w:t>
      </w:r>
      <w:r w:rsidRPr="00E97667">
        <w:rPr>
          <w:vertAlign w:val="subscript"/>
        </w:rPr>
        <w:t>2</w:t>
      </w:r>
      <w:r>
        <w:t xml:space="preserve"> or CHA</w:t>
      </w:r>
      <w:r w:rsidRPr="00E97667">
        <w:rPr>
          <w:vertAlign w:val="subscript"/>
        </w:rPr>
        <w:t>2</w:t>
      </w:r>
      <w:r>
        <w:t>DS</w:t>
      </w:r>
      <w:r w:rsidRPr="00E97667">
        <w:rPr>
          <w:vertAlign w:val="subscript"/>
        </w:rPr>
        <w:t>2</w:t>
      </w:r>
      <w:r>
        <w:t>-VASc score of 0</w:t>
      </w:r>
    </w:p>
    <w:p w:rsidR="00BD4F95" w:rsidRDefault="00BD4F95" w:rsidP="008D11C1"/>
    <w:tbl>
      <w:tblPr>
        <w:tblStyle w:val="TableGrid"/>
        <w:tblW w:w="0" w:type="auto"/>
        <w:tblLook w:val="04A0" w:firstRow="1" w:lastRow="0" w:firstColumn="1" w:lastColumn="0" w:noHBand="0" w:noVBand="1"/>
      </w:tblPr>
      <w:tblGrid>
        <w:gridCol w:w="4621"/>
        <w:gridCol w:w="4621"/>
      </w:tblGrid>
      <w:tr w:rsidR="00BD4F95" w:rsidTr="00867ABA">
        <w:tc>
          <w:tcPr>
            <w:tcW w:w="4621" w:type="dxa"/>
          </w:tcPr>
          <w:p w:rsidR="00BD4F95" w:rsidRDefault="00BD4F95" w:rsidP="008D11C1">
            <w:r w:rsidRPr="00EF4EB9">
              <w:rPr>
                <w:noProof/>
                <w:lang w:val="en-GB" w:eastAsia="en-GB"/>
              </w:rPr>
              <w:drawing>
                <wp:inline distT="0" distB="0" distL="0" distR="0">
                  <wp:extent cx="3600000" cy="3317023"/>
                  <wp:effectExtent l="19050" t="0" r="450" b="0"/>
                  <wp:docPr id="5" name="Picture 47" descr="Dab_C0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0_PSA.jpeg"/>
                          <pic:cNvPicPr/>
                        </pic:nvPicPr>
                        <pic:blipFill>
                          <a:blip r:embed="rId11" cstate="print"/>
                          <a:srcRect t="7965"/>
                          <a:stretch>
                            <a:fillRect/>
                          </a:stretch>
                        </pic:blipFill>
                        <pic:spPr>
                          <a:xfrm>
                            <a:off x="0" y="0"/>
                            <a:ext cx="3600000" cy="3317023"/>
                          </a:xfrm>
                          <a:prstGeom prst="rect">
                            <a:avLst/>
                          </a:prstGeom>
                        </pic:spPr>
                      </pic:pic>
                    </a:graphicData>
                  </a:graphic>
                </wp:inline>
              </w:drawing>
            </w:r>
          </w:p>
        </w:tc>
        <w:tc>
          <w:tcPr>
            <w:tcW w:w="4621" w:type="dxa"/>
          </w:tcPr>
          <w:p w:rsidR="00BD4F95" w:rsidRDefault="00BD4F95" w:rsidP="008D11C1">
            <w:r w:rsidRPr="00EF4EB9">
              <w:rPr>
                <w:noProof/>
                <w:lang w:val="en-GB" w:eastAsia="en-GB"/>
              </w:rPr>
              <w:drawing>
                <wp:inline distT="0" distB="0" distL="0" distR="0">
                  <wp:extent cx="3600000" cy="3345327"/>
                  <wp:effectExtent l="19050" t="0" r="450" b="0"/>
                  <wp:docPr id="7" name="Picture 48" descr="Dab_CV0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V0_PSA.jpeg"/>
                          <pic:cNvPicPr/>
                        </pic:nvPicPr>
                        <pic:blipFill>
                          <a:blip r:embed="rId12" cstate="print"/>
                          <a:srcRect t="7414"/>
                          <a:stretch>
                            <a:fillRect/>
                          </a:stretch>
                        </pic:blipFill>
                        <pic:spPr>
                          <a:xfrm>
                            <a:off x="0" y="0"/>
                            <a:ext cx="3600000" cy="3345327"/>
                          </a:xfrm>
                          <a:prstGeom prst="rect">
                            <a:avLst/>
                          </a:prstGeom>
                        </pic:spPr>
                      </pic:pic>
                    </a:graphicData>
                  </a:graphic>
                </wp:inline>
              </w:drawing>
            </w:r>
          </w:p>
        </w:tc>
      </w:tr>
      <w:tr w:rsidR="00BD4F95" w:rsidTr="00867ABA">
        <w:tc>
          <w:tcPr>
            <w:tcW w:w="4621" w:type="dxa"/>
          </w:tcPr>
          <w:p w:rsidR="00BD4F95" w:rsidRPr="00BD4F95" w:rsidRDefault="00BD4F95" w:rsidP="008D11C1">
            <w:pPr>
              <w:pStyle w:val="ListParagraph"/>
            </w:pPr>
            <w:r w:rsidRPr="00BD4F95">
              <w:t>CHADS</w:t>
            </w:r>
            <w:r w:rsidRPr="00BD4F95">
              <w:rPr>
                <w:vertAlign w:val="subscript"/>
              </w:rPr>
              <w:t>2</w:t>
            </w:r>
          </w:p>
        </w:tc>
        <w:tc>
          <w:tcPr>
            <w:tcW w:w="4621" w:type="dxa"/>
          </w:tcPr>
          <w:p w:rsidR="00BD4F95" w:rsidRPr="00BD4F95" w:rsidRDefault="00BD4F95" w:rsidP="008D11C1">
            <w:pPr>
              <w:pStyle w:val="ListParagraph"/>
            </w:pPr>
            <w:r w:rsidRPr="00BD4F95">
              <w:t>CHA</w:t>
            </w:r>
            <w:r w:rsidRPr="00BD4F95">
              <w:rPr>
                <w:vertAlign w:val="subscript"/>
              </w:rPr>
              <w:t>2</w:t>
            </w:r>
            <w:r w:rsidRPr="00BD4F95">
              <w:t>DS</w:t>
            </w:r>
            <w:r w:rsidRPr="00BD4F95">
              <w:rPr>
                <w:vertAlign w:val="subscript"/>
              </w:rPr>
              <w:t>2</w:t>
            </w:r>
            <w:r w:rsidRPr="00BD4F95">
              <w:t>-VASc</w:t>
            </w:r>
          </w:p>
        </w:tc>
      </w:tr>
    </w:tbl>
    <w:p w:rsidR="00BD4F95" w:rsidRDefault="00867ABA" w:rsidP="008D11C1">
      <w:pPr>
        <w:pStyle w:val="Caption"/>
      </w:pPr>
      <w:r>
        <w:t xml:space="preserve">Figure </w:t>
      </w:r>
      <w:r w:rsidR="00ED065B">
        <w:fldChar w:fldCharType="begin"/>
      </w:r>
      <w:r w:rsidR="00ED065B">
        <w:instrText xml:space="preserve"> SEQ Figure \* ARABIC </w:instrText>
      </w:r>
      <w:r w:rsidR="00ED065B">
        <w:fldChar w:fldCharType="separate"/>
      </w:r>
      <w:r>
        <w:rPr>
          <w:noProof/>
        </w:rPr>
        <w:t>2</w:t>
      </w:r>
      <w:r w:rsidR="00ED065B">
        <w:rPr>
          <w:noProof/>
        </w:rPr>
        <w:fldChar w:fldCharType="end"/>
      </w:r>
      <w:r>
        <w:t xml:space="preserve"> PSA scatterplot</w:t>
      </w:r>
    </w:p>
    <w:tbl>
      <w:tblPr>
        <w:tblStyle w:val="TableGrid"/>
        <w:tblW w:w="0" w:type="auto"/>
        <w:tblLook w:val="04A0" w:firstRow="1" w:lastRow="0" w:firstColumn="1" w:lastColumn="0" w:noHBand="0" w:noVBand="1"/>
      </w:tblPr>
      <w:tblGrid>
        <w:gridCol w:w="4621"/>
        <w:gridCol w:w="4621"/>
      </w:tblGrid>
      <w:tr w:rsidR="00867ABA" w:rsidTr="003562A1">
        <w:tc>
          <w:tcPr>
            <w:tcW w:w="4621" w:type="dxa"/>
          </w:tcPr>
          <w:p w:rsidR="00867ABA" w:rsidRDefault="00867ABA" w:rsidP="008D11C1">
            <w:r w:rsidRPr="00EF4EB9">
              <w:rPr>
                <w:noProof/>
                <w:lang w:val="en-GB" w:eastAsia="en-GB"/>
              </w:rPr>
              <w:drawing>
                <wp:inline distT="0" distB="0" distL="0" distR="0">
                  <wp:extent cx="3600000" cy="3317303"/>
                  <wp:effectExtent l="19050" t="0" r="450" b="0"/>
                  <wp:docPr id="8" name="Picture 44" descr="Dab_C0_cea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0_ceac.jpeg"/>
                          <pic:cNvPicPr/>
                        </pic:nvPicPr>
                        <pic:blipFill>
                          <a:blip r:embed="rId13" cstate="print"/>
                          <a:srcRect t="8086"/>
                          <a:stretch>
                            <a:fillRect/>
                          </a:stretch>
                        </pic:blipFill>
                        <pic:spPr>
                          <a:xfrm>
                            <a:off x="0" y="0"/>
                            <a:ext cx="3600000" cy="3317303"/>
                          </a:xfrm>
                          <a:prstGeom prst="rect">
                            <a:avLst/>
                          </a:prstGeom>
                        </pic:spPr>
                      </pic:pic>
                    </a:graphicData>
                  </a:graphic>
                </wp:inline>
              </w:drawing>
            </w:r>
          </w:p>
          <w:p w:rsidR="00867ABA" w:rsidRDefault="00867ABA" w:rsidP="008D11C1">
            <w:pPr>
              <w:pStyle w:val="Caption"/>
            </w:pPr>
          </w:p>
        </w:tc>
        <w:tc>
          <w:tcPr>
            <w:tcW w:w="4621" w:type="dxa"/>
          </w:tcPr>
          <w:p w:rsidR="00867ABA" w:rsidRDefault="00867ABA" w:rsidP="008D11C1">
            <w:r w:rsidRPr="00EF4EB9">
              <w:rPr>
                <w:noProof/>
                <w:lang w:val="en-GB" w:eastAsia="en-GB"/>
              </w:rPr>
              <w:drawing>
                <wp:inline distT="0" distB="0" distL="0" distR="0">
                  <wp:extent cx="3600000" cy="3362715"/>
                  <wp:effectExtent l="19050" t="0" r="450" b="0"/>
                  <wp:docPr id="9" name="Picture 49" descr="Dab_CV0_cea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V0_ceac.jpeg"/>
                          <pic:cNvPicPr/>
                        </pic:nvPicPr>
                        <pic:blipFill>
                          <a:blip r:embed="rId14" cstate="print"/>
                          <a:srcRect t="6883"/>
                          <a:stretch>
                            <a:fillRect/>
                          </a:stretch>
                        </pic:blipFill>
                        <pic:spPr>
                          <a:xfrm>
                            <a:off x="0" y="0"/>
                            <a:ext cx="3600000" cy="3362715"/>
                          </a:xfrm>
                          <a:prstGeom prst="rect">
                            <a:avLst/>
                          </a:prstGeom>
                        </pic:spPr>
                      </pic:pic>
                    </a:graphicData>
                  </a:graphic>
                </wp:inline>
              </w:drawing>
            </w:r>
          </w:p>
        </w:tc>
      </w:tr>
      <w:tr w:rsidR="00867ABA" w:rsidTr="003562A1">
        <w:tc>
          <w:tcPr>
            <w:tcW w:w="4621" w:type="dxa"/>
          </w:tcPr>
          <w:p w:rsidR="00867ABA" w:rsidRPr="00867ABA" w:rsidRDefault="00867ABA" w:rsidP="008D11C1">
            <w:pPr>
              <w:pStyle w:val="ListParagraph"/>
            </w:pPr>
            <w:r w:rsidRPr="00867ABA">
              <w:t>CHADS</w:t>
            </w:r>
            <w:r w:rsidRPr="00867ABA">
              <w:rPr>
                <w:vertAlign w:val="subscript"/>
              </w:rPr>
              <w:t>2</w:t>
            </w:r>
          </w:p>
        </w:tc>
        <w:tc>
          <w:tcPr>
            <w:tcW w:w="4621" w:type="dxa"/>
          </w:tcPr>
          <w:p w:rsidR="00867ABA" w:rsidRPr="00BD4F95" w:rsidRDefault="00867ABA" w:rsidP="008D11C1">
            <w:pPr>
              <w:pStyle w:val="ListParagraph"/>
            </w:pPr>
            <w:r w:rsidRPr="00BD4F95">
              <w:t>CHA</w:t>
            </w:r>
            <w:r w:rsidRPr="00BD4F95">
              <w:rPr>
                <w:vertAlign w:val="subscript"/>
              </w:rPr>
              <w:t>2</w:t>
            </w:r>
            <w:r w:rsidRPr="00BD4F95">
              <w:t>DS</w:t>
            </w:r>
            <w:r w:rsidRPr="00BD4F95">
              <w:rPr>
                <w:vertAlign w:val="subscript"/>
              </w:rPr>
              <w:t>2</w:t>
            </w:r>
            <w:r w:rsidRPr="00BD4F95">
              <w:t>-VASc</w:t>
            </w:r>
          </w:p>
        </w:tc>
      </w:tr>
    </w:tbl>
    <w:p w:rsidR="008D613B" w:rsidRDefault="00867ABA" w:rsidP="008D11C1">
      <w:pPr>
        <w:pStyle w:val="Caption"/>
      </w:pPr>
      <w:r>
        <w:lastRenderedPageBreak/>
        <w:t xml:space="preserve">Figure </w:t>
      </w:r>
      <w:r w:rsidR="00ED065B">
        <w:fldChar w:fldCharType="begin"/>
      </w:r>
      <w:r w:rsidR="00ED065B">
        <w:instrText xml:space="preserve"> SEQ Figure \* ARABIC </w:instrText>
      </w:r>
      <w:r w:rsidR="00ED065B">
        <w:fldChar w:fldCharType="separate"/>
      </w:r>
      <w:r>
        <w:rPr>
          <w:noProof/>
        </w:rPr>
        <w:t>3</w:t>
      </w:r>
      <w:r w:rsidR="00ED065B">
        <w:rPr>
          <w:noProof/>
        </w:rPr>
        <w:fldChar w:fldCharType="end"/>
      </w:r>
      <w:r>
        <w:t xml:space="preserve"> Cost Effectiveness Acceptability Curves</w:t>
      </w:r>
    </w:p>
    <w:tbl>
      <w:tblPr>
        <w:tblStyle w:val="TableGrid"/>
        <w:tblW w:w="0" w:type="auto"/>
        <w:tblLook w:val="04A0" w:firstRow="1" w:lastRow="0" w:firstColumn="1" w:lastColumn="0" w:noHBand="0" w:noVBand="1"/>
      </w:tblPr>
      <w:tblGrid>
        <w:gridCol w:w="4621"/>
        <w:gridCol w:w="4621"/>
      </w:tblGrid>
      <w:tr w:rsidR="00867ABA" w:rsidTr="00867ABA">
        <w:tc>
          <w:tcPr>
            <w:tcW w:w="4674" w:type="dxa"/>
          </w:tcPr>
          <w:p w:rsidR="00867ABA" w:rsidRDefault="00867ABA" w:rsidP="008D11C1">
            <w:r w:rsidRPr="00EF4EB9">
              <w:rPr>
                <w:noProof/>
                <w:lang w:val="en-GB" w:eastAsia="en-GB"/>
              </w:rPr>
              <w:drawing>
                <wp:inline distT="0" distB="0" distL="0" distR="0">
                  <wp:extent cx="3600000" cy="3351389"/>
                  <wp:effectExtent l="19050" t="0" r="450" b="0"/>
                  <wp:docPr id="10" name="Picture 45" descr="Dab_C0_cea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0_ceaf.jpeg"/>
                          <pic:cNvPicPr/>
                        </pic:nvPicPr>
                        <pic:blipFill>
                          <a:blip r:embed="rId15" cstate="print"/>
                          <a:srcRect t="7295"/>
                          <a:stretch>
                            <a:fillRect/>
                          </a:stretch>
                        </pic:blipFill>
                        <pic:spPr>
                          <a:xfrm>
                            <a:off x="0" y="0"/>
                            <a:ext cx="3600000" cy="3351389"/>
                          </a:xfrm>
                          <a:prstGeom prst="rect">
                            <a:avLst/>
                          </a:prstGeom>
                        </pic:spPr>
                      </pic:pic>
                    </a:graphicData>
                  </a:graphic>
                </wp:inline>
              </w:drawing>
            </w:r>
          </w:p>
        </w:tc>
        <w:tc>
          <w:tcPr>
            <w:tcW w:w="4950" w:type="dxa"/>
          </w:tcPr>
          <w:p w:rsidR="00867ABA" w:rsidRDefault="00867ABA" w:rsidP="008D11C1">
            <w:r w:rsidRPr="00EF4EB9">
              <w:rPr>
                <w:noProof/>
                <w:lang w:val="en-GB" w:eastAsia="en-GB"/>
              </w:rPr>
              <w:drawing>
                <wp:inline distT="0" distB="0" distL="0" distR="0">
                  <wp:extent cx="3600000" cy="3312717"/>
                  <wp:effectExtent l="19050" t="0" r="450" b="0"/>
                  <wp:docPr id="11" name="Picture 50" descr="Dab_CV0_cea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V0_ceaf.jpeg"/>
                          <pic:cNvPicPr/>
                        </pic:nvPicPr>
                        <pic:blipFill>
                          <a:blip r:embed="rId16" cstate="print"/>
                          <a:srcRect t="8183"/>
                          <a:stretch>
                            <a:fillRect/>
                          </a:stretch>
                        </pic:blipFill>
                        <pic:spPr>
                          <a:xfrm>
                            <a:off x="0" y="0"/>
                            <a:ext cx="3600000" cy="3312717"/>
                          </a:xfrm>
                          <a:prstGeom prst="rect">
                            <a:avLst/>
                          </a:prstGeom>
                        </pic:spPr>
                      </pic:pic>
                    </a:graphicData>
                  </a:graphic>
                </wp:inline>
              </w:drawing>
            </w:r>
          </w:p>
        </w:tc>
      </w:tr>
      <w:tr w:rsidR="00867ABA" w:rsidTr="00867ABA">
        <w:tc>
          <w:tcPr>
            <w:tcW w:w="4674" w:type="dxa"/>
          </w:tcPr>
          <w:p w:rsidR="00867ABA" w:rsidRPr="00867ABA" w:rsidRDefault="00867ABA" w:rsidP="008D11C1">
            <w:pPr>
              <w:pStyle w:val="ListParagraph"/>
            </w:pPr>
            <w:r w:rsidRPr="00867ABA">
              <w:t>CHADS</w:t>
            </w:r>
            <w:r w:rsidRPr="00867ABA">
              <w:rPr>
                <w:vertAlign w:val="subscript"/>
              </w:rPr>
              <w:t>2</w:t>
            </w:r>
          </w:p>
        </w:tc>
        <w:tc>
          <w:tcPr>
            <w:tcW w:w="4950" w:type="dxa"/>
          </w:tcPr>
          <w:p w:rsidR="00867ABA" w:rsidRPr="00BD4F95" w:rsidRDefault="00867ABA" w:rsidP="008D11C1">
            <w:pPr>
              <w:pStyle w:val="ListParagraph"/>
            </w:pPr>
            <w:r w:rsidRPr="00BD4F95">
              <w:t>CHA</w:t>
            </w:r>
            <w:r w:rsidRPr="00BD4F95">
              <w:rPr>
                <w:vertAlign w:val="subscript"/>
              </w:rPr>
              <w:t>2</w:t>
            </w:r>
            <w:r w:rsidRPr="00BD4F95">
              <w:t>DS</w:t>
            </w:r>
            <w:r w:rsidRPr="00BD4F95">
              <w:rPr>
                <w:vertAlign w:val="subscript"/>
              </w:rPr>
              <w:t>2</w:t>
            </w:r>
            <w:r w:rsidRPr="00BD4F95">
              <w:t>-VASc</w:t>
            </w:r>
          </w:p>
        </w:tc>
      </w:tr>
    </w:tbl>
    <w:p w:rsidR="00D67B2F" w:rsidRPr="00EF4EB9" w:rsidRDefault="00867ABA" w:rsidP="008D11C1">
      <w:pPr>
        <w:pStyle w:val="Caption"/>
      </w:pPr>
      <w:r>
        <w:t xml:space="preserve">Figure </w:t>
      </w:r>
      <w:r w:rsidR="00ED065B">
        <w:fldChar w:fldCharType="begin"/>
      </w:r>
      <w:r w:rsidR="00ED065B">
        <w:instrText xml:space="preserve"> SEQ Figure \* ARABIC </w:instrText>
      </w:r>
      <w:r w:rsidR="00ED065B">
        <w:fldChar w:fldCharType="separate"/>
      </w:r>
      <w:r>
        <w:rPr>
          <w:noProof/>
        </w:rPr>
        <w:t>4</w:t>
      </w:r>
      <w:r w:rsidR="00ED065B">
        <w:rPr>
          <w:noProof/>
        </w:rPr>
        <w:fldChar w:fldCharType="end"/>
      </w:r>
      <w:r>
        <w:t xml:space="preserve"> Cost Effectiveness Acceptability Frontiers</w:t>
      </w:r>
    </w:p>
    <w:p w:rsidR="00D67B2F" w:rsidRPr="00EF4EB9" w:rsidRDefault="00D67B2F" w:rsidP="008D11C1">
      <w:r>
        <w:t>Figures 4a and 4b shows the cost-effectiveness acceptability frontiers (CEAFs) associated with CHADS</w:t>
      </w:r>
      <w:r w:rsidRPr="00501F33">
        <w:rPr>
          <w:vertAlign w:val="subscript"/>
        </w:rPr>
        <w:t>2</w:t>
      </w:r>
      <w:r>
        <w:t xml:space="preserve"> and CHA</w:t>
      </w:r>
      <w:r w:rsidR="00501F33" w:rsidRPr="00501F33">
        <w:rPr>
          <w:vertAlign w:val="subscript"/>
        </w:rPr>
        <w:t>2</w:t>
      </w:r>
      <w:r>
        <w:t>DS</w:t>
      </w:r>
      <w:r w:rsidRPr="00501F33">
        <w:rPr>
          <w:vertAlign w:val="subscript"/>
        </w:rPr>
        <w:t>2</w:t>
      </w:r>
      <w:r>
        <w:t>-VASc respectively. Figure 4a indicates that the comparator strategy (CHADS2 + TTE, shown as a solid line) becomes the optimal strategy, compared with CHADS</w:t>
      </w:r>
      <w:r w:rsidRPr="009C2038">
        <w:rPr>
          <w:vertAlign w:val="subscript"/>
        </w:rPr>
        <w:t>2</w:t>
      </w:r>
      <w:r>
        <w:t xml:space="preserve"> alone (the dashed line) at a wi</w:t>
      </w:r>
      <w:ins w:id="267" w:author="Matt" w:date="2012-02-27T08:57:00Z">
        <w:r w:rsidR="00C23AC0">
          <w:t>l</w:t>
        </w:r>
      </w:ins>
      <w:r>
        <w:t>lin</w:t>
      </w:r>
      <w:ins w:id="268" w:author="Matt" w:date="2012-02-27T08:57:00Z">
        <w:r w:rsidR="00C23AC0">
          <w:t>gn</w:t>
        </w:r>
      </w:ins>
      <w:r>
        <w:t xml:space="preserve">ess to pay threshold of £5847 or more per QALY gained. Conversely, figure 4b indicates that the </w:t>
      </w:r>
      <w:r w:rsidR="00ED065B">
        <w:t xml:space="preserve">baseline strategy </w:t>
      </w:r>
      <w:r>
        <w:t>(CHA</w:t>
      </w:r>
      <w:r w:rsidR="009C2038" w:rsidRPr="009C2038">
        <w:rPr>
          <w:vertAlign w:val="subscript"/>
        </w:rPr>
        <w:t>2</w:t>
      </w:r>
      <w:r>
        <w:t>DS</w:t>
      </w:r>
      <w:r w:rsidRPr="009C2038">
        <w:rPr>
          <w:vertAlign w:val="subscript"/>
        </w:rPr>
        <w:t>2</w:t>
      </w:r>
      <w:r>
        <w:t>-VASc</w:t>
      </w:r>
      <w:r w:rsidR="00ED065B">
        <w:t xml:space="preserve"> alone</w:t>
      </w:r>
      <w:r>
        <w:t xml:space="preserve">) has </w:t>
      </w:r>
      <w:r w:rsidRPr="00EF4EB9">
        <w:t xml:space="preserve">a </w:t>
      </w:r>
      <w:r w:rsidR="00ED065B">
        <w:t>high</w:t>
      </w:r>
      <w:r w:rsidRPr="00EF4EB9">
        <w:t xml:space="preserve"> likelihood of</w:t>
      </w:r>
      <w:r>
        <w:t xml:space="preserve"> </w:t>
      </w:r>
      <w:r w:rsidRPr="00EF4EB9">
        <w:t>being the optimal decision at threshold of lower than £50,000 per QALY gained</w:t>
      </w:r>
      <w:r>
        <w:t>, compared with CHA</w:t>
      </w:r>
      <w:r w:rsidR="009C2038" w:rsidRPr="009C2038">
        <w:rPr>
          <w:vertAlign w:val="subscript"/>
        </w:rPr>
        <w:t>2</w:t>
      </w:r>
      <w:r>
        <w:t>DS</w:t>
      </w:r>
      <w:r w:rsidRPr="009C2038">
        <w:rPr>
          <w:vertAlign w:val="subscript"/>
        </w:rPr>
        <w:t>2</w:t>
      </w:r>
      <w:r w:rsidR="00ED065B">
        <w:t>-VASc + TTE</w:t>
      </w:r>
      <w:r>
        <w:t>.</w:t>
      </w:r>
    </w:p>
    <w:p w:rsidR="007B765A" w:rsidRDefault="00D67B2F" w:rsidP="008D11C1">
      <w:r>
        <w:t xml:space="preserve">Figures 5a and 5b show, respectively, </w:t>
      </w:r>
      <w:proofErr w:type="gramStart"/>
      <w:r>
        <w:t>the per</w:t>
      </w:r>
      <w:proofErr w:type="gramEnd"/>
      <w:r>
        <w:t xml:space="preserve"> patient EVPI of TTE compared with CHADS</w:t>
      </w:r>
      <w:r w:rsidRPr="009C2038">
        <w:rPr>
          <w:vertAlign w:val="subscript"/>
        </w:rPr>
        <w:t>2</w:t>
      </w:r>
      <w:r>
        <w:t xml:space="preserve"> alone and CHA</w:t>
      </w:r>
      <w:r w:rsidR="009C2038" w:rsidRPr="009C2038">
        <w:rPr>
          <w:vertAlign w:val="subscript"/>
        </w:rPr>
        <w:t>2</w:t>
      </w:r>
      <w:r>
        <w:t>DS</w:t>
      </w:r>
      <w:r w:rsidR="009C2038">
        <w:rPr>
          <w:vertAlign w:val="subscript"/>
        </w:rPr>
        <w:softHyphen/>
        <w:t>2</w:t>
      </w:r>
      <w:r>
        <w:t xml:space="preserve">-VASc alone. </w:t>
      </w:r>
      <w:r w:rsidR="00161B1F" w:rsidRPr="00EF4EB9">
        <w:t>It is seen that there is most uncertainty at maximum acceptable incremental cost effectiveness ratios (MAICERs) close to the value at which TTE becomes cost effective. As the MAICER increases the value of EVPI falls substantially.</w:t>
      </w:r>
      <w:r w:rsidR="00161B1F">
        <w:t xml:space="preserve"> </w:t>
      </w:r>
      <w:r w:rsidR="00161B1F" w:rsidRPr="00EF4EB9">
        <w:t>Assuming that there are 70,000 people who would benefit from no uncertainty in the decision problem</w:t>
      </w:r>
      <w:r w:rsidR="00161B1F">
        <w:t>,</w:t>
      </w:r>
      <w:r w:rsidR="00161B1F" w:rsidRPr="00EF4EB9">
        <w:t xml:space="preserve"> the expected value of perfect information would be in the region of £5 million assuming a MAICER of £20,000 per QALY</w:t>
      </w:r>
      <w:r w:rsidR="00161B1F">
        <w:t xml:space="preserve"> </w:t>
      </w:r>
      <w:r w:rsidR="00161B1F" w:rsidRPr="00EF4EB9">
        <w:t>when using CHADS</w:t>
      </w:r>
      <w:r w:rsidR="00161B1F" w:rsidRPr="009C2038">
        <w:rPr>
          <w:vertAlign w:val="subscript"/>
        </w:rPr>
        <w:t>2</w:t>
      </w:r>
      <w:r w:rsidR="00161B1F" w:rsidRPr="00EF4EB9">
        <w:t xml:space="preserve"> </w:t>
      </w:r>
      <w:r w:rsidR="00161B1F">
        <w:t>alone; the equivalent figure for CHA</w:t>
      </w:r>
      <w:r w:rsidR="009C2038" w:rsidRPr="009C2038">
        <w:rPr>
          <w:vertAlign w:val="subscript"/>
        </w:rPr>
        <w:t>2</w:t>
      </w:r>
      <w:r w:rsidR="00161B1F">
        <w:t>DS</w:t>
      </w:r>
      <w:r w:rsidR="00161B1F" w:rsidRPr="009C2038">
        <w:rPr>
          <w:vertAlign w:val="subscript"/>
        </w:rPr>
        <w:t>2</w:t>
      </w:r>
      <w:r w:rsidR="00161B1F">
        <w:t>-VASc is in the region of £28 million.</w:t>
      </w:r>
    </w:p>
    <w:tbl>
      <w:tblPr>
        <w:tblStyle w:val="TableGrid"/>
        <w:tblW w:w="0" w:type="auto"/>
        <w:tblLook w:val="04A0" w:firstRow="1" w:lastRow="0" w:firstColumn="1" w:lastColumn="0" w:noHBand="0" w:noVBand="1"/>
      </w:tblPr>
      <w:tblGrid>
        <w:gridCol w:w="4621"/>
        <w:gridCol w:w="4621"/>
      </w:tblGrid>
      <w:tr w:rsidR="00867ABA" w:rsidTr="00772D0B">
        <w:tc>
          <w:tcPr>
            <w:tcW w:w="7992" w:type="dxa"/>
          </w:tcPr>
          <w:p w:rsidR="00867ABA" w:rsidRDefault="00867ABA" w:rsidP="008D11C1">
            <w:r w:rsidRPr="00EF4EB9">
              <w:rPr>
                <w:noProof/>
                <w:lang w:val="en-GB" w:eastAsia="en-GB"/>
              </w:rPr>
              <w:lastRenderedPageBreak/>
              <w:drawing>
                <wp:inline distT="0" distB="0" distL="0" distR="0">
                  <wp:extent cx="3600000" cy="3351389"/>
                  <wp:effectExtent l="19050" t="0" r="450" b="0"/>
                  <wp:docPr id="12" name="Picture 46" descr="Dab_C0_evp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0_evpi.jpeg"/>
                          <pic:cNvPicPr/>
                        </pic:nvPicPr>
                        <pic:blipFill>
                          <a:blip r:embed="rId17" cstate="print"/>
                          <a:srcRect t="6958"/>
                          <a:stretch>
                            <a:fillRect/>
                          </a:stretch>
                        </pic:blipFill>
                        <pic:spPr>
                          <a:xfrm>
                            <a:off x="0" y="0"/>
                            <a:ext cx="3600000" cy="3351389"/>
                          </a:xfrm>
                          <a:prstGeom prst="rect">
                            <a:avLst/>
                          </a:prstGeom>
                        </pic:spPr>
                      </pic:pic>
                    </a:graphicData>
                  </a:graphic>
                </wp:inline>
              </w:drawing>
            </w:r>
          </w:p>
        </w:tc>
        <w:tc>
          <w:tcPr>
            <w:tcW w:w="7442" w:type="dxa"/>
          </w:tcPr>
          <w:p w:rsidR="00867ABA" w:rsidRDefault="00867ABA" w:rsidP="008D11C1">
            <w:r w:rsidRPr="00EF4EB9">
              <w:rPr>
                <w:noProof/>
                <w:lang w:val="en-GB" w:eastAsia="en-GB"/>
              </w:rPr>
              <w:drawing>
                <wp:inline distT="0" distB="0" distL="0" distR="0">
                  <wp:extent cx="3600000" cy="3297319"/>
                  <wp:effectExtent l="19050" t="0" r="450" b="0"/>
                  <wp:docPr id="13" name="Picture 51" descr="Dab_CV0_evp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b_CV0_evpi.jpeg"/>
                          <pic:cNvPicPr/>
                        </pic:nvPicPr>
                        <pic:blipFill>
                          <a:blip r:embed="rId18" cstate="print"/>
                          <a:srcRect t="8522"/>
                          <a:stretch>
                            <a:fillRect/>
                          </a:stretch>
                        </pic:blipFill>
                        <pic:spPr>
                          <a:xfrm>
                            <a:off x="0" y="0"/>
                            <a:ext cx="3600000" cy="3297319"/>
                          </a:xfrm>
                          <a:prstGeom prst="rect">
                            <a:avLst/>
                          </a:prstGeom>
                        </pic:spPr>
                      </pic:pic>
                    </a:graphicData>
                  </a:graphic>
                </wp:inline>
              </w:drawing>
            </w:r>
          </w:p>
        </w:tc>
      </w:tr>
      <w:tr w:rsidR="00867ABA" w:rsidTr="00772D0B">
        <w:tc>
          <w:tcPr>
            <w:tcW w:w="7992" w:type="dxa"/>
          </w:tcPr>
          <w:p w:rsidR="00867ABA" w:rsidRPr="00867ABA" w:rsidRDefault="00867ABA" w:rsidP="008D11C1">
            <w:pPr>
              <w:pStyle w:val="ListParagraph"/>
            </w:pPr>
            <w:r w:rsidRPr="00867ABA">
              <w:t>CHADS</w:t>
            </w:r>
            <w:r w:rsidRPr="00867ABA">
              <w:rPr>
                <w:vertAlign w:val="subscript"/>
              </w:rPr>
              <w:t>2</w:t>
            </w:r>
          </w:p>
        </w:tc>
        <w:tc>
          <w:tcPr>
            <w:tcW w:w="7442" w:type="dxa"/>
          </w:tcPr>
          <w:p w:rsidR="00867ABA" w:rsidRPr="00BD4F95" w:rsidRDefault="00867ABA" w:rsidP="008D11C1">
            <w:pPr>
              <w:pStyle w:val="ListParagraph"/>
            </w:pPr>
            <w:r w:rsidRPr="00BD4F95">
              <w:t>CHA</w:t>
            </w:r>
            <w:r w:rsidRPr="00BD4F95">
              <w:rPr>
                <w:vertAlign w:val="subscript"/>
              </w:rPr>
              <w:t>2</w:t>
            </w:r>
            <w:r w:rsidRPr="00BD4F95">
              <w:t>DS</w:t>
            </w:r>
            <w:r w:rsidRPr="00BD4F95">
              <w:rPr>
                <w:vertAlign w:val="subscript"/>
              </w:rPr>
              <w:t>2</w:t>
            </w:r>
            <w:r w:rsidRPr="00BD4F95">
              <w:t>-VASc</w:t>
            </w:r>
          </w:p>
        </w:tc>
      </w:tr>
    </w:tbl>
    <w:p w:rsidR="00867ABA" w:rsidRPr="00EF4EB9" w:rsidRDefault="00867ABA" w:rsidP="008D11C1">
      <w:pPr>
        <w:pStyle w:val="Caption"/>
      </w:pPr>
      <w:r>
        <w:t xml:space="preserve">Figure </w:t>
      </w:r>
      <w:r w:rsidR="00ED065B">
        <w:fldChar w:fldCharType="begin"/>
      </w:r>
      <w:r w:rsidR="00ED065B">
        <w:instrText xml:space="preserve"> SEQ Figure \* ARABIC </w:instrText>
      </w:r>
      <w:r w:rsidR="00ED065B">
        <w:fldChar w:fldCharType="separate"/>
      </w:r>
      <w:r>
        <w:rPr>
          <w:noProof/>
        </w:rPr>
        <w:t>5</w:t>
      </w:r>
      <w:r w:rsidR="00ED065B">
        <w:rPr>
          <w:noProof/>
        </w:rPr>
        <w:fldChar w:fldCharType="end"/>
      </w:r>
      <w:r>
        <w:t xml:space="preserve"> Expected Value of Perfect Information per patient</w:t>
      </w:r>
    </w:p>
    <w:p w:rsidR="007B765A" w:rsidRPr="00EF4EB9" w:rsidRDefault="007B765A" w:rsidP="008D11C1"/>
    <w:p w:rsidR="00161B1F" w:rsidRDefault="007B765A" w:rsidP="008D11C1">
      <w:r w:rsidRPr="00EF4EB9">
        <w:t xml:space="preserve">Figure </w:t>
      </w:r>
      <w:r w:rsidR="00161B1F">
        <w:t>6a and 6b indicate the effect that different assumptions about the TPHR within the subgroup of the population with CHADS</w:t>
      </w:r>
      <w:r w:rsidR="00161B1F" w:rsidRPr="00B7598B">
        <w:rPr>
          <w:vertAlign w:val="subscript"/>
        </w:rPr>
        <w:t>2</w:t>
      </w:r>
      <w:r w:rsidR="00161B1F">
        <w:t xml:space="preserve"> scores of zero and CHA</w:t>
      </w:r>
      <w:r w:rsidR="00B7598B" w:rsidRPr="00B7598B">
        <w:rPr>
          <w:vertAlign w:val="subscript"/>
        </w:rPr>
        <w:t>2</w:t>
      </w:r>
      <w:r w:rsidR="00161B1F">
        <w:t>DS</w:t>
      </w:r>
      <w:r w:rsidR="00161B1F" w:rsidRPr="00B7598B">
        <w:rPr>
          <w:vertAlign w:val="subscript"/>
        </w:rPr>
        <w:t>2</w:t>
      </w:r>
      <w:r w:rsidR="00161B1F">
        <w:t>-VASc scores of zero, respectively. For CHADS</w:t>
      </w:r>
      <w:r w:rsidR="00161B1F" w:rsidRPr="00B7598B">
        <w:rPr>
          <w:vertAlign w:val="subscript"/>
        </w:rPr>
        <w:t>2</w:t>
      </w:r>
      <w:r w:rsidR="00161B1F">
        <w:t xml:space="preserve"> (Figure 6a) i</w:t>
      </w:r>
      <w:r w:rsidR="00161B1F" w:rsidRPr="00EF4EB9">
        <w:t>t is seen that at low proportions of patients with LA</w:t>
      </w:r>
      <w:r w:rsidR="00161B1F">
        <w:t xml:space="preserve"> ABN that TTE is cost effective; e</w:t>
      </w:r>
      <w:r w:rsidR="00161B1F" w:rsidRPr="00EF4EB9">
        <w:t>ven at zero percent TTE is cost effective indicating that there is an apparent benefit in treating those with a CHADS</w:t>
      </w:r>
      <w:r w:rsidR="00161B1F" w:rsidRPr="00B7598B">
        <w:rPr>
          <w:vertAlign w:val="subscript"/>
        </w:rPr>
        <w:t>2</w:t>
      </w:r>
      <w:r w:rsidR="00161B1F" w:rsidRPr="00EF4EB9">
        <w:t xml:space="preserve"> score of zero even when the patient does not have LA ABN.</w:t>
      </w:r>
      <w:r w:rsidR="00161B1F">
        <w:t xml:space="preserve"> Conversely, for CHA</w:t>
      </w:r>
      <w:r w:rsidR="00B7598B" w:rsidRPr="00B7598B">
        <w:rPr>
          <w:vertAlign w:val="subscript"/>
        </w:rPr>
        <w:t>2</w:t>
      </w:r>
      <w:r w:rsidR="00161B1F">
        <w:t>DS</w:t>
      </w:r>
      <w:r w:rsidR="00161B1F" w:rsidRPr="00B7598B">
        <w:rPr>
          <w:vertAlign w:val="subscript"/>
        </w:rPr>
        <w:t>2</w:t>
      </w:r>
      <w:r w:rsidR="00161B1F">
        <w:t>-VASc (Figure 6b)</w:t>
      </w:r>
      <w:r w:rsidR="00023D5D" w:rsidRPr="00023D5D">
        <w:t xml:space="preserve"> </w:t>
      </w:r>
      <w:r w:rsidR="00023D5D">
        <w:t>i</w:t>
      </w:r>
      <w:r w:rsidR="00023D5D" w:rsidRPr="00EF4EB9">
        <w:t>t is seen that the proportion of patients with LA ABN needs to be close to 12.5% in order for the cost per QALY of TTE to be near £20,000. At present there are very little data on this parameter with 0 of 11 patients with a CHA</w:t>
      </w:r>
      <w:r w:rsidR="00023D5D" w:rsidRPr="00B7598B">
        <w:rPr>
          <w:vertAlign w:val="subscript"/>
        </w:rPr>
        <w:t>2</w:t>
      </w:r>
      <w:r w:rsidR="00023D5D" w:rsidRPr="00EF4EB9">
        <w:t>DS</w:t>
      </w:r>
      <w:r w:rsidR="00023D5D" w:rsidRPr="00B7598B">
        <w:rPr>
          <w:vertAlign w:val="subscript"/>
        </w:rPr>
        <w:t>2</w:t>
      </w:r>
      <w:r w:rsidR="00023D5D" w:rsidRPr="00EF4EB9">
        <w:t>-VASc score of 0 having LA ABN.</w:t>
      </w:r>
    </w:p>
    <w:tbl>
      <w:tblPr>
        <w:tblStyle w:val="TableGrid"/>
        <w:tblW w:w="0" w:type="auto"/>
        <w:tblLook w:val="04A0" w:firstRow="1" w:lastRow="0" w:firstColumn="1" w:lastColumn="0" w:noHBand="0" w:noVBand="1"/>
      </w:tblPr>
      <w:tblGrid>
        <w:gridCol w:w="4349"/>
        <w:gridCol w:w="4893"/>
      </w:tblGrid>
      <w:tr w:rsidR="00867ABA" w:rsidTr="00772D0B">
        <w:tc>
          <w:tcPr>
            <w:tcW w:w="5914" w:type="dxa"/>
          </w:tcPr>
          <w:p w:rsidR="00867ABA" w:rsidRDefault="00867ABA" w:rsidP="008D11C1">
            <w:r w:rsidRPr="00EF4EB9">
              <w:rPr>
                <w:noProof/>
                <w:lang w:val="en-GB" w:eastAsia="en-GB"/>
              </w:rPr>
              <w:lastRenderedPageBreak/>
              <w:drawing>
                <wp:inline distT="0" distB="0" distL="0" distR="0">
                  <wp:extent cx="3600000" cy="3351631"/>
                  <wp:effectExtent l="19050" t="0" r="450" b="0"/>
                  <wp:docPr id="14" name="Picture 9" descr="C:\Users\User\AppData\Local\Temp\HR_Dab_C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Temp\HR_Dab_C0.jpeg"/>
                          <pic:cNvPicPr>
                            <a:picLocks noChangeAspect="1" noChangeArrowheads="1"/>
                          </pic:cNvPicPr>
                        </pic:nvPicPr>
                        <pic:blipFill>
                          <a:blip r:embed="rId19" cstate="print">
                            <a:extLst>
                              <a:ext uri="{28A0092B-C50C-407E-A947-70E740481C1C}">
                                <a14:useLocalDpi xmlns:a14="http://schemas.microsoft.com/office/drawing/2010/main" val="0"/>
                              </a:ext>
                            </a:extLst>
                          </a:blip>
                          <a:srcRect t="6988"/>
                          <a:stretch>
                            <a:fillRect/>
                          </a:stretch>
                        </pic:blipFill>
                        <pic:spPr bwMode="auto">
                          <a:xfrm>
                            <a:off x="0" y="0"/>
                            <a:ext cx="3600000" cy="3351631"/>
                          </a:xfrm>
                          <a:prstGeom prst="rect">
                            <a:avLst/>
                          </a:prstGeom>
                          <a:noFill/>
                          <a:ln>
                            <a:noFill/>
                          </a:ln>
                        </pic:spPr>
                      </pic:pic>
                    </a:graphicData>
                  </a:graphic>
                </wp:inline>
              </w:drawing>
            </w:r>
          </w:p>
        </w:tc>
        <w:tc>
          <w:tcPr>
            <w:tcW w:w="6665" w:type="dxa"/>
          </w:tcPr>
          <w:p w:rsidR="00867ABA" w:rsidRDefault="00867ABA" w:rsidP="008D11C1">
            <w:r w:rsidRPr="00EF4EB9">
              <w:rPr>
                <w:noProof/>
                <w:lang w:val="en-GB" w:eastAsia="en-GB"/>
              </w:rPr>
              <w:drawing>
                <wp:inline distT="0" distB="0" distL="0" distR="0">
                  <wp:extent cx="4077818" cy="3351600"/>
                  <wp:effectExtent l="19050" t="0" r="0" b="0"/>
                  <wp:docPr id="15" name="Picture 12" descr="C:\Users\User\AppData\Local\Temp\HR_Dab_CV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Temp\HR_Dab_CV0.jpeg"/>
                          <pic:cNvPicPr>
                            <a:picLocks noChangeAspect="1" noChangeArrowheads="1"/>
                          </pic:cNvPicPr>
                        </pic:nvPicPr>
                        <pic:blipFill>
                          <a:blip r:embed="rId20" cstate="print">
                            <a:extLst>
                              <a:ext uri="{28A0092B-C50C-407E-A947-70E740481C1C}">
                                <a14:useLocalDpi xmlns:a14="http://schemas.microsoft.com/office/drawing/2010/main" val="0"/>
                              </a:ext>
                            </a:extLst>
                          </a:blip>
                          <a:srcRect t="8532"/>
                          <a:stretch>
                            <a:fillRect/>
                          </a:stretch>
                        </pic:blipFill>
                        <pic:spPr bwMode="auto">
                          <a:xfrm>
                            <a:off x="0" y="0"/>
                            <a:ext cx="4077818" cy="3351600"/>
                          </a:xfrm>
                          <a:prstGeom prst="rect">
                            <a:avLst/>
                          </a:prstGeom>
                          <a:noFill/>
                          <a:ln>
                            <a:noFill/>
                          </a:ln>
                        </pic:spPr>
                      </pic:pic>
                    </a:graphicData>
                  </a:graphic>
                </wp:inline>
              </w:drawing>
            </w:r>
          </w:p>
        </w:tc>
      </w:tr>
      <w:tr w:rsidR="00772D0B" w:rsidTr="00772D0B">
        <w:tc>
          <w:tcPr>
            <w:tcW w:w="5914" w:type="dxa"/>
          </w:tcPr>
          <w:p w:rsidR="00772D0B" w:rsidRPr="00772D0B" w:rsidRDefault="00772D0B" w:rsidP="008D11C1">
            <w:pPr>
              <w:pStyle w:val="ListParagraph"/>
            </w:pPr>
            <w:r w:rsidRPr="00772D0B">
              <w:t>CHADS</w:t>
            </w:r>
            <w:r w:rsidRPr="00772D0B">
              <w:rPr>
                <w:vertAlign w:val="subscript"/>
              </w:rPr>
              <w:t>2</w:t>
            </w:r>
          </w:p>
        </w:tc>
        <w:tc>
          <w:tcPr>
            <w:tcW w:w="6665" w:type="dxa"/>
          </w:tcPr>
          <w:p w:rsidR="00772D0B" w:rsidRPr="00BD4F95" w:rsidRDefault="00772D0B" w:rsidP="008D11C1">
            <w:pPr>
              <w:pStyle w:val="ListParagraph"/>
            </w:pPr>
            <w:r w:rsidRPr="00BD4F95">
              <w:t>CHA</w:t>
            </w:r>
            <w:r w:rsidRPr="00BD4F95">
              <w:rPr>
                <w:vertAlign w:val="subscript"/>
              </w:rPr>
              <w:t>2</w:t>
            </w:r>
            <w:r w:rsidRPr="00BD4F95">
              <w:t>DS</w:t>
            </w:r>
            <w:r w:rsidRPr="00BD4F95">
              <w:rPr>
                <w:vertAlign w:val="subscript"/>
              </w:rPr>
              <w:t>2</w:t>
            </w:r>
            <w:r w:rsidRPr="00BD4F95">
              <w:t>-VASc</w:t>
            </w:r>
          </w:p>
        </w:tc>
      </w:tr>
    </w:tbl>
    <w:p w:rsidR="007B765A" w:rsidRPr="00EF4EB9" w:rsidRDefault="007B765A" w:rsidP="008D11C1"/>
    <w:p w:rsidR="007B765A" w:rsidRDefault="00B7598B" w:rsidP="008D11C1">
      <w:r>
        <w:t>Additional analyses were undertaken to identify the effect of different sensitivity and specificity assumptions on the expected ICERs. These indicated that, when CHADS</w:t>
      </w:r>
      <w:r w:rsidRPr="00B7598B">
        <w:rPr>
          <w:vertAlign w:val="subscript"/>
        </w:rPr>
        <w:t>2</w:t>
      </w:r>
      <w:r>
        <w:t xml:space="preserve"> was the comparator strategy, incorporating TTE appeared cost effective or even dominating for almost all possible sensitivity and specificity values except where specificity tends to one and sensitivity tends to zero (i.e. where TTE is assumed to have the same diagnostic properties as no TTE). However, where CHA</w:t>
      </w:r>
      <w:r w:rsidRPr="00E36064">
        <w:rPr>
          <w:vertAlign w:val="subscript"/>
        </w:rPr>
        <w:t>2</w:t>
      </w:r>
      <w:r>
        <w:t xml:space="preserve">DS2-VASc was the comparator strategy, </w:t>
      </w:r>
      <w:r w:rsidR="00655A1D">
        <w:t xml:space="preserve">including TTE in the diagnostic decision only appeared cost effective at a threshold of £20,000 or less where both sensitivity and specificity were assumed to be close to </w:t>
      </w:r>
      <w:r w:rsidR="00DC2BB2">
        <w:t>perfect</w:t>
      </w:r>
      <w:r w:rsidR="00655A1D">
        <w:t xml:space="preserve">. </w:t>
      </w:r>
    </w:p>
    <w:p w:rsidR="0005390C" w:rsidRDefault="008D613B" w:rsidP="003562A1">
      <w:pPr>
        <w:pStyle w:val="Heading3"/>
        <w:numPr>
          <w:ilvl w:val="0"/>
          <w:numId w:val="0"/>
        </w:numPr>
      </w:pPr>
      <w:r>
        <w:t>Summary</w:t>
      </w:r>
    </w:p>
    <w:p w:rsidR="00436D67" w:rsidRDefault="00023D5D" w:rsidP="008D11C1">
      <w:r>
        <w:t>These results indicate that the cost effectiveness of TTE in this context depends on the baseline strategy assumed, with results indicating TTE is cost effective when compared with CHADS</w:t>
      </w:r>
      <w:r w:rsidRPr="009C2038">
        <w:rPr>
          <w:vertAlign w:val="subscript"/>
        </w:rPr>
        <w:t>2</w:t>
      </w:r>
      <w:r>
        <w:t xml:space="preserve"> alone, but not when compared  with CHA</w:t>
      </w:r>
      <w:r w:rsidR="00E36064" w:rsidRPr="009C2038">
        <w:rPr>
          <w:vertAlign w:val="subscript"/>
        </w:rPr>
        <w:t>2</w:t>
      </w:r>
      <w:r>
        <w:t>DS</w:t>
      </w:r>
      <w:r w:rsidRPr="009C2038">
        <w:rPr>
          <w:vertAlign w:val="subscript"/>
        </w:rPr>
        <w:t>2</w:t>
      </w:r>
      <w:r>
        <w:t>-VASc alone.</w:t>
      </w:r>
    </w:p>
    <w:p w:rsidR="008D613B" w:rsidRDefault="008D613B" w:rsidP="008D11C1"/>
    <w:p w:rsidR="007B765A" w:rsidRPr="00EF4EB9" w:rsidRDefault="007B765A" w:rsidP="008D11C1">
      <w:r w:rsidRPr="00EF4EB9">
        <w:t xml:space="preserve"> </w:t>
      </w:r>
    </w:p>
    <w:p w:rsidR="00454436" w:rsidRPr="00EF4EB9" w:rsidRDefault="00454436" w:rsidP="008D11C1">
      <w:pPr>
        <w:sectPr w:rsidR="00454436" w:rsidRPr="00EF4EB9" w:rsidSect="00605BB7">
          <w:footerReference w:type="default" r:id="rId21"/>
          <w:pgSz w:w="11906" w:h="16838"/>
          <w:pgMar w:top="1440" w:right="1440" w:bottom="1440" w:left="1440" w:header="708" w:footer="708" w:gutter="0"/>
          <w:cols w:space="708"/>
          <w:docGrid w:linePitch="360"/>
        </w:sectPr>
      </w:pPr>
    </w:p>
    <w:p w:rsidR="0005390C" w:rsidRDefault="00F15320" w:rsidP="003562A1">
      <w:pPr>
        <w:pStyle w:val="Heading2"/>
        <w:numPr>
          <w:ilvl w:val="0"/>
          <w:numId w:val="0"/>
        </w:numPr>
      </w:pPr>
      <w:r>
        <w:lastRenderedPageBreak/>
        <w:t>Discussion</w:t>
      </w:r>
    </w:p>
    <w:p w:rsidR="00E93B06" w:rsidRPr="00EF4EB9" w:rsidRDefault="00DF7E46" w:rsidP="008D11C1">
      <w:r>
        <w:t xml:space="preserve">This </w:t>
      </w:r>
      <w:r w:rsidR="00407CD7">
        <w:t>model indicates that, w</w:t>
      </w:r>
      <w:r w:rsidR="00E93B06" w:rsidRPr="00EF4EB9">
        <w:t>hen it was assumed that the CHADS</w:t>
      </w:r>
      <w:r w:rsidR="00E93B06" w:rsidRPr="00EF4EB9">
        <w:rPr>
          <w:vertAlign w:val="subscript"/>
        </w:rPr>
        <w:t>2</w:t>
      </w:r>
      <w:r w:rsidR="00E93B06" w:rsidRPr="00EF4EB9">
        <w:t xml:space="preserve"> tool was used, the addition of TTE with the aim of identifying patients with LA ABN was deemed cost effective with the mean cost per QALY below £20,000 for all analyses and a low probability of the cost per QALY being greater than £20,000.</w:t>
      </w:r>
      <w:r w:rsidR="00407CD7">
        <w:t xml:space="preserve"> </w:t>
      </w:r>
      <w:r w:rsidR="00E93B06" w:rsidRPr="00EF4EB9">
        <w:t>Conversely, when the CHA</w:t>
      </w:r>
      <w:r w:rsidR="00E93B06" w:rsidRPr="00EF4EB9">
        <w:rPr>
          <w:vertAlign w:val="subscript"/>
        </w:rPr>
        <w:t>2</w:t>
      </w:r>
      <w:r w:rsidR="00E93B06" w:rsidRPr="00EF4EB9">
        <w:t>DS</w:t>
      </w:r>
      <w:r w:rsidR="00E93B06" w:rsidRPr="00EF4EB9">
        <w:rPr>
          <w:vertAlign w:val="subscript"/>
        </w:rPr>
        <w:t>2</w:t>
      </w:r>
      <w:r w:rsidR="00E93B06" w:rsidRPr="00EF4EB9">
        <w:t>-VASc tool was used, the addition of a TTE was not considered cost effective with the mean cost per QALY being greater than £30,000 for all analyses, and often considerably higher. However, there is considerable uncertainty in this conclusion due to the dearth of data, particularly in the proportion of patients with LA ABN and a CHA</w:t>
      </w:r>
      <w:r w:rsidR="00E93B06" w:rsidRPr="00EF4EB9">
        <w:rPr>
          <w:vertAlign w:val="subscript"/>
        </w:rPr>
        <w:t>2</w:t>
      </w:r>
      <w:r w:rsidR="00E93B06" w:rsidRPr="00EF4EB9">
        <w:t>DS</w:t>
      </w:r>
      <w:r w:rsidR="00E93B06" w:rsidRPr="00EF4EB9">
        <w:rPr>
          <w:vertAlign w:val="subscript"/>
        </w:rPr>
        <w:t>2</w:t>
      </w:r>
      <w:r w:rsidR="00E93B06" w:rsidRPr="00EF4EB9">
        <w:t>-VASc score of 0, as there were only 11 patients with a CHA</w:t>
      </w:r>
      <w:r w:rsidR="00E93B06" w:rsidRPr="00EF4EB9">
        <w:rPr>
          <w:vertAlign w:val="subscript"/>
        </w:rPr>
        <w:t>2</w:t>
      </w:r>
      <w:r w:rsidR="00E93B06" w:rsidRPr="00EF4EB9">
        <w:t>DS</w:t>
      </w:r>
      <w:r w:rsidR="00E93B06" w:rsidRPr="00EF4EB9">
        <w:rPr>
          <w:vertAlign w:val="subscript"/>
        </w:rPr>
        <w:t>2</w:t>
      </w:r>
      <w:r w:rsidR="00E93B06" w:rsidRPr="00EF4EB9">
        <w:t>-VASc of zero.</w:t>
      </w:r>
    </w:p>
    <w:p w:rsidR="00E36870" w:rsidRDefault="00DF7E46" w:rsidP="008D11C1">
      <w:r>
        <w:t xml:space="preserve">The </w:t>
      </w:r>
      <w:r w:rsidR="00407CD7">
        <w:t xml:space="preserve">model has a range of shortcomings and limitations. </w:t>
      </w:r>
      <w:r w:rsidR="00E36870" w:rsidRPr="00EF4EB9">
        <w:t>Assumptions have</w:t>
      </w:r>
      <w:r w:rsidR="00407CD7">
        <w:t xml:space="preserve"> been made within the </w:t>
      </w:r>
      <w:proofErr w:type="spellStart"/>
      <w:r w:rsidR="00407CD7">
        <w:t>modelling</w:t>
      </w:r>
      <w:proofErr w:type="spellEnd"/>
      <w:r w:rsidR="00407CD7">
        <w:t>. For example, t</w:t>
      </w:r>
      <w:r w:rsidR="00E36870" w:rsidRPr="00EF4EB9">
        <w:t>he risk of stroke associated with a CHA</w:t>
      </w:r>
      <w:r w:rsidR="00E36870" w:rsidRPr="00EF4EB9">
        <w:rPr>
          <w:vertAlign w:val="subscript"/>
        </w:rPr>
        <w:t>2</w:t>
      </w:r>
      <w:r w:rsidR="00E36870" w:rsidRPr="00EF4EB9">
        <w:t>DS</w:t>
      </w:r>
      <w:r w:rsidR="00E36870" w:rsidRPr="00EF4EB9">
        <w:rPr>
          <w:vertAlign w:val="subscript"/>
        </w:rPr>
        <w:t>2</w:t>
      </w:r>
      <w:r w:rsidR="00E36870" w:rsidRPr="00EF4EB9">
        <w:t>-VASc score was assumed to be equal to that associated with the identical CHADS</w:t>
      </w:r>
      <w:r w:rsidR="00E36870" w:rsidRPr="00EF4EB9">
        <w:rPr>
          <w:vertAlign w:val="subscript"/>
        </w:rPr>
        <w:t>2</w:t>
      </w:r>
      <w:r w:rsidR="00407CD7">
        <w:t xml:space="preserve"> score, which is incorrect </w:t>
      </w:r>
      <w:r w:rsidR="00E36870" w:rsidRPr="00EF4EB9">
        <w:t>as the CHA</w:t>
      </w:r>
      <w:r w:rsidR="00E36870" w:rsidRPr="00EF4EB9">
        <w:rPr>
          <w:vertAlign w:val="subscript"/>
        </w:rPr>
        <w:t>2</w:t>
      </w:r>
      <w:r w:rsidR="00E36870" w:rsidRPr="00EF4EB9">
        <w:t>DS</w:t>
      </w:r>
      <w:r w:rsidR="00E36870" w:rsidRPr="00EF4EB9">
        <w:rPr>
          <w:vertAlign w:val="subscript"/>
        </w:rPr>
        <w:t>2</w:t>
      </w:r>
      <w:r w:rsidR="00E36870" w:rsidRPr="00EF4EB9">
        <w:t>-VASc is incremented by one when the person is 65 years, with the corresponding age for a unit increment in the CHADS</w:t>
      </w:r>
      <w:r w:rsidR="00E36870" w:rsidRPr="00EF4EB9">
        <w:rPr>
          <w:vertAlign w:val="subscript"/>
        </w:rPr>
        <w:t>2</w:t>
      </w:r>
      <w:r w:rsidR="00E36870" w:rsidRPr="00EF4EB9">
        <w:t xml:space="preserve"> score is 75 years.</w:t>
      </w:r>
      <w:r w:rsidR="00407CD7">
        <w:t xml:space="preserve"> </w:t>
      </w:r>
      <w:r w:rsidR="00E36870" w:rsidRPr="00EF4EB9">
        <w:t xml:space="preserve">The dose of </w:t>
      </w:r>
      <w:proofErr w:type="spellStart"/>
      <w:r w:rsidR="00E36870" w:rsidRPr="00EF4EB9">
        <w:t>dabigatran</w:t>
      </w:r>
      <w:proofErr w:type="spellEnd"/>
      <w:r w:rsidR="00E36870" w:rsidRPr="00EF4EB9">
        <w:t xml:space="preserve"> was set at 150mg twice daily, rather than allowing some patients to receive a lower dose of 110mg twice </w:t>
      </w:r>
      <w:r w:rsidR="00407CD7">
        <w:t>daily; t</w:t>
      </w:r>
      <w:r w:rsidR="00E36870" w:rsidRPr="00EF4EB9">
        <w:t>he model could be adapted to reduce the dose when a p</w:t>
      </w:r>
      <w:r w:rsidR="00407CD7">
        <w:t xml:space="preserve">atient reaches a specified age. </w:t>
      </w:r>
      <w:r w:rsidR="00E36870" w:rsidRPr="00EF4EB9">
        <w:t>The stroke risk associated with patients with left atrial abnormalities is assumed to be constant at 8.0% (</w:t>
      </w:r>
      <w:r w:rsidR="00407CD7">
        <w:t>95% CI: 7.26 – 8.31) per year; i</w:t>
      </w:r>
      <w:r w:rsidR="00E36870" w:rsidRPr="00EF4EB9">
        <w:t>deally differential rates by age or by the number (and type) of abnormalities would be used but these data were not identified.</w:t>
      </w:r>
    </w:p>
    <w:p w:rsidR="00E36870" w:rsidRPr="00EF4EB9" w:rsidRDefault="00407CD7" w:rsidP="008D11C1">
      <w:r>
        <w:t xml:space="preserve">Perhaps a stronger assumption made in producing the model is that TOE is a perfect gold standard against which the sensitivity and specificity of TTE should be derived. Using this assumption, TTE was estimated to have a very high sensitivity but a specificity of only around 35%. Within </w:t>
      </w:r>
      <w:r w:rsidR="00E36064">
        <w:t xml:space="preserve">this </w:t>
      </w:r>
      <w:r>
        <w:t xml:space="preserve">model, this low specificity corresponds to an increased proportion of ‘false positives’ being included in the patient population mix, and so TTE results in more people effectively experiencing increased risks of OACs in terms of bleed risks without corresponding increased benefits in terms of stroke risk reduction. </w:t>
      </w:r>
      <w:r w:rsidR="00B24433">
        <w:t>If TTE were found to be superior to TOE at identifying certain types of LA ABN which expose patients to increased stroke risks, then this modeling assumption may be inaccurate</w:t>
      </w:r>
      <w:r w:rsidR="00E36064">
        <w:t>, and the true benefits of TTE in improving patient management would be underestimated</w:t>
      </w:r>
      <w:r w:rsidR="00B24433">
        <w:t xml:space="preserve">. </w:t>
      </w:r>
      <w:r>
        <w:t xml:space="preserve"> </w:t>
      </w:r>
      <w:r w:rsidR="00B24433">
        <w:t>The key data on which this economic evaluation is based – sensitivity, specificity, and TPHR – is</w:t>
      </w:r>
      <w:r w:rsidR="00E36870" w:rsidRPr="00EF4EB9">
        <w:t xml:space="preserve"> a relatively small study, of fewer than 400 patients, and in the group of interest, those patients who would be given a CHADS</w:t>
      </w:r>
      <w:r w:rsidR="00E36870" w:rsidRPr="00EF4EB9">
        <w:rPr>
          <w:vertAlign w:val="subscript"/>
        </w:rPr>
        <w:t>2</w:t>
      </w:r>
      <w:r w:rsidR="00E36870" w:rsidRPr="00EF4EB9">
        <w:t xml:space="preserve"> or CHA</w:t>
      </w:r>
      <w:r w:rsidR="00E36870" w:rsidRPr="00EF4EB9">
        <w:rPr>
          <w:vertAlign w:val="subscript"/>
        </w:rPr>
        <w:t>2</w:t>
      </w:r>
      <w:r w:rsidR="00E36870" w:rsidRPr="00EF4EB9">
        <w:t>DS</w:t>
      </w:r>
      <w:r w:rsidR="00E36870" w:rsidRPr="00EF4EB9">
        <w:rPr>
          <w:vertAlign w:val="subscript"/>
        </w:rPr>
        <w:t>2</w:t>
      </w:r>
      <w:r w:rsidR="00E36870" w:rsidRPr="00EF4EB9">
        <w:t>-VASc score of 0, fewer than 25 patients, and fewer than 80 patients with a CHADS</w:t>
      </w:r>
      <w:r w:rsidR="00E36870" w:rsidRPr="00EF4EB9">
        <w:rPr>
          <w:vertAlign w:val="subscript"/>
        </w:rPr>
        <w:t>2</w:t>
      </w:r>
      <w:r w:rsidR="00E36870" w:rsidRPr="00EF4EB9">
        <w:t xml:space="preserve"> or CHA</w:t>
      </w:r>
      <w:r w:rsidR="00E36870" w:rsidRPr="00EF4EB9">
        <w:rPr>
          <w:vertAlign w:val="subscript"/>
        </w:rPr>
        <w:t>2</w:t>
      </w:r>
      <w:r w:rsidR="00E36870" w:rsidRPr="00EF4EB9">
        <w:t>DS</w:t>
      </w:r>
      <w:r w:rsidR="00E36870" w:rsidRPr="00EF4EB9">
        <w:rPr>
          <w:vertAlign w:val="subscript"/>
        </w:rPr>
        <w:t>2</w:t>
      </w:r>
      <w:r w:rsidR="00E36870" w:rsidRPr="00EF4EB9">
        <w:t>-VASc score of 1. This has made the assessment of the benefits of TTE uncertain, particularly in addition to the use of CHA</w:t>
      </w:r>
      <w:r w:rsidR="00E36870" w:rsidRPr="00E36064">
        <w:rPr>
          <w:vertAlign w:val="subscript"/>
        </w:rPr>
        <w:t>2</w:t>
      </w:r>
      <w:r w:rsidR="00E36870" w:rsidRPr="00EF4EB9">
        <w:t>DS</w:t>
      </w:r>
      <w:r w:rsidR="00E36870" w:rsidRPr="00E36064">
        <w:rPr>
          <w:vertAlign w:val="subscript"/>
        </w:rPr>
        <w:t>2</w:t>
      </w:r>
      <w:r w:rsidR="00E36870" w:rsidRPr="00EF4EB9">
        <w:t>-VASc, which had the fewer number of patients.</w:t>
      </w:r>
    </w:p>
    <w:p w:rsidR="00E36870" w:rsidRDefault="00B24433" w:rsidP="008D11C1">
      <w:r>
        <w:lastRenderedPageBreak/>
        <w:t xml:space="preserve">Other limitations include that there were </w:t>
      </w:r>
      <w:r w:rsidR="00E36870" w:rsidRPr="00EF4EB9">
        <w:t>no data relating the risk of stroke with CHA</w:t>
      </w:r>
      <w:r w:rsidR="00E36870" w:rsidRPr="00E36064">
        <w:rPr>
          <w:vertAlign w:val="subscript"/>
        </w:rPr>
        <w:t>2</w:t>
      </w:r>
      <w:r w:rsidR="00E36870" w:rsidRPr="00EF4EB9">
        <w:t>DS</w:t>
      </w:r>
      <w:r w:rsidR="00E36870" w:rsidRPr="00E36064">
        <w:rPr>
          <w:vertAlign w:val="subscript"/>
        </w:rPr>
        <w:t>2</w:t>
      </w:r>
      <w:r w:rsidR="00E36870" w:rsidRPr="00EF4EB9">
        <w:t>-VASc score, and this was approximated using the risk of stroke associated with CHADS</w:t>
      </w:r>
      <w:r w:rsidR="00E36870" w:rsidRPr="00772D0B">
        <w:rPr>
          <w:vertAlign w:val="subscript"/>
        </w:rPr>
        <w:t>2</w:t>
      </w:r>
      <w:r>
        <w:t xml:space="preserve"> score; that t</w:t>
      </w:r>
      <w:r w:rsidR="00E36870" w:rsidRPr="00EF4EB9">
        <w:t xml:space="preserve">he risk of death unrelated to bleeding or stroke events was taken from </w:t>
      </w:r>
      <w:proofErr w:type="spellStart"/>
      <w:r w:rsidR="00E36870" w:rsidRPr="00EF4EB9">
        <w:t>lifetables</w:t>
      </w:r>
      <w:proofErr w:type="spellEnd"/>
      <w:r w:rsidR="00E36870" w:rsidRPr="00EF4EB9">
        <w:t xml:space="preserve"> and were not adjusted for the probability of bleeding or stroke mortality</w:t>
      </w:r>
      <w:r>
        <w:t>; and that t</w:t>
      </w:r>
      <w:r w:rsidR="00E36870" w:rsidRPr="00EF4EB9">
        <w:t xml:space="preserve">he patient groups </w:t>
      </w:r>
      <w:proofErr w:type="spellStart"/>
      <w:r w:rsidR="00E36870" w:rsidRPr="00EF4EB9">
        <w:t>analysed</w:t>
      </w:r>
      <w:proofErr w:type="spellEnd"/>
      <w:r w:rsidR="00E36870" w:rsidRPr="00EF4EB9">
        <w:t xml:space="preserve"> within the model was limited, being males aged 60 with a CHADS</w:t>
      </w:r>
      <w:r w:rsidR="00E36870" w:rsidRPr="00772D0B">
        <w:rPr>
          <w:vertAlign w:val="subscript"/>
        </w:rPr>
        <w:t>2</w:t>
      </w:r>
      <w:r w:rsidR="00E36870" w:rsidRPr="00EF4EB9">
        <w:t xml:space="preserve"> or CHA</w:t>
      </w:r>
      <w:r w:rsidR="00E36870" w:rsidRPr="00772D0B">
        <w:rPr>
          <w:vertAlign w:val="subscript"/>
        </w:rPr>
        <w:t>2</w:t>
      </w:r>
      <w:r w:rsidR="00E36870" w:rsidRPr="00EF4EB9">
        <w:t>DS</w:t>
      </w:r>
      <w:r w:rsidR="00E36870" w:rsidRPr="00772D0B">
        <w:rPr>
          <w:vertAlign w:val="subscript"/>
        </w:rPr>
        <w:t>2</w:t>
      </w:r>
      <w:r w:rsidR="00E36870" w:rsidRPr="00EF4EB9">
        <w:t>-VASc score of 0 or 1.</w:t>
      </w:r>
    </w:p>
    <w:p w:rsidR="00E93B06" w:rsidRDefault="00B24433" w:rsidP="008D11C1">
      <w:r>
        <w:t xml:space="preserve">Prior to producing this model, a systematic literature review was conducted </w:t>
      </w:r>
      <w:r w:rsidRPr="00EF4EB9">
        <w:t xml:space="preserve">to identify, </w:t>
      </w:r>
      <w:proofErr w:type="spellStart"/>
      <w:r w:rsidRPr="00EF4EB9">
        <w:t>summarise</w:t>
      </w:r>
      <w:proofErr w:type="spellEnd"/>
      <w:r w:rsidRPr="00EF4EB9">
        <w:t xml:space="preserve"> and appraise existing economic studies for evaluating the cost-effectiveness of TTE in patients with AF.</w:t>
      </w:r>
      <w:r>
        <w:t xml:space="preserve"> This review i</w:t>
      </w:r>
      <w:r w:rsidR="00E36870" w:rsidRPr="00EF4EB9">
        <w:t>dentified no economic evaluations of TTE in AF patients</w:t>
      </w:r>
      <w:r>
        <w:t>,</w:t>
      </w:r>
      <w:r w:rsidR="00E36870" w:rsidRPr="00EF4EB9">
        <w:t xml:space="preserve"> so it is believed that this is the first.  </w:t>
      </w:r>
    </w:p>
    <w:p w:rsidR="0005390C" w:rsidRDefault="0005390C" w:rsidP="003562A1">
      <w:pPr>
        <w:pStyle w:val="Heading3"/>
        <w:numPr>
          <w:ilvl w:val="0"/>
          <w:numId w:val="0"/>
        </w:numPr>
      </w:pPr>
      <w:r>
        <w:t>Implications for Research</w:t>
      </w:r>
    </w:p>
    <w:p w:rsidR="0061601D" w:rsidRDefault="00CB6661" w:rsidP="008D11C1">
      <w:r>
        <w:t>Sensitivity analyses indicate</w:t>
      </w:r>
      <w:r w:rsidR="00C46C92">
        <w:t>d</w:t>
      </w:r>
      <w:r>
        <w:t xml:space="preserve"> that </w:t>
      </w:r>
      <w:r w:rsidR="00C46C92">
        <w:t xml:space="preserve">the model’s cost-effectiveness estimates depend </w:t>
      </w:r>
      <w:r w:rsidR="00903CA6">
        <w:t>heavily</w:t>
      </w:r>
      <w:r w:rsidR="00C46C92">
        <w:t xml:space="preserve"> on </w:t>
      </w:r>
      <w:r>
        <w:t xml:space="preserve">sensitivity and specificity </w:t>
      </w:r>
      <w:r w:rsidR="00903CA6">
        <w:t>estimates</w:t>
      </w:r>
      <w:r>
        <w:t xml:space="preserve">, as well as the </w:t>
      </w:r>
      <w:r w:rsidR="00903CA6">
        <w:t>true proportion of genuinely high risk (LA ABN</w:t>
      </w:r>
      <w:r w:rsidR="00FB3E31">
        <w:t xml:space="preserve"> positive</w:t>
      </w:r>
      <w:r w:rsidR="00903CA6">
        <w:t xml:space="preserve">) patients </w:t>
      </w:r>
      <w:r w:rsidR="00FB3E31">
        <w:t xml:space="preserve">in </w:t>
      </w:r>
      <w:r w:rsidR="0061601D">
        <w:t>this sub population of apparently ‘low risk’ patients</w:t>
      </w:r>
      <w:r w:rsidR="00903CA6">
        <w:t>.</w:t>
      </w:r>
      <w:r w:rsidR="002857F0">
        <w:t xml:space="preserve"> </w:t>
      </w:r>
      <w:r w:rsidR="00FB3E31">
        <w:t>Whether it is valuable to do more research to reduce estimation uncertainty depends on whether this is likely to lead to a significant reduction in decision uncertainty. EVPI analyses suggest that further research may be cost-effective when CHADS</w:t>
      </w:r>
      <w:r w:rsidR="00FB3E31" w:rsidRPr="00FB3E31">
        <w:rPr>
          <w:vertAlign w:val="subscript"/>
        </w:rPr>
        <w:t>2</w:t>
      </w:r>
      <w:r w:rsidR="00FB3E31">
        <w:t xml:space="preserve"> alone is used as the baseline strategy, but not when CHA</w:t>
      </w:r>
      <w:r w:rsidR="00FB3E31" w:rsidRPr="00FB3E31">
        <w:rPr>
          <w:vertAlign w:val="subscript"/>
        </w:rPr>
        <w:t>2</w:t>
      </w:r>
      <w:r w:rsidR="00FB3E31">
        <w:t>DS</w:t>
      </w:r>
      <w:r w:rsidR="00FB3E31" w:rsidRPr="00FB3E31">
        <w:rPr>
          <w:vertAlign w:val="subscript"/>
        </w:rPr>
        <w:t>2</w:t>
      </w:r>
      <w:r w:rsidR="00FB3E31">
        <w:t xml:space="preserve">-VASc is the baseline strategy.  </w:t>
      </w:r>
      <w:r w:rsidR="0061601D">
        <w:t xml:space="preserve">However, the </w:t>
      </w:r>
      <w:r w:rsidR="002857F0">
        <w:t>model depends strongly on data reported in a single, relatively small study conducted outside of the UK, and so may under-represent the true level of uncertainty we have about sensitivity, specificity and TPHR.</w:t>
      </w:r>
      <w:r w:rsidR="00E36870" w:rsidRPr="00EF4EB9">
        <w:t xml:space="preserve"> </w:t>
      </w:r>
    </w:p>
    <w:p w:rsidR="00795047" w:rsidRDefault="0061601D" w:rsidP="008D11C1">
      <w:r>
        <w:t>A strong assumption made in the model is that the risk of stroke associated with each CHA</w:t>
      </w:r>
      <w:r w:rsidRPr="0061601D">
        <w:rPr>
          <w:vertAlign w:val="subscript"/>
        </w:rPr>
        <w:t>2</w:t>
      </w:r>
      <w:r>
        <w:t>DS</w:t>
      </w:r>
      <w:r w:rsidRPr="0061601D">
        <w:rPr>
          <w:vertAlign w:val="subscript"/>
        </w:rPr>
        <w:t>2</w:t>
      </w:r>
      <w:r>
        <w:t xml:space="preserve">-VASc score correspond </w:t>
      </w:r>
      <w:r w:rsidR="00795047">
        <w:t xml:space="preserve">exactly </w:t>
      </w:r>
      <w:r>
        <w:t xml:space="preserve">with each </w:t>
      </w:r>
      <w:r w:rsidRPr="008D11C1">
        <w:t>CHADS2</w:t>
      </w:r>
      <w:r>
        <w:t xml:space="preserve"> score. This is internally inconsistent as CHADS</w:t>
      </w:r>
      <w:r w:rsidRPr="0061601D">
        <w:rPr>
          <w:vertAlign w:val="subscript"/>
        </w:rPr>
        <w:t>2</w:t>
      </w:r>
      <w:r>
        <w:t xml:space="preserve"> assigns one additional points for being aged 75 or over whereas CHA</w:t>
      </w:r>
      <w:r w:rsidRPr="0061601D">
        <w:rPr>
          <w:vertAlign w:val="subscript"/>
        </w:rPr>
        <w:t>2</w:t>
      </w:r>
      <w:r>
        <w:t>DS</w:t>
      </w:r>
      <w:r w:rsidRPr="0061601D">
        <w:rPr>
          <w:vertAlign w:val="subscript"/>
        </w:rPr>
        <w:t>2</w:t>
      </w:r>
      <w:r>
        <w:t>-VASc assigns two points for being this age</w:t>
      </w:r>
      <w:r w:rsidR="00795047">
        <w:t>, and made because equivalent CHA2DS2-VASc risk data was not identified. This data would improve the validity of the model.</w:t>
      </w:r>
      <w:r w:rsidR="002857F0">
        <w:t xml:space="preserve"> </w:t>
      </w:r>
    </w:p>
    <w:p w:rsidR="00E36870" w:rsidRDefault="00795047" w:rsidP="008D11C1">
      <w:r w:rsidRPr="00EF4EB9">
        <w:t xml:space="preserve">A key uncertainty is whether there are other benefits that are accrued from a TTE other than identifying LA ABN. If these exist, and produce even small QALY gains (&gt; 0.0033) then TTE would be cost effective in all scenarios. </w:t>
      </w:r>
      <w:r w:rsidR="00E36870" w:rsidRPr="00EF4EB9">
        <w:t>Any additional benefit of TTE further to those associated with treatment for stroke prevention also needs to be researched. Even small gains would equate to TTE being perceived as cost effective.</w:t>
      </w:r>
    </w:p>
    <w:p w:rsidR="00903CA6" w:rsidRDefault="00903CA6" w:rsidP="008D11C1"/>
    <w:p w:rsidR="00903CA6" w:rsidRDefault="00903CA6" w:rsidP="008D11C1"/>
    <w:p w:rsidR="0005390C" w:rsidRDefault="0005390C" w:rsidP="003562A1">
      <w:pPr>
        <w:pStyle w:val="Heading3"/>
        <w:numPr>
          <w:ilvl w:val="0"/>
          <w:numId w:val="0"/>
        </w:numPr>
      </w:pPr>
      <w:r>
        <w:lastRenderedPageBreak/>
        <w:t>Implications for clinical practice</w:t>
      </w:r>
    </w:p>
    <w:p w:rsidR="00A42D14" w:rsidRDefault="00903CA6" w:rsidP="008D11C1">
      <w:r>
        <w:t xml:space="preserve">The direct burden of routinely screening all newly diagnosed TTE patients is likely to be low. </w:t>
      </w:r>
      <w:r w:rsidRPr="00EF4EB9">
        <w:t>The additional resources required are relatively small, at an estimated £66 per TTE performed.  It is likely that additional bed days are made available due to the reduction in stroke following appropriate management, although there is likely to be an increase in bleed related admissions.</w:t>
      </w:r>
      <w:r>
        <w:t xml:space="preserve"> </w:t>
      </w:r>
      <w:r w:rsidRPr="00EF4EB9">
        <w:t>Should TTE be recommended for those patients with CHADS</w:t>
      </w:r>
      <w:r w:rsidRPr="00EF4EB9">
        <w:rPr>
          <w:vertAlign w:val="subscript"/>
        </w:rPr>
        <w:t>2</w:t>
      </w:r>
      <w:r w:rsidRPr="00EF4EB9">
        <w:t xml:space="preserve"> or CHA</w:t>
      </w:r>
      <w:r w:rsidRPr="00EF4EB9">
        <w:rPr>
          <w:vertAlign w:val="subscript"/>
        </w:rPr>
        <w:t>2</w:t>
      </w:r>
      <w:r w:rsidRPr="00EF4EB9">
        <w:t>DS</w:t>
      </w:r>
      <w:r w:rsidRPr="00EF4EB9">
        <w:rPr>
          <w:vertAlign w:val="subscript"/>
        </w:rPr>
        <w:t>2</w:t>
      </w:r>
      <w:r w:rsidRPr="00EF4EB9">
        <w:t xml:space="preserve">-VASc scores of 0 or 1, this is unlikely to place a great burden on hospitals </w:t>
      </w:r>
      <w:proofErr w:type="gramStart"/>
      <w:r w:rsidRPr="00EF4EB9">
        <w:t>who</w:t>
      </w:r>
      <w:proofErr w:type="gramEnd"/>
      <w:r w:rsidRPr="00EF4EB9">
        <w:t xml:space="preserve"> are likely to have staff trained in the use of TTE machines.</w:t>
      </w:r>
      <w:r>
        <w:t xml:space="preserve"> </w:t>
      </w:r>
      <w:r w:rsidR="00155DF4" w:rsidRPr="00EF4EB9">
        <w:t>TTEs are relatively easily available as well as both safe and non-invasive for patients, with staff trained in their use likely to be already available in hospitals.</w:t>
      </w:r>
      <w:r w:rsidR="00A42D14">
        <w:t xml:space="preserve"> </w:t>
      </w:r>
    </w:p>
    <w:p w:rsidR="00E74F07" w:rsidRDefault="00E74F07" w:rsidP="008D11C1">
      <w:r>
        <w:t xml:space="preserve">This model </w:t>
      </w:r>
      <w:r w:rsidR="0047004A">
        <w:t xml:space="preserve">considers </w:t>
      </w:r>
      <w:r>
        <w:t xml:space="preserve">TTE as part of a diagnostic strategy. </w:t>
      </w:r>
      <w:r w:rsidR="0047004A">
        <w:t xml:space="preserve">As such, </w:t>
      </w:r>
      <w:r>
        <w:t>TTE can only affect clinical outcomes indirectly, through its effect on the treatment options selected as a result of it</w:t>
      </w:r>
      <w:r w:rsidR="0047004A">
        <w:t xml:space="preserve">. Recent changes in the recommended OAC for AF patients, from warfarin to </w:t>
      </w:r>
      <w:proofErr w:type="spellStart"/>
      <w:r w:rsidR="0047004A">
        <w:t>dabigatran</w:t>
      </w:r>
      <w:proofErr w:type="spellEnd"/>
      <w:r w:rsidR="0047004A">
        <w:t xml:space="preserve">, have led to changes in the added value of TTE in this context, as it has changed the proportion of patients where the new information from TTE is likely to make a difference to clinical management. Because </w:t>
      </w:r>
      <w:proofErr w:type="spellStart"/>
      <w:r w:rsidR="0047004A">
        <w:t>dabigatran</w:t>
      </w:r>
      <w:proofErr w:type="spellEnd"/>
      <w:r w:rsidR="0047004A">
        <w:t xml:space="preserve"> appears safer than warfarin, but is </w:t>
      </w:r>
      <w:proofErr w:type="spellStart"/>
      <w:r w:rsidR="0047004A">
        <w:t>noninferior</w:t>
      </w:r>
      <w:proofErr w:type="spellEnd"/>
      <w:r w:rsidR="0047004A">
        <w:t xml:space="preserve"> in terms of stroke risk reduction, the OAC is prescribed at a lower stroke risk threshold (one CHADS</w:t>
      </w:r>
      <w:r w:rsidR="0047004A" w:rsidRPr="0047004A">
        <w:rPr>
          <w:vertAlign w:val="subscript"/>
        </w:rPr>
        <w:t>2</w:t>
      </w:r>
      <w:r w:rsidR="0047004A">
        <w:t xml:space="preserve"> point rather than two for warfarin), and so information from TTE makes a difference for fewer AF patients, who are less likely to be of a genuinely high risk of stroke. This moving of the ‘tipping point’ </w:t>
      </w:r>
      <w:r w:rsidR="0047004A">
        <w:fldChar w:fldCharType="begin" w:fldLock="1"/>
      </w:r>
      <w:r w:rsidR="00F15320">
        <w:instrText xml:space="preserve">ADDIN Mendeley Citation{bc213b00-44f0-4d43-aff5-055d3d46fe45} CSL_CITATION  { "citationItems" : [ { "id" : "ITEM-1", "itemData" : { "DOI" : "CIRCOUTCOMES.110.958108 [pii]\n10.1161/CIRCOUTCOMES.110.958108", "ISBN" : "1941-7705 (Electronic)\n1941-7713 (Linking)", "abstract" : "BACKGROUND: The rate of ischemic stroke associated with traditional risk factors for patients with atrial fibrillation has declined over the past 2 decades. Furthermore, new and potentially safer anticoagulants are on the horizon. Thus, the balance between risk factors for stroke and benefit of anticoagulation may be shifting. METHODS AND RESULTS: The Markov state transition decision model was used to analyze the CHADS(2) score, above which anticoagulation is preferred, first using the stroke rate predicted for the CHADS(2) derivation cohort, and then using the stroke rate from the more contemporary AnTicoagulation and Risk Factors In Atrial Fibrillation cohort for any CHADS(2) score. The base case was a 69-year-old man with atrial fibrillation. Interventions included oral anticoagulant therapy with warfarin or a hypothetical \"new and safer\" anticoagulant (based on dabigatran), no antithrombotic therapy, or aspirin. Warfarin is preferred above a stroke rate of 1.7% per year, whereas aspirin is preferred at lower rates of stroke. Anticoagulation with warfarin is preferred even for a score of 0 using the higher rates of the older CHADS(2) derivation cohort. Using more contemporary and lower estimates of stroke risk raises the threshold for use of warfarin to a CHADS(2) score \u003e/=2. However, anticoagulation with a \"new, safer\" agent, modeled on the results of the Randomized Evaluation of Long-Term Anticoagulation Therapy trial of dabigatran, leads to a lowering of the threshold for anticoagulation to a stroke rate of 0.9% per year. CONCLUSIONS: Use of a more contemporary estimate of stroke risk shifts the \"tipping point,\" such that anticoagulation is preferred at a higher CHADS(2) score, reducing the number of patients for whom anticoagulation is recommended. The introduction of \"new, safer\" agents, however, would shift the tipping point in the opposite direction.", "author" : [ { "family" : "Eckman", "given" : "M H" }, { "family" : "Singer", "given" : "D E" }, { "family" : "Rosand", "given" : "J" }, { "family" : "Greenberg", "given" : "S M" } ], "container-title" : "Circ Cardiovasc Qual Outcomes", "edition" : "2010/12/09", "id" : "ITEM-1", "issue" : "1", "issued" : { "date-parts" : [ [ "2011" ] ] }, "note" : "\u003cm:note\u003eEckman, Mark H\u003cm:linebreak/\u003eSinger, Daniel E\u003cm:linebreak/\u003eRosand, Jonathan\u003cm:linebreak/\u003eGreenberg, Steven M\u003cm:linebreak/\u003eUL1 RR026314-01S1/RR/NCRR NIH HHS/United States\u003cm:linebreak/\u003eResearch Support, N.I.H., Extramural\u003cm:linebreak/\u003eResearch Support, Non-U.S. Gov't\u003cm:linebreak/\u003eUnited States\u003cm:linebreak/\u003eCirculation. Cardiovascular quality and outcomes\u003cm:linebreak/\u003eCirc Cardiovasc Qual Outcomes. 2011 Jan 1;4(1):14-21. Epub 2010 Dec 7.\u003c/m:note\u003e", "page" : "14-21", "title" : "Moving the tipping point: the decision to anticoagulate patients with atrial fibrillation", "type" : "article-journal", "volume" : "4" }, "uris" : [ "http://www.mendeley.com/documents/?uuid=bc213b00-44f0-4d43-aff5-055d3d46fe45" ] } ], "mendeley" : { "previouslyFormattedCitation" : "(25)" }, "properties" : { "noteIndex" : 0 }, "schema" : "https://github.com/citation-style-language/schema/raw/master/csl-citation.json" } </w:instrText>
      </w:r>
      <w:r w:rsidR="0047004A">
        <w:fldChar w:fldCharType="separate"/>
      </w:r>
      <w:r w:rsidR="002173F5" w:rsidRPr="002173F5">
        <w:rPr>
          <w:noProof/>
        </w:rPr>
        <w:t>(25)</w:t>
      </w:r>
      <w:r w:rsidR="0047004A">
        <w:fldChar w:fldCharType="end"/>
      </w:r>
      <w:r w:rsidR="0047004A">
        <w:t xml:space="preserve"> has meant that TTE has become less valuable in this context even </w:t>
      </w:r>
      <w:r w:rsidR="008D11C1">
        <w:t>as the technology has improved. However, TTE may have value for this population in other decision-making contexts, which this model has not explored. Given the</w:t>
      </w:r>
      <w:r w:rsidR="00F15320">
        <w:t xml:space="preserve"> very small one-off</w:t>
      </w:r>
      <w:r w:rsidR="008D11C1">
        <w:t xml:space="preserve"> cost of a single TTE test in the </w:t>
      </w:r>
      <w:r w:rsidR="00F15320">
        <w:t>context of large ongoing costs</w:t>
      </w:r>
      <w:r w:rsidR="008D11C1">
        <w:t xml:space="preserve"> of lifelong patient management for people with AF, TTE may represent a cost-effective use of resources overall even if not when making the OAC decision.</w:t>
      </w:r>
    </w:p>
    <w:p w:rsidR="00795047" w:rsidRDefault="00795047" w:rsidP="00EB5B27">
      <w:pPr>
        <w:pStyle w:val="Header"/>
        <w:spacing w:before="60" w:after="60" w:line="360" w:lineRule="auto"/>
        <w:rPr>
          <w:sz w:val="22"/>
          <w:szCs w:val="22"/>
        </w:rPr>
      </w:pPr>
    </w:p>
    <w:p w:rsidR="00155DF4" w:rsidRDefault="00155DF4" w:rsidP="00EB5B27">
      <w:pPr>
        <w:pStyle w:val="Header"/>
        <w:spacing w:before="60" w:after="60" w:line="360" w:lineRule="auto"/>
        <w:rPr>
          <w:sz w:val="22"/>
          <w:szCs w:val="22"/>
        </w:rPr>
      </w:pPr>
    </w:p>
    <w:p w:rsidR="00F15320" w:rsidRPr="00F15320" w:rsidRDefault="004111A3">
      <w:pPr>
        <w:pStyle w:val="NormalWeb"/>
        <w:ind w:left="640" w:hanging="640"/>
        <w:divId w:val="1673678176"/>
      </w:pPr>
      <w:r>
        <w:fldChar w:fldCharType="begin" w:fldLock="1"/>
      </w:r>
      <w:r w:rsidR="009C2038">
        <w:instrText xml:space="preserve">ADDIN Mendeley Bibliography CSL_BIBLIOGRAPHY </w:instrText>
      </w:r>
      <w:r>
        <w:fldChar w:fldCharType="separate"/>
      </w:r>
      <w:r w:rsidR="00F15320" w:rsidRPr="00F15320">
        <w:t xml:space="preserve">1. </w:t>
      </w:r>
      <w:r w:rsidR="00F15320" w:rsidRPr="00F15320">
        <w:tab/>
        <w:t>Go AS, Hylek EM, Phillips KA, Chang Y, Henault LE, Selby JV, et al. Prevalence of diagnosed atrial fibrillation in adults: national implications for rhythm management and stroke prevention: the AnTicoagulation and Risk Factors in Atrial Fibrillation (ATRIA) Study. JAMA : the journal of the American Medical Association [Internet]. 2001 May 9 [cited 2012 Mar 8];285(18):2370–5. Available from: http://www.ncbi.nlm.nih.gov/pubmed/11343485</w:t>
      </w:r>
    </w:p>
    <w:p w:rsidR="00F15320" w:rsidRPr="00F15320" w:rsidRDefault="00F15320">
      <w:pPr>
        <w:pStyle w:val="NormalWeb"/>
        <w:ind w:left="640" w:hanging="640"/>
        <w:divId w:val="1673678176"/>
      </w:pPr>
      <w:r w:rsidRPr="00F15320">
        <w:t xml:space="preserve">2. </w:t>
      </w:r>
      <w:r w:rsidRPr="00F15320">
        <w:tab/>
        <w:t xml:space="preserve">Rivaroxaban-once daily, oral, direct factor Xa inhibition compared with vitamin K antagonism for prevention of stroke and Embolism Trial in Atrial Fibrillation: rationale and design of the ROCKET AF study. American heart journal [Internet]. </w:t>
      </w:r>
      <w:r w:rsidRPr="00F15320">
        <w:lastRenderedPageBreak/>
        <w:t>2010 Mar [cited 2012 Apr 4];159(3):340–7.e1. Available from: http://www.ncbi.nlm.nih.gov/pubmed/20211293</w:t>
      </w:r>
    </w:p>
    <w:p w:rsidR="00F15320" w:rsidRPr="00F15320" w:rsidRDefault="00F15320">
      <w:pPr>
        <w:pStyle w:val="NormalWeb"/>
        <w:ind w:left="640" w:hanging="640"/>
        <w:divId w:val="1673678176"/>
      </w:pPr>
      <w:r w:rsidRPr="00F15320">
        <w:t xml:space="preserve">3. </w:t>
      </w:r>
      <w:r w:rsidRPr="00F15320">
        <w:tab/>
        <w:t>NICE. Final appraisal determination – Dabigatran etexilate for the prevention of stroke and systemic embolism in atrial fibrillation [Internet]. 2012. Available from: http://www.nice.org.uk/nicemedia/live/12225/56899/56899.pdf</w:t>
      </w:r>
    </w:p>
    <w:p w:rsidR="00F15320" w:rsidRPr="00F15320" w:rsidRDefault="00F15320">
      <w:pPr>
        <w:pStyle w:val="NormalWeb"/>
        <w:ind w:left="640" w:hanging="640"/>
        <w:divId w:val="1673678176"/>
      </w:pPr>
      <w:r w:rsidRPr="00F15320">
        <w:t xml:space="preserve">4. </w:t>
      </w:r>
      <w:r w:rsidRPr="00F15320">
        <w:tab/>
        <w:t>Eikelboom JW, Wallentin L, Connolly SJ, Ezekowitz M, Healey JS, Oldgren J, et al. Risk of bleeding with 2 doses of dabigatran compared with warfarin in older and younger patients with atrial fibrillation: an analysis of the randomized evaluation of long-term anticoagulant therapy (RE-LY) trial. Circulation [Internet]. 2011;123(21):2363–72. Available from: http://www.ncbi.nlm.nih.gov/pubmed/21576658</w:t>
      </w:r>
    </w:p>
    <w:p w:rsidR="00F15320" w:rsidRPr="00F15320" w:rsidRDefault="00F15320">
      <w:pPr>
        <w:pStyle w:val="NormalWeb"/>
        <w:ind w:left="640" w:hanging="640"/>
        <w:divId w:val="1673678176"/>
      </w:pPr>
      <w:r w:rsidRPr="00F15320">
        <w:t xml:space="preserve">5. </w:t>
      </w:r>
      <w:r w:rsidRPr="00F15320">
        <w:tab/>
        <w:t>Transesophageal echocardiographic correlates of thromboembolism in high-risk patients with nonvalvular atrial fibrillation. The Stroke Prevention in Atrial Fibrillation Investigators Committee on Echocardiography. Ann Intern Med [Internet]. 1998;128(8):639–47. Available from: http://www.ncbi.nlm.nih.gov/pubmed/9537937</w:t>
      </w:r>
    </w:p>
    <w:p w:rsidR="00F15320" w:rsidRPr="00F15320" w:rsidRDefault="00F15320">
      <w:pPr>
        <w:pStyle w:val="NormalWeb"/>
        <w:ind w:left="640" w:hanging="640"/>
        <w:divId w:val="1673678176"/>
      </w:pPr>
      <w:r w:rsidRPr="00F15320">
        <w:t xml:space="preserve">6. </w:t>
      </w:r>
      <w:r w:rsidRPr="00F15320">
        <w:tab/>
        <w:t>Providencia R, Botelho A, Trigo J, Quintal N, Nascimento J, Mota P, et al. Possible refinement of clinical thromboembolism assessment in patients with atrial fibrillation using echocardiographic parameters. Europace [Internet]. 2012;14(1):36–45. Available from: http://www.ncbi.nlm.nih.gov/pubmed/21868410</w:t>
      </w:r>
    </w:p>
    <w:p w:rsidR="00F15320" w:rsidRPr="00F15320" w:rsidRDefault="00F15320">
      <w:pPr>
        <w:pStyle w:val="NormalWeb"/>
        <w:ind w:left="640" w:hanging="640"/>
        <w:divId w:val="1673678176"/>
      </w:pPr>
      <w:r w:rsidRPr="00F15320">
        <w:t xml:space="preserve">7. </w:t>
      </w:r>
      <w:r w:rsidRPr="00F15320">
        <w:tab/>
        <w:t>ONS. Interim Life Tables [Internet]. 2011;2012(12 January). Available from: http://www.ons.gov.uk/ons/taxonomy/index.html?nscl=Interim+Life+Tables</w:t>
      </w:r>
    </w:p>
    <w:p w:rsidR="00F15320" w:rsidRPr="00F15320" w:rsidRDefault="00F15320">
      <w:pPr>
        <w:pStyle w:val="NormalWeb"/>
        <w:ind w:left="640" w:hanging="640"/>
        <w:divId w:val="1673678176"/>
      </w:pPr>
      <w:r w:rsidRPr="00F15320">
        <w:t xml:space="preserve">8. </w:t>
      </w:r>
      <w:r w:rsidRPr="00F15320">
        <w:tab/>
        <w:t>Gage BF, van Walraven C, Pearce L, Hart RG, Koudstaal PJ, Boode BS, et al. Selecting patients with atrial fibrillation for anticoagulation: stroke risk stratification in patients taking aspirin. Circulation [Internet]. 2004;110(16):2287–92. Available from: http://www.ncbi.nlm.nih.gov/pubmed/15477396</w:t>
      </w:r>
    </w:p>
    <w:p w:rsidR="00F15320" w:rsidRPr="00F15320" w:rsidRDefault="00F15320">
      <w:pPr>
        <w:pStyle w:val="NormalWeb"/>
        <w:ind w:left="640" w:hanging="640"/>
        <w:divId w:val="1673678176"/>
      </w:pPr>
      <w:r w:rsidRPr="00F15320">
        <w:t xml:space="preserve">9. </w:t>
      </w:r>
      <w:r w:rsidRPr="00F15320">
        <w:tab/>
        <w:t>Connolly SJ, Ezekowitz MD, Yusuf S, Eikelboom J, Oldgren J, Parekh A, et al. Dabigatran versus warfarin in patients with atrial fibrillation. N Engl J Med [Internet]. 2009;361(12):1139–51. Available from: http://www.ncbi.nlm.nih.gov/pubmed/19717844</w:t>
      </w:r>
    </w:p>
    <w:p w:rsidR="00F15320" w:rsidRPr="00F15320" w:rsidRDefault="00F15320">
      <w:pPr>
        <w:pStyle w:val="NormalWeb"/>
        <w:ind w:left="640" w:hanging="640"/>
        <w:divId w:val="1673678176"/>
      </w:pPr>
      <w:r w:rsidRPr="00F15320">
        <w:t xml:space="preserve">10. </w:t>
      </w:r>
      <w:r w:rsidRPr="00F15320">
        <w:tab/>
        <w:t>Lip GYH, Edwards SJ. Stroke prevention with aspirin, warfarin and ximelagatran in patients with non-valvular atrial fibrillation: a systematic review and meta-analysis. Thrombosis research [Internet]. 2006 Jan [cited 2012 Apr 5];118(3):321–33. Available from: http://www.ncbi.nlm.nih.gov/pubmed/16198396</w:t>
      </w:r>
    </w:p>
    <w:p w:rsidR="00F15320" w:rsidRPr="00F15320" w:rsidRDefault="00F15320">
      <w:pPr>
        <w:pStyle w:val="NormalWeb"/>
        <w:ind w:left="640" w:hanging="640"/>
        <w:divId w:val="1673678176"/>
      </w:pPr>
      <w:r w:rsidRPr="00F15320">
        <w:t xml:space="preserve">11. </w:t>
      </w:r>
      <w:r w:rsidRPr="00F15320">
        <w:tab/>
        <w:t>Rivero-Arias O, Ouellet M, Gray A, Wolstenholme J, Rothwell PM, Luengo-Fernandez R. Mapping the Modified Rankin Scale (mRS) Measurement into the Generic EuroQol (EQ-5D) Health Outcome. Medical Decision Making [Internet]. 2010;30(3):341–54. Available from: &lt;Go to ISI&gt;://000277892800009</w:t>
      </w:r>
    </w:p>
    <w:p w:rsidR="00F15320" w:rsidRPr="00F15320" w:rsidRDefault="00F15320">
      <w:pPr>
        <w:pStyle w:val="NormalWeb"/>
        <w:ind w:left="640" w:hanging="640"/>
        <w:divId w:val="1673678176"/>
      </w:pPr>
      <w:r w:rsidRPr="00F15320">
        <w:t xml:space="preserve">12. </w:t>
      </w:r>
      <w:r w:rsidRPr="00F15320">
        <w:tab/>
        <w:t xml:space="preserve">Simpson EL, Stevenson MD, Rawdin A, Papaioannou D. Thrombophilia testing in people with venous thromboembolism: systematic review and cost-effectiveness analysis. Health Technology Assessment. 2009;13(2). </w:t>
      </w:r>
    </w:p>
    <w:p w:rsidR="00F15320" w:rsidRPr="00F15320" w:rsidRDefault="00F15320">
      <w:pPr>
        <w:pStyle w:val="NormalWeb"/>
        <w:ind w:left="640" w:hanging="640"/>
        <w:divId w:val="1673678176"/>
      </w:pPr>
      <w:r w:rsidRPr="00F15320">
        <w:lastRenderedPageBreak/>
        <w:t xml:space="preserve">13. </w:t>
      </w:r>
      <w:r w:rsidRPr="00F15320">
        <w:tab/>
        <w:t>Ara R, Brazier JE. Populating an economic model with health state utility values: moving toward better practice. Value in health : the journal of the International Society for Pharmacoeconomics and Outcomes Research [Internet]. 2010 Aug [cited 2012 Apr 4];13(5):509–18. Available from: http://www.ncbi.nlm.nih.gov/pubmed/20230546</w:t>
      </w:r>
    </w:p>
    <w:p w:rsidR="00F15320" w:rsidRPr="00F15320" w:rsidRDefault="00F15320">
      <w:pPr>
        <w:pStyle w:val="NormalWeb"/>
        <w:ind w:left="640" w:hanging="640"/>
        <w:divId w:val="1673678176"/>
      </w:pPr>
      <w:r w:rsidRPr="00F15320">
        <w:t xml:space="preserve">14. </w:t>
      </w:r>
      <w:r w:rsidRPr="00F15320">
        <w:tab/>
        <w:t>NICE. Dabigatran etexilate for the prevention of stroke and systemic embolism in atrial fibrillation: Final appraisal determination [Internet]. 2011;2012(12 January). Available from: http://www.nice.org.uk/nicemedia/live/12225/56899/56899.pdf</w:t>
      </w:r>
    </w:p>
    <w:p w:rsidR="00F15320" w:rsidRPr="00F15320" w:rsidRDefault="00F15320">
      <w:pPr>
        <w:pStyle w:val="NormalWeb"/>
        <w:ind w:left="640" w:hanging="640"/>
        <w:divId w:val="1673678176"/>
      </w:pPr>
      <w:r w:rsidRPr="00F15320">
        <w:t xml:space="preserve">15. </w:t>
      </w:r>
      <w:r w:rsidRPr="00F15320">
        <w:tab/>
        <w:t>DoH. NHS Reference Costs 2009-2010 [Internet]. 2011;2012(12 January). Available from: http://www.dh.gov.uk/en/Publicationsandstatistics/Publications/PublicationsPolicyAndGuidance/DH_123459</w:t>
      </w:r>
    </w:p>
    <w:p w:rsidR="00F15320" w:rsidRPr="00F15320" w:rsidRDefault="00F15320">
      <w:pPr>
        <w:pStyle w:val="NormalWeb"/>
        <w:ind w:left="640" w:hanging="640"/>
        <w:divId w:val="1673678176"/>
      </w:pPr>
      <w:r w:rsidRPr="00F15320">
        <w:t xml:space="preserve">16. </w:t>
      </w:r>
      <w:r w:rsidRPr="00F15320">
        <w:tab/>
        <w:t xml:space="preserve">Sandercock P, Berge E, Dennis M, Forbes J, Hand P, Kwan J, et al. A systematic review of the effectiveness, cost-effectiveness and barriers to implementation of thrombolytic and neuroprotective therapy for acute ischaemic stroke in the NHS. Health Technology Assessment. 2002;6(26). </w:t>
      </w:r>
    </w:p>
    <w:p w:rsidR="00F15320" w:rsidRPr="00F15320" w:rsidRDefault="00F15320">
      <w:pPr>
        <w:pStyle w:val="NormalWeb"/>
        <w:ind w:left="640" w:hanging="640"/>
        <w:divId w:val="1673678176"/>
      </w:pPr>
      <w:r w:rsidRPr="00F15320">
        <w:t xml:space="preserve">17. </w:t>
      </w:r>
      <w:r w:rsidRPr="00F15320">
        <w:tab/>
        <w:t>NHS. National Stroke Strategy Impact Assessment [Internet]. 2007;2012(13 January). Available from: http://www.dh.gov.uk/prod_consum_dh/groups/dh_digitalassets/documents/digitalasset/dh_081054.pdf</w:t>
      </w:r>
    </w:p>
    <w:p w:rsidR="00F15320" w:rsidRPr="00F15320" w:rsidRDefault="00F15320">
      <w:pPr>
        <w:pStyle w:val="NormalWeb"/>
        <w:ind w:left="640" w:hanging="640"/>
        <w:divId w:val="1673678176"/>
      </w:pPr>
      <w:r w:rsidRPr="00F15320">
        <w:t xml:space="preserve">18. </w:t>
      </w:r>
      <w:r w:rsidRPr="00F15320">
        <w:tab/>
        <w:t>Curtis L. Unit Costs of Health and Social Care 2010 [Internet]. Kent: 2010. Available from: http://www.pssru.ac.uk/archive/pdf/uc/uc2010/uc2010.pdf</w:t>
      </w:r>
    </w:p>
    <w:p w:rsidR="00F15320" w:rsidRPr="00F15320" w:rsidRDefault="00F15320">
      <w:pPr>
        <w:pStyle w:val="NormalWeb"/>
        <w:ind w:left="640" w:hanging="640"/>
        <w:divId w:val="1673678176"/>
      </w:pPr>
      <w:r w:rsidRPr="00F15320">
        <w:t xml:space="preserve">19. </w:t>
      </w:r>
      <w:r w:rsidRPr="00F15320">
        <w:tab/>
        <w:t>Office for National Statistics. Interim Life Tables: Summaries UK interim Life Tables, 1980-82 to 2008-10 [Internet]. 2012 [cited 2011 Sep 29];Available from: http://www.ons.gov.uk/ons/rel/lifetables/interim-life-tables/2008-2010/sum-ilt-2008-10.html</w:t>
      </w:r>
    </w:p>
    <w:p w:rsidR="00F15320" w:rsidRPr="00F15320" w:rsidRDefault="00F15320">
      <w:pPr>
        <w:pStyle w:val="NormalWeb"/>
        <w:ind w:left="640" w:hanging="640"/>
        <w:divId w:val="1673678176"/>
      </w:pPr>
      <w:r w:rsidRPr="00F15320">
        <w:t xml:space="preserve">20. </w:t>
      </w:r>
      <w:r w:rsidRPr="00F15320">
        <w:tab/>
        <w:t>Gage BF, Waterman AD, Shannon W, Boechler M, Rich MW, Radford MJ. Validation of Clinical Classification Schemes for Predicting Stroke. JAMA: The Journal of the American Medical Association [Internet]. 2001;285(22):2864–70. Available from: http://jama.ama-assn.org/content/285/22/2864.abstract</w:t>
      </w:r>
    </w:p>
    <w:p w:rsidR="00F15320" w:rsidRPr="00F15320" w:rsidRDefault="00F15320">
      <w:pPr>
        <w:pStyle w:val="NormalWeb"/>
        <w:ind w:left="640" w:hanging="640"/>
        <w:divId w:val="1673678176"/>
      </w:pPr>
      <w:r w:rsidRPr="00F15320">
        <w:t xml:space="preserve">21. </w:t>
      </w:r>
      <w:r w:rsidRPr="00F15320">
        <w:tab/>
        <w:t xml:space="preserve">Simpson EL, Stevenson MD, Scope A, Poku E, Minton J, Evans P. Echocardiography in newly diagnosed atrial fibrillation patients: a systematic review and economic evaluation. 2012. </w:t>
      </w:r>
    </w:p>
    <w:p w:rsidR="00F15320" w:rsidRPr="00F15320" w:rsidRDefault="00F15320">
      <w:pPr>
        <w:pStyle w:val="NormalWeb"/>
        <w:ind w:left="640" w:hanging="640"/>
        <w:divId w:val="1673678176"/>
      </w:pPr>
      <w:r w:rsidRPr="00F15320">
        <w:t xml:space="preserve">22. </w:t>
      </w:r>
      <w:r w:rsidRPr="00F15320">
        <w:tab/>
        <w:t>Claxton K, Posnett J. An economic approach to clinical trial design and research priority-setting. Health Economics [Internet]. 1996;5(6):513–24. Available from: http://www.ncbi.nlm.nih.gov/pubmed/9003938</w:t>
      </w:r>
    </w:p>
    <w:p w:rsidR="00F15320" w:rsidRPr="00F15320" w:rsidRDefault="00F15320">
      <w:pPr>
        <w:pStyle w:val="NormalWeb"/>
        <w:ind w:left="640" w:hanging="640"/>
        <w:divId w:val="1673678176"/>
      </w:pPr>
      <w:r w:rsidRPr="00F15320">
        <w:t xml:space="preserve">23. </w:t>
      </w:r>
      <w:r w:rsidRPr="00F15320">
        <w:tab/>
        <w:t>Stewart S. Population prevalence, incidence, and predictors of atrial fibrillation in the Renfrew/Paisley study. Heart [Internet]. 2001 Nov 1 [cited 2012 Mar 17];86(5):516–21. Available from: http://heart.bmj.com/cgi/doi/10.1136/heart.86.5.516</w:t>
      </w:r>
    </w:p>
    <w:p w:rsidR="00F15320" w:rsidRPr="00F15320" w:rsidRDefault="00F15320">
      <w:pPr>
        <w:pStyle w:val="NormalWeb"/>
        <w:ind w:left="640" w:hanging="640"/>
        <w:divId w:val="1673678176"/>
      </w:pPr>
      <w:r w:rsidRPr="00F15320">
        <w:lastRenderedPageBreak/>
        <w:t xml:space="preserve">24. </w:t>
      </w:r>
      <w:r w:rsidRPr="00F15320">
        <w:tab/>
        <w:t>Office for National Statistics. Population Estimates by Marital Status, Mid-2010. 2012 [Internet]. [cited 2012];Available from: http://www.ons.gov.uk/ons/publications/re-reference-tables.html?edition=tcm:77-231283</w:t>
      </w:r>
    </w:p>
    <w:p w:rsidR="00F15320" w:rsidRPr="00F15320" w:rsidRDefault="00F15320">
      <w:pPr>
        <w:pStyle w:val="NormalWeb"/>
        <w:ind w:left="640" w:hanging="640"/>
        <w:divId w:val="1673678176"/>
      </w:pPr>
      <w:r w:rsidRPr="00F15320">
        <w:t xml:space="preserve">25. </w:t>
      </w:r>
      <w:r w:rsidRPr="00F15320">
        <w:tab/>
        <w:t xml:space="preserve">Eckman MH, Singer DE, Rosand J, Greenberg SM. Moving the tipping point: the decision to anticoagulate patients with atrial fibrillation. Circ Cardiovasc Qual Outcomes [Internet]. 2011;4(1):14–21. Available from: http://www.ncbi.nlm.nih.gov/pubmed/21139092 </w:t>
      </w:r>
    </w:p>
    <w:p w:rsidR="00E36870" w:rsidRDefault="004111A3" w:rsidP="00F15320">
      <w:pPr>
        <w:pStyle w:val="NormalWeb"/>
        <w:ind w:left="640" w:hanging="640"/>
        <w:divId w:val="1473206292"/>
      </w:pPr>
      <w:r>
        <w:fldChar w:fldCharType="end"/>
      </w:r>
    </w:p>
    <w:sectPr w:rsidR="00E36870" w:rsidSect="009B762A">
      <w:footerReference w:type="default" r:id="rId2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54" w:author="Matt" w:date="2012-04-10T16:15:00Z" w:initials="M">
    <w:p w:rsidR="00F15320" w:rsidRDefault="00F15320" w:rsidP="008D11C1">
      <w:pPr>
        <w:pStyle w:val="CommentText"/>
      </w:pPr>
      <w:r>
        <w:rPr>
          <w:rStyle w:val="CommentReference"/>
        </w:rPr>
        <w:annotationRef/>
      </w:r>
      <w:r>
        <w:t>Ref needed</w:t>
      </w:r>
    </w:p>
    <w:p w:rsidR="00ED065B" w:rsidRDefault="00ED065B" w:rsidP="008D11C1">
      <w:pPr>
        <w:pStyle w:val="CommentText"/>
      </w:pPr>
      <w:r>
        <w:t>[Ref still needed!]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320" w:rsidRDefault="00F15320" w:rsidP="008D11C1">
      <w:r>
        <w:separator/>
      </w:r>
    </w:p>
  </w:endnote>
  <w:endnote w:type="continuationSeparator" w:id="0">
    <w:p w:rsidR="00F15320" w:rsidRDefault="00F15320" w:rsidP="008D1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707050"/>
      <w:docPartObj>
        <w:docPartGallery w:val="Page Numbers (Bottom of Page)"/>
        <w:docPartUnique/>
      </w:docPartObj>
    </w:sdtPr>
    <w:sdtEndPr/>
    <w:sdtContent>
      <w:p w:rsidR="00F15320" w:rsidRDefault="00ED065B" w:rsidP="008D11C1">
        <w:pPr>
          <w:pStyle w:val="Footer"/>
        </w:pPr>
        <w:r>
          <w:fldChar w:fldCharType="begin"/>
        </w:r>
        <w:r>
          <w:instrText xml:space="preserve"> PAGE   \* MERGEFORMAT </w:instrText>
        </w:r>
        <w:r>
          <w:fldChar w:fldCharType="separate"/>
        </w:r>
        <w:r>
          <w:rPr>
            <w:noProof/>
          </w:rPr>
          <w:t>1</w:t>
        </w:r>
        <w:r>
          <w:rPr>
            <w:noProof/>
          </w:rPr>
          <w:fldChar w:fldCharType="end"/>
        </w:r>
      </w:p>
    </w:sdtContent>
  </w:sdt>
  <w:p w:rsidR="00F15320" w:rsidRDefault="00F15320" w:rsidP="008D11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707048"/>
      <w:docPartObj>
        <w:docPartGallery w:val="Page Numbers (Bottom of Page)"/>
        <w:docPartUnique/>
      </w:docPartObj>
    </w:sdtPr>
    <w:sdtEndPr/>
    <w:sdtContent>
      <w:p w:rsidR="00F15320" w:rsidRDefault="00ED065B" w:rsidP="008D11C1">
        <w:pPr>
          <w:pStyle w:val="Footer"/>
        </w:pPr>
        <w:r>
          <w:fldChar w:fldCharType="begin"/>
        </w:r>
        <w:r>
          <w:instrText xml:space="preserve"> PAGE   \* MERGEFORMAT </w:instrText>
        </w:r>
        <w:r>
          <w:fldChar w:fldCharType="separate"/>
        </w:r>
        <w:r>
          <w:rPr>
            <w:noProof/>
          </w:rPr>
          <w:t>19</w:t>
        </w:r>
        <w:r>
          <w:rPr>
            <w:noProof/>
          </w:rPr>
          <w:fldChar w:fldCharType="end"/>
        </w:r>
      </w:p>
    </w:sdtContent>
  </w:sdt>
  <w:p w:rsidR="00F15320" w:rsidRDefault="00F15320" w:rsidP="008D1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320" w:rsidRDefault="00F15320" w:rsidP="008D11C1">
      <w:r>
        <w:separator/>
      </w:r>
    </w:p>
  </w:footnote>
  <w:footnote w:type="continuationSeparator" w:id="0">
    <w:p w:rsidR="00F15320" w:rsidRDefault="00F15320" w:rsidP="008D11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5CE79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EC1B82"/>
    <w:multiLevelType w:val="hybridMultilevel"/>
    <w:tmpl w:val="67080E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1DC38A2"/>
    <w:multiLevelType w:val="hybridMultilevel"/>
    <w:tmpl w:val="DDE08F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F592D76"/>
    <w:multiLevelType w:val="multilevel"/>
    <w:tmpl w:val="6624D892"/>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Restart w:val="1"/>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4">
    <w:nsid w:val="37D231FA"/>
    <w:multiLevelType w:val="hybridMultilevel"/>
    <w:tmpl w:val="1D56AD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BBA72F4"/>
    <w:multiLevelType w:val="hybridMultilevel"/>
    <w:tmpl w:val="3CF04F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DBF7621"/>
    <w:multiLevelType w:val="hybridMultilevel"/>
    <w:tmpl w:val="10B2CB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decimal"/>
        <w:pStyle w:val="Heading3"/>
        <w:lvlText w:val="%1.%2.%3."/>
        <w:lvlJc w:val="left"/>
        <w:pPr>
          <w:ind w:left="0" w:firstLine="0"/>
        </w:pPr>
        <w:rPr>
          <w:rFonts w:hint="default"/>
        </w:rPr>
      </w:lvl>
    </w:lvlOverride>
  </w:num>
  <w:num w:numId="2">
    <w:abstractNumId w:val="3"/>
  </w:num>
  <w:num w:numId="3">
    <w:abstractNumId w:val="1"/>
  </w:num>
  <w:num w:numId="4">
    <w:abstractNumId w:val="6"/>
  </w:num>
  <w:num w:numId="5">
    <w:abstractNumId w:val="5"/>
  </w:num>
  <w:num w:numId="6">
    <w:abstractNumId w:val="4"/>
  </w:num>
  <w:num w:numId="7">
    <w:abstractNumId w:val="2"/>
  </w:num>
  <w:num w:numId="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259D1"/>
    <w:rsid w:val="00004236"/>
    <w:rsid w:val="00023D5D"/>
    <w:rsid w:val="0005390C"/>
    <w:rsid w:val="000A4ABF"/>
    <w:rsid w:val="000C54E6"/>
    <w:rsid w:val="000F1109"/>
    <w:rsid w:val="000F1748"/>
    <w:rsid w:val="001259D1"/>
    <w:rsid w:val="00155B53"/>
    <w:rsid w:val="00155DF4"/>
    <w:rsid w:val="00161B1F"/>
    <w:rsid w:val="002173F5"/>
    <w:rsid w:val="00260232"/>
    <w:rsid w:val="00263B7C"/>
    <w:rsid w:val="002857F0"/>
    <w:rsid w:val="002908BA"/>
    <w:rsid w:val="002970B4"/>
    <w:rsid w:val="002C4C31"/>
    <w:rsid w:val="00305A5B"/>
    <w:rsid w:val="00307F5F"/>
    <w:rsid w:val="00313F74"/>
    <w:rsid w:val="00321AA3"/>
    <w:rsid w:val="003562A1"/>
    <w:rsid w:val="00356EEF"/>
    <w:rsid w:val="00366B50"/>
    <w:rsid w:val="00374A9D"/>
    <w:rsid w:val="00395BE3"/>
    <w:rsid w:val="00397282"/>
    <w:rsid w:val="00397705"/>
    <w:rsid w:val="003E2F7C"/>
    <w:rsid w:val="003F5221"/>
    <w:rsid w:val="00407CD7"/>
    <w:rsid w:val="004111A3"/>
    <w:rsid w:val="00436D67"/>
    <w:rsid w:val="00440383"/>
    <w:rsid w:val="0044580B"/>
    <w:rsid w:val="00454436"/>
    <w:rsid w:val="0047004A"/>
    <w:rsid w:val="00492057"/>
    <w:rsid w:val="00501F33"/>
    <w:rsid w:val="00512460"/>
    <w:rsid w:val="00542E72"/>
    <w:rsid w:val="005A2BAB"/>
    <w:rsid w:val="005B4084"/>
    <w:rsid w:val="005E46D7"/>
    <w:rsid w:val="00604F56"/>
    <w:rsid w:val="00605BB7"/>
    <w:rsid w:val="006071D2"/>
    <w:rsid w:val="0061601D"/>
    <w:rsid w:val="00655A1D"/>
    <w:rsid w:val="00657538"/>
    <w:rsid w:val="00665212"/>
    <w:rsid w:val="00670364"/>
    <w:rsid w:val="006B7EC6"/>
    <w:rsid w:val="006C6A74"/>
    <w:rsid w:val="006D7B3B"/>
    <w:rsid w:val="006E020D"/>
    <w:rsid w:val="0070222B"/>
    <w:rsid w:val="0071040B"/>
    <w:rsid w:val="00715C19"/>
    <w:rsid w:val="00772D0B"/>
    <w:rsid w:val="00795047"/>
    <w:rsid w:val="00796E10"/>
    <w:rsid w:val="007B765A"/>
    <w:rsid w:val="007D019C"/>
    <w:rsid w:val="008539B5"/>
    <w:rsid w:val="00862C39"/>
    <w:rsid w:val="00867ABA"/>
    <w:rsid w:val="00875B61"/>
    <w:rsid w:val="008864FC"/>
    <w:rsid w:val="0089571D"/>
    <w:rsid w:val="008C72E4"/>
    <w:rsid w:val="008D11C1"/>
    <w:rsid w:val="008D613B"/>
    <w:rsid w:val="00903CA6"/>
    <w:rsid w:val="00930CCB"/>
    <w:rsid w:val="00932F8B"/>
    <w:rsid w:val="0094141C"/>
    <w:rsid w:val="00972322"/>
    <w:rsid w:val="00974077"/>
    <w:rsid w:val="00983B8D"/>
    <w:rsid w:val="009B513D"/>
    <w:rsid w:val="009B762A"/>
    <w:rsid w:val="009C2038"/>
    <w:rsid w:val="009C2BE1"/>
    <w:rsid w:val="009F27B4"/>
    <w:rsid w:val="00A059E1"/>
    <w:rsid w:val="00A07773"/>
    <w:rsid w:val="00A12911"/>
    <w:rsid w:val="00A40066"/>
    <w:rsid w:val="00A42D14"/>
    <w:rsid w:val="00A541AC"/>
    <w:rsid w:val="00A8404E"/>
    <w:rsid w:val="00A96DA4"/>
    <w:rsid w:val="00AE69C3"/>
    <w:rsid w:val="00AF094E"/>
    <w:rsid w:val="00B14037"/>
    <w:rsid w:val="00B24433"/>
    <w:rsid w:val="00B325C3"/>
    <w:rsid w:val="00B37EDA"/>
    <w:rsid w:val="00B43839"/>
    <w:rsid w:val="00B577E8"/>
    <w:rsid w:val="00B7598B"/>
    <w:rsid w:val="00B819AE"/>
    <w:rsid w:val="00BD4F95"/>
    <w:rsid w:val="00C007A4"/>
    <w:rsid w:val="00C23AC0"/>
    <w:rsid w:val="00C3051A"/>
    <w:rsid w:val="00C46C92"/>
    <w:rsid w:val="00C6586B"/>
    <w:rsid w:val="00CB6661"/>
    <w:rsid w:val="00CE68A8"/>
    <w:rsid w:val="00CE721E"/>
    <w:rsid w:val="00CF007B"/>
    <w:rsid w:val="00CF1136"/>
    <w:rsid w:val="00D103FA"/>
    <w:rsid w:val="00D200D6"/>
    <w:rsid w:val="00D34DE7"/>
    <w:rsid w:val="00D57902"/>
    <w:rsid w:val="00D65C68"/>
    <w:rsid w:val="00D67B2F"/>
    <w:rsid w:val="00D828F2"/>
    <w:rsid w:val="00DC2BB2"/>
    <w:rsid w:val="00DC628D"/>
    <w:rsid w:val="00DF4463"/>
    <w:rsid w:val="00DF7E46"/>
    <w:rsid w:val="00E13288"/>
    <w:rsid w:val="00E36064"/>
    <w:rsid w:val="00E36870"/>
    <w:rsid w:val="00E55C64"/>
    <w:rsid w:val="00E57550"/>
    <w:rsid w:val="00E74F07"/>
    <w:rsid w:val="00E93B06"/>
    <w:rsid w:val="00E97667"/>
    <w:rsid w:val="00EB5AE5"/>
    <w:rsid w:val="00EB5B27"/>
    <w:rsid w:val="00ED065B"/>
    <w:rsid w:val="00ED1CB5"/>
    <w:rsid w:val="00EF7137"/>
    <w:rsid w:val="00F15320"/>
    <w:rsid w:val="00F406A5"/>
    <w:rsid w:val="00F5273F"/>
    <w:rsid w:val="00F54A94"/>
    <w:rsid w:val="00F91783"/>
    <w:rsid w:val="00FB3E31"/>
    <w:rsid w:val="00FB4677"/>
    <w:rsid w:val="00FC16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C1"/>
    <w:pPr>
      <w:spacing w:line="360" w:lineRule="auto"/>
      <w:jc w:val="both"/>
    </w:pPr>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B43839"/>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sz w:val="28"/>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B43839"/>
    <w:rPr>
      <w:rFonts w:asciiTheme="majorHAnsi" w:eastAsiaTheme="majorEastAsia" w:hAnsiTheme="majorHAnsi" w:cstheme="majorBidi"/>
      <w:b/>
      <w:i/>
      <w:sz w:val="32"/>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pPr>
    <w:rPr>
      <w:lang w:val="en-GB"/>
    </w:rPr>
  </w:style>
  <w:style w:type="paragraph" w:styleId="TOC2">
    <w:name w:val="toc 2"/>
    <w:basedOn w:val="Normal"/>
    <w:next w:val="Normal"/>
    <w:autoRedefine/>
    <w:uiPriority w:val="39"/>
    <w:unhideWhenUsed/>
    <w:rsid w:val="00715C19"/>
    <w:pPr>
      <w:spacing w:after="100"/>
      <w:ind w:left="220"/>
    </w:pPr>
    <w:rPr>
      <w:lang w:val="en-GB"/>
    </w:rPr>
  </w:style>
  <w:style w:type="paragraph" w:styleId="TOC3">
    <w:name w:val="toc 3"/>
    <w:basedOn w:val="Normal"/>
    <w:next w:val="Normal"/>
    <w:autoRedefine/>
    <w:uiPriority w:val="39"/>
    <w:unhideWhenUsed/>
    <w:rsid w:val="00715C19"/>
    <w:pPr>
      <w:spacing w:after="100"/>
      <w:ind w:left="440"/>
    </w:pPr>
    <w:rPr>
      <w:lang w:val="en-GB"/>
    </w:rPr>
  </w:style>
  <w:style w:type="paragraph" w:styleId="TableofFigures">
    <w:name w:val="table of figures"/>
    <w:basedOn w:val="Normal"/>
    <w:next w:val="Normal"/>
    <w:uiPriority w:val="99"/>
    <w:unhideWhenUsed/>
    <w:rsid w:val="00715C19"/>
    <w:pPr>
      <w:spacing w:after="0"/>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 w:type="character" w:customStyle="1" w:styleId="apple-converted-space">
    <w:name w:val="apple-converted-space"/>
    <w:basedOn w:val="DefaultParagraphFont"/>
    <w:rsid w:val="00772D0B"/>
  </w:style>
  <w:style w:type="paragraph" w:styleId="ListBullet">
    <w:name w:val="List Bullet"/>
    <w:basedOn w:val="Normal"/>
    <w:uiPriority w:val="99"/>
    <w:unhideWhenUsed/>
    <w:rsid w:val="00AE69C3"/>
    <w:pPr>
      <w:numPr>
        <w:numId w:val="8"/>
      </w:numPr>
      <w:contextualSpacing/>
    </w:pPr>
  </w:style>
  <w:style w:type="paragraph" w:styleId="NormalWeb">
    <w:name w:val="Normal (Web)"/>
    <w:basedOn w:val="Normal"/>
    <w:uiPriority w:val="99"/>
    <w:unhideWhenUsed/>
    <w:rsid w:val="009C2038"/>
    <w:pPr>
      <w:spacing w:before="100" w:beforeAutospacing="1" w:after="100" w:afterAutospacing="1" w:line="240" w:lineRule="auto"/>
    </w:pPr>
    <w:rPr>
      <w:rFonts w:ascii="Times New Roman" w:hAnsi="Times New Roman" w:cs="Times New Roman"/>
      <w:sz w:val="24"/>
      <w:szCs w:val="24"/>
      <w:lang w:val="en-GB" w:eastAsia="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Headings"/>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31469">
      <w:bodyDiv w:val="1"/>
      <w:marLeft w:val="0"/>
      <w:marRight w:val="0"/>
      <w:marTop w:val="0"/>
      <w:marBottom w:val="0"/>
      <w:divBdr>
        <w:top w:val="none" w:sz="0" w:space="0" w:color="auto"/>
        <w:left w:val="none" w:sz="0" w:space="0" w:color="auto"/>
        <w:bottom w:val="none" w:sz="0" w:space="0" w:color="auto"/>
        <w:right w:val="none" w:sz="0" w:space="0" w:color="auto"/>
      </w:divBdr>
      <w:divsChild>
        <w:div w:id="1832015921">
          <w:marLeft w:val="0"/>
          <w:marRight w:val="0"/>
          <w:marTop w:val="0"/>
          <w:marBottom w:val="0"/>
          <w:divBdr>
            <w:top w:val="none" w:sz="0" w:space="0" w:color="auto"/>
            <w:left w:val="none" w:sz="0" w:space="0" w:color="auto"/>
            <w:bottom w:val="none" w:sz="0" w:space="0" w:color="auto"/>
            <w:right w:val="none" w:sz="0" w:space="0" w:color="auto"/>
          </w:divBdr>
          <w:divsChild>
            <w:div w:id="1404529119">
              <w:marLeft w:val="0"/>
              <w:marRight w:val="0"/>
              <w:marTop w:val="0"/>
              <w:marBottom w:val="0"/>
              <w:divBdr>
                <w:top w:val="none" w:sz="0" w:space="0" w:color="auto"/>
                <w:left w:val="none" w:sz="0" w:space="0" w:color="auto"/>
                <w:bottom w:val="none" w:sz="0" w:space="0" w:color="auto"/>
                <w:right w:val="none" w:sz="0" w:space="0" w:color="auto"/>
              </w:divBdr>
              <w:divsChild>
                <w:div w:id="1460030850">
                  <w:marLeft w:val="0"/>
                  <w:marRight w:val="0"/>
                  <w:marTop w:val="0"/>
                  <w:marBottom w:val="0"/>
                  <w:divBdr>
                    <w:top w:val="none" w:sz="0" w:space="0" w:color="auto"/>
                    <w:left w:val="none" w:sz="0" w:space="0" w:color="auto"/>
                    <w:bottom w:val="none" w:sz="0" w:space="0" w:color="auto"/>
                    <w:right w:val="none" w:sz="0" w:space="0" w:color="auto"/>
                  </w:divBdr>
                  <w:divsChild>
                    <w:div w:id="2054186325">
                      <w:marLeft w:val="0"/>
                      <w:marRight w:val="0"/>
                      <w:marTop w:val="0"/>
                      <w:marBottom w:val="0"/>
                      <w:divBdr>
                        <w:top w:val="none" w:sz="0" w:space="0" w:color="auto"/>
                        <w:left w:val="none" w:sz="0" w:space="0" w:color="auto"/>
                        <w:bottom w:val="none" w:sz="0" w:space="0" w:color="auto"/>
                        <w:right w:val="none" w:sz="0" w:space="0" w:color="auto"/>
                      </w:divBdr>
                      <w:divsChild>
                        <w:div w:id="1538661099">
                          <w:marLeft w:val="0"/>
                          <w:marRight w:val="0"/>
                          <w:marTop w:val="0"/>
                          <w:marBottom w:val="0"/>
                          <w:divBdr>
                            <w:top w:val="none" w:sz="0" w:space="0" w:color="auto"/>
                            <w:left w:val="none" w:sz="0" w:space="0" w:color="auto"/>
                            <w:bottom w:val="none" w:sz="0" w:space="0" w:color="auto"/>
                            <w:right w:val="none" w:sz="0" w:space="0" w:color="auto"/>
                          </w:divBdr>
                          <w:divsChild>
                            <w:div w:id="1131939409">
                              <w:marLeft w:val="0"/>
                              <w:marRight w:val="0"/>
                              <w:marTop w:val="0"/>
                              <w:marBottom w:val="0"/>
                              <w:divBdr>
                                <w:top w:val="none" w:sz="0" w:space="0" w:color="auto"/>
                                <w:left w:val="none" w:sz="0" w:space="0" w:color="auto"/>
                                <w:bottom w:val="none" w:sz="0" w:space="0" w:color="auto"/>
                                <w:right w:val="none" w:sz="0" w:space="0" w:color="auto"/>
                              </w:divBdr>
                              <w:divsChild>
                                <w:div w:id="475296665">
                                  <w:marLeft w:val="0"/>
                                  <w:marRight w:val="0"/>
                                  <w:marTop w:val="0"/>
                                  <w:marBottom w:val="0"/>
                                  <w:divBdr>
                                    <w:top w:val="none" w:sz="0" w:space="0" w:color="auto"/>
                                    <w:left w:val="none" w:sz="0" w:space="0" w:color="auto"/>
                                    <w:bottom w:val="none" w:sz="0" w:space="0" w:color="auto"/>
                                    <w:right w:val="none" w:sz="0" w:space="0" w:color="auto"/>
                                  </w:divBdr>
                                  <w:divsChild>
                                    <w:div w:id="1482580829">
                                      <w:marLeft w:val="0"/>
                                      <w:marRight w:val="0"/>
                                      <w:marTop w:val="0"/>
                                      <w:marBottom w:val="0"/>
                                      <w:divBdr>
                                        <w:top w:val="none" w:sz="0" w:space="0" w:color="auto"/>
                                        <w:left w:val="none" w:sz="0" w:space="0" w:color="auto"/>
                                        <w:bottom w:val="none" w:sz="0" w:space="0" w:color="auto"/>
                                        <w:right w:val="none" w:sz="0" w:space="0" w:color="auto"/>
                                      </w:divBdr>
                                      <w:divsChild>
                                        <w:div w:id="383942606">
                                          <w:marLeft w:val="0"/>
                                          <w:marRight w:val="0"/>
                                          <w:marTop w:val="0"/>
                                          <w:marBottom w:val="0"/>
                                          <w:divBdr>
                                            <w:top w:val="none" w:sz="0" w:space="0" w:color="auto"/>
                                            <w:left w:val="none" w:sz="0" w:space="0" w:color="auto"/>
                                            <w:bottom w:val="none" w:sz="0" w:space="0" w:color="auto"/>
                                            <w:right w:val="none" w:sz="0" w:space="0" w:color="auto"/>
                                          </w:divBdr>
                                          <w:divsChild>
                                            <w:div w:id="1341422463">
                                              <w:marLeft w:val="0"/>
                                              <w:marRight w:val="0"/>
                                              <w:marTop w:val="0"/>
                                              <w:marBottom w:val="0"/>
                                              <w:divBdr>
                                                <w:top w:val="none" w:sz="0" w:space="0" w:color="auto"/>
                                                <w:left w:val="none" w:sz="0" w:space="0" w:color="auto"/>
                                                <w:bottom w:val="none" w:sz="0" w:space="0" w:color="auto"/>
                                                <w:right w:val="none" w:sz="0" w:space="0" w:color="auto"/>
                                              </w:divBdr>
                                              <w:divsChild>
                                                <w:div w:id="280648810">
                                                  <w:marLeft w:val="0"/>
                                                  <w:marRight w:val="0"/>
                                                  <w:marTop w:val="0"/>
                                                  <w:marBottom w:val="0"/>
                                                  <w:divBdr>
                                                    <w:top w:val="none" w:sz="0" w:space="0" w:color="auto"/>
                                                    <w:left w:val="none" w:sz="0" w:space="0" w:color="auto"/>
                                                    <w:bottom w:val="none" w:sz="0" w:space="0" w:color="auto"/>
                                                    <w:right w:val="none" w:sz="0" w:space="0" w:color="auto"/>
                                                  </w:divBdr>
                                                  <w:divsChild>
                                                    <w:div w:id="1198349035">
                                                      <w:marLeft w:val="0"/>
                                                      <w:marRight w:val="0"/>
                                                      <w:marTop w:val="0"/>
                                                      <w:marBottom w:val="0"/>
                                                      <w:divBdr>
                                                        <w:top w:val="none" w:sz="0" w:space="0" w:color="auto"/>
                                                        <w:left w:val="none" w:sz="0" w:space="0" w:color="auto"/>
                                                        <w:bottom w:val="none" w:sz="0" w:space="0" w:color="auto"/>
                                                        <w:right w:val="none" w:sz="0" w:space="0" w:color="auto"/>
                                                      </w:divBdr>
                                                      <w:divsChild>
                                                        <w:div w:id="416631852">
                                                          <w:marLeft w:val="0"/>
                                                          <w:marRight w:val="0"/>
                                                          <w:marTop w:val="0"/>
                                                          <w:marBottom w:val="0"/>
                                                          <w:divBdr>
                                                            <w:top w:val="none" w:sz="0" w:space="0" w:color="auto"/>
                                                            <w:left w:val="none" w:sz="0" w:space="0" w:color="auto"/>
                                                            <w:bottom w:val="none" w:sz="0" w:space="0" w:color="auto"/>
                                                            <w:right w:val="none" w:sz="0" w:space="0" w:color="auto"/>
                                                          </w:divBdr>
                                                          <w:divsChild>
                                                            <w:div w:id="233126190">
                                                              <w:marLeft w:val="0"/>
                                                              <w:marRight w:val="0"/>
                                                              <w:marTop w:val="0"/>
                                                              <w:marBottom w:val="0"/>
                                                              <w:divBdr>
                                                                <w:top w:val="none" w:sz="0" w:space="0" w:color="auto"/>
                                                                <w:left w:val="none" w:sz="0" w:space="0" w:color="auto"/>
                                                                <w:bottom w:val="none" w:sz="0" w:space="0" w:color="auto"/>
                                                                <w:right w:val="none" w:sz="0" w:space="0" w:color="auto"/>
                                                              </w:divBdr>
                                                              <w:divsChild>
                                                                <w:div w:id="1306855151">
                                                                  <w:marLeft w:val="0"/>
                                                                  <w:marRight w:val="0"/>
                                                                  <w:marTop w:val="0"/>
                                                                  <w:marBottom w:val="0"/>
                                                                  <w:divBdr>
                                                                    <w:top w:val="none" w:sz="0" w:space="0" w:color="auto"/>
                                                                    <w:left w:val="none" w:sz="0" w:space="0" w:color="auto"/>
                                                                    <w:bottom w:val="none" w:sz="0" w:space="0" w:color="auto"/>
                                                                    <w:right w:val="none" w:sz="0" w:space="0" w:color="auto"/>
                                                                  </w:divBdr>
                                                                  <w:divsChild>
                                                                    <w:div w:id="1473206292">
                                                                      <w:marLeft w:val="0"/>
                                                                      <w:marRight w:val="0"/>
                                                                      <w:marTop w:val="0"/>
                                                                      <w:marBottom w:val="0"/>
                                                                      <w:divBdr>
                                                                        <w:top w:val="none" w:sz="0" w:space="0" w:color="auto"/>
                                                                        <w:left w:val="none" w:sz="0" w:space="0" w:color="auto"/>
                                                                        <w:bottom w:val="none" w:sz="0" w:space="0" w:color="auto"/>
                                                                        <w:right w:val="none" w:sz="0" w:space="0" w:color="auto"/>
                                                                      </w:divBdr>
                                                                      <w:divsChild>
                                                                        <w:div w:id="16736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5FCD38-5980-4700-9CFA-6B484A098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17100</Words>
  <Characters>97474</Characters>
  <Application>Microsoft Office Word</Application>
  <DocSecurity>0</DocSecurity>
  <Lines>812</Lines>
  <Paragraphs>228</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114346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2</cp:revision>
  <dcterms:created xsi:type="dcterms:W3CDTF">2012-04-10T15:18:00Z</dcterms:created>
  <dcterms:modified xsi:type="dcterms:W3CDTF">2012-04-10T15:18:00Z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http://www.zotero.org/styles/vancouver</vt:lpwstr>
  </property>
  <property fmtid="{D5CDD505-2E9C-101B-9397-08002B2CF9AE}" pid="3" name="Mendeley Document_1">
    <vt:lpwstr>True</vt:lpwstr>
  </property>
  <property fmtid="{D5CDD505-2E9C-101B-9397-08002B2CF9AE}" pid="4" name="Mendeley User Name_1">
    <vt:lpwstr>j.minton@sheffield.ac.uk@www.mendeley.com</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 (Author-Date)</vt:lpwstr>
  </property>
  <property fmtid="{D5CDD505-2E9C-101B-9397-08002B2CF9AE}" pid="16" name="Mendeley Recent Style Id 5_1">
    <vt:lpwstr>http://www.zotero.org/styles/harvard1</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Modern Humanities Research Association (Note with Bibliography)</vt:lpwstr>
  </property>
  <property fmtid="{D5CDD505-2E9C-101B-9397-08002B2CF9AE}" pid="20" name="Mendeley Recent Style Id 7_1">
    <vt:lpwstr>http://www.zotero.org/styles/mhra</vt:lpwstr>
  </property>
  <property fmtid="{D5CDD505-2E9C-101B-9397-08002B2CF9AE}" pid="21" name="Mendeley Recent Style Name 8_1">
    <vt:lpwstr>Modern Language Association</vt:lpwstr>
  </property>
  <property fmtid="{D5CDD505-2E9C-101B-9397-08002B2CF9AE}" pid="22" name="Mendeley Recent Style Id 8_1">
    <vt:lpwstr>http://www.zotero.org/styles/mla</vt:lpwstr>
  </property>
  <property fmtid="{D5CDD505-2E9C-101B-9397-08002B2CF9AE}" pid="23" name="Mendeley Recent Style Name 9_1">
    <vt:lpwstr>Vancouver</vt:lpwstr>
  </property>
  <property fmtid="{D5CDD505-2E9C-101B-9397-08002B2CF9AE}" pid="24" name="Mendeley Recent Style Id 9_1">
    <vt:lpwstr>http://www.zotero.org/styles/vancouver</vt:lpwstr>
  </property>
</Properties>
</file>