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62A" w:rsidRDefault="0005390C" w:rsidP="0005390C">
      <w:pPr>
        <w:pStyle w:val="Heading1"/>
        <w:rPr>
          <w:lang w:val="en-GB"/>
        </w:rPr>
      </w:pPr>
      <w:r>
        <w:rPr>
          <w:lang w:val="en-GB"/>
        </w:rPr>
        <w:t>Abstract</w:t>
      </w:r>
    </w:p>
    <w:p w:rsidR="0005390C" w:rsidRDefault="00155DF4" w:rsidP="00155DF4">
      <w:pPr>
        <w:rPr>
          <w:lang w:val="en-GB"/>
        </w:rPr>
      </w:pPr>
      <w:r>
        <w:rPr>
          <w:lang w:val="en-GB"/>
        </w:rPr>
        <w:t>[To write]</w:t>
      </w:r>
    </w:p>
    <w:p w:rsidR="0005390C" w:rsidRDefault="0005390C" w:rsidP="0005390C">
      <w:pPr>
        <w:pStyle w:val="Heading1"/>
      </w:pPr>
      <w:r>
        <w:t>Structure</w:t>
      </w:r>
    </w:p>
    <w:p w:rsidR="0005390C" w:rsidRDefault="0005390C" w:rsidP="0005390C">
      <w:pPr>
        <w:pStyle w:val="Heading2"/>
      </w:pPr>
      <w:r>
        <w:t>Introduction</w:t>
      </w:r>
    </w:p>
    <w:p w:rsidR="00862C39" w:rsidRDefault="00862C39" w:rsidP="00C007A4">
      <w:pPr>
        <w:spacing w:line="360" w:lineRule="auto"/>
        <w:jc w:val="both"/>
      </w:pPr>
      <w:proofErr w:type="spellStart"/>
      <w:r>
        <w:t>Atrial</w:t>
      </w:r>
      <w:proofErr w:type="spellEnd"/>
      <w:r>
        <w:t xml:space="preserve"> fibrillation (AF) is a progressive condition affecting approximately [XXX] people in the UK each year. </w:t>
      </w:r>
      <w:del w:id="0" w:author="user" w:date="2012-02-29T13:05:00Z">
        <w:r w:rsidDel="00A974C0">
          <w:delText xml:space="preserve">Having </w:delText>
        </w:r>
      </w:del>
      <w:r>
        <w:t>AF raises the lifetime risk of having a stroke, and so effective management of AF and the associated stroke risk is important</w:t>
      </w:r>
      <w:ins w:id="1" w:author="user" w:date="2012-02-29T13:06:00Z">
        <w:r w:rsidR="00A974C0">
          <w:t xml:space="preserve"> [WHY? – I.E. REDUCE MORTALITY &amp; MORBIDITY]</w:t>
        </w:r>
      </w:ins>
      <w:r>
        <w:t xml:space="preserve">. Oral anticoagulants (OACs), such as </w:t>
      </w:r>
      <w:proofErr w:type="spellStart"/>
      <w:r>
        <w:t>warfarin</w:t>
      </w:r>
      <w:proofErr w:type="spellEnd"/>
      <w:r>
        <w:t xml:space="preserve">, </w:t>
      </w:r>
      <w:proofErr w:type="spellStart"/>
      <w:r>
        <w:t>dabigatran</w:t>
      </w:r>
      <w:proofErr w:type="spellEnd"/>
      <w:r>
        <w:t xml:space="preserve"> and </w:t>
      </w:r>
      <w:proofErr w:type="spellStart"/>
      <w:r>
        <w:t>rivaroxaban</w:t>
      </w:r>
      <w:proofErr w:type="spellEnd"/>
      <w:r>
        <w:t>, reduce the risk of stroke</w:t>
      </w:r>
      <w:proofErr w:type="gramStart"/>
      <w:r>
        <w:t>,</w:t>
      </w:r>
      <w:ins w:id="2" w:author="user" w:date="2012-02-29T13:06:00Z">
        <w:r w:rsidR="00A974C0">
          <w:t>[</w:t>
        </w:r>
        <w:proofErr w:type="gramEnd"/>
        <w:r w:rsidR="00A974C0">
          <w:t>REFS]</w:t>
        </w:r>
      </w:ins>
      <w:r>
        <w:t xml:space="preserve"> but carry a non</w:t>
      </w:r>
      <w:ins w:id="3" w:author="user" w:date="2012-02-29T13:06:00Z">
        <w:r w:rsidR="00A974C0">
          <w:t>-</w:t>
        </w:r>
      </w:ins>
      <w:r>
        <w:t xml:space="preserve">trivial risk of major bleeding events, which in some cases lead to death or levels of disablement equivalent to or worse than the strokes they aim to prevent. They are also relatively expensive, either directly due to drug acquisition costs in the case of new drugs like </w:t>
      </w:r>
      <w:proofErr w:type="spellStart"/>
      <w:r>
        <w:t>dabigatran</w:t>
      </w:r>
      <w:proofErr w:type="spellEnd"/>
      <w:r>
        <w:t xml:space="preserve"> and </w:t>
      </w:r>
      <w:proofErr w:type="spellStart"/>
      <w:r>
        <w:t>rivaroxaban</w:t>
      </w:r>
      <w:proofErr w:type="spellEnd"/>
      <w:r>
        <w:t xml:space="preserve">, or indirectly due to monitoring costs in the case of </w:t>
      </w:r>
      <w:proofErr w:type="spellStart"/>
      <w:r>
        <w:t>warfarin</w:t>
      </w:r>
      <w:proofErr w:type="spellEnd"/>
      <w:r>
        <w:t xml:space="preserve">. </w:t>
      </w:r>
    </w:p>
    <w:p w:rsidR="005A2BAB" w:rsidRDefault="00862C39" w:rsidP="00C007A4">
      <w:pPr>
        <w:spacing w:line="360" w:lineRule="auto"/>
        <w:jc w:val="both"/>
      </w:pPr>
      <w:r>
        <w:t xml:space="preserve">Because </w:t>
      </w:r>
      <w:ins w:id="4" w:author="user" w:date="2012-02-29T13:06:00Z">
        <w:r w:rsidR="00A974C0">
          <w:t xml:space="preserve">[DON’T START SENTENCE WITH BECAUSE] </w:t>
        </w:r>
      </w:ins>
      <w:r>
        <w:t>both the costs and risks associated with OACs are non-trivial</w:t>
      </w:r>
      <w:ins w:id="5" w:author="user" w:date="2012-02-29T13:07:00Z">
        <w:r w:rsidR="00A974C0">
          <w:t xml:space="preserve"> [USED WORD PREVIOUSLY]</w:t>
        </w:r>
      </w:ins>
      <w:r>
        <w:t xml:space="preserve">, it is important to identify those patients </w:t>
      </w:r>
      <w:del w:id="6" w:author="user" w:date="2012-02-29T13:07:00Z">
        <w:r w:rsidDel="00A974C0">
          <w:delText xml:space="preserve">where </w:delText>
        </w:r>
      </w:del>
      <w:ins w:id="7" w:author="user" w:date="2012-02-29T13:07:00Z">
        <w:r w:rsidR="00A974C0">
          <w:t xml:space="preserve">for whom </w:t>
        </w:r>
      </w:ins>
      <w:r>
        <w:t>the benefits are likely to outweigh the risks</w:t>
      </w:r>
      <w:r w:rsidR="00307F5F">
        <w:t xml:space="preserve">. This means using diagnostic approaches to try to assess patients’ stroke risk, in order to target OAC prescription towards those at a higher risk. </w:t>
      </w:r>
      <w:r>
        <w:t xml:space="preserve"> </w:t>
      </w:r>
      <w:r w:rsidR="00307F5F">
        <w:t xml:space="preserve">Currently </w:t>
      </w:r>
      <w:r w:rsidR="00395BE3">
        <w:t>clinical prediction rules using patient history and characteristics – CHADS2 &amp; CHADS-</w:t>
      </w:r>
      <w:proofErr w:type="spellStart"/>
      <w:r w:rsidR="00395BE3">
        <w:t>VASc</w:t>
      </w:r>
      <w:proofErr w:type="spellEnd"/>
      <w:r w:rsidR="00395BE3">
        <w:t xml:space="preserve">- </w:t>
      </w:r>
      <w:r w:rsidR="00307F5F">
        <w:t xml:space="preserve">are </w:t>
      </w:r>
      <w:r w:rsidR="00C007A4">
        <w:t>used to make this decision</w:t>
      </w:r>
      <w:r w:rsidR="00395BE3">
        <w:t>.</w:t>
      </w:r>
      <w:r w:rsidR="00307F5F">
        <w:t xml:space="preserve"> </w:t>
      </w:r>
      <w:r w:rsidR="00C007A4">
        <w:t xml:space="preserve">Though </w:t>
      </w:r>
      <w:del w:id="8" w:author="user" w:date="2012-02-29T13:07:00Z">
        <w:r w:rsidR="00C007A4" w:rsidDel="00A974C0">
          <w:delText>cheap</w:delText>
        </w:r>
      </w:del>
      <w:ins w:id="9" w:author="user" w:date="2012-02-29T13:07:00Z">
        <w:r w:rsidR="00A974C0">
          <w:t>inexpensive</w:t>
        </w:r>
      </w:ins>
      <w:r w:rsidR="00C007A4">
        <w:t>, due to not requiring additional testing</w:t>
      </w:r>
      <w:r w:rsidR="005A2BAB">
        <w:t xml:space="preserve">, such clinical prediction rules can be wrong, </w:t>
      </w:r>
      <w:ins w:id="10" w:author="user" w:date="2012-02-29T13:07:00Z">
        <w:r w:rsidR="00A974C0">
          <w:t xml:space="preserve">which may </w:t>
        </w:r>
      </w:ins>
      <w:r w:rsidR="005A2BAB">
        <w:t>lead</w:t>
      </w:r>
      <w:ins w:id="11" w:author="user" w:date="2012-02-29T13:07:00Z">
        <w:r w:rsidR="00A974C0">
          <w:t xml:space="preserve"> to</w:t>
        </w:r>
      </w:ins>
      <w:del w:id="12" w:author="user" w:date="2012-02-29T13:07:00Z">
        <w:r w:rsidR="005A2BAB" w:rsidDel="00A974C0">
          <w:delText>ing</w:delText>
        </w:r>
      </w:del>
      <w:r w:rsidR="005A2BAB">
        <w:t xml:space="preserve"> either </w:t>
      </w:r>
      <w:del w:id="13" w:author="user" w:date="2012-02-29T13:07:00Z">
        <w:r w:rsidR="005A2BAB" w:rsidDel="00A974C0">
          <w:delText xml:space="preserve">to </w:delText>
        </w:r>
      </w:del>
      <w:r w:rsidR="005A2BAB">
        <w:t xml:space="preserve">overmedication of genuinely low risk patients (‘false positives’) or </w:t>
      </w:r>
      <w:proofErr w:type="spellStart"/>
      <w:r w:rsidR="005A2BAB">
        <w:t>undermedication</w:t>
      </w:r>
      <w:proofErr w:type="spellEnd"/>
      <w:r w:rsidR="005A2BAB">
        <w:t xml:space="preserve"> of genuinely high risk patients (‘false negatives’). </w:t>
      </w:r>
      <w:r w:rsidR="00C3051A">
        <w:t>Either of these outcomes can be</w:t>
      </w:r>
      <w:r w:rsidR="00307F5F">
        <w:t xml:space="preserve"> suboptimal in their consequences</w:t>
      </w:r>
      <w:ins w:id="14" w:author="user" w:date="2012-02-29T13:08:00Z">
        <w:r w:rsidR="00A974C0">
          <w:t xml:space="preserve"> [AREN’T OUTCOMES THE SAME AS CONSEQUENCES]</w:t>
        </w:r>
      </w:ins>
      <w:r w:rsidR="00307F5F">
        <w:t xml:space="preserve">, both directly in terms of medication costs, and indirectly in terms of reduced and duration of life and increased costs due to major bleeding events cause by their use. </w:t>
      </w:r>
    </w:p>
    <w:p w:rsidR="00395BE3" w:rsidRDefault="00307F5F" w:rsidP="00C007A4">
      <w:pPr>
        <w:spacing w:line="360" w:lineRule="auto"/>
        <w:jc w:val="both"/>
      </w:pPr>
      <w:r>
        <w:t xml:space="preserve">Because </w:t>
      </w:r>
      <w:ins w:id="15" w:author="user" w:date="2012-02-29T13:08:00Z">
        <w:r w:rsidR="00A974C0">
          <w:t xml:space="preserve">[BAH!] </w:t>
        </w:r>
      </w:ins>
      <w:r>
        <w:t xml:space="preserve">the consequences of wrong OAC prescription decisions can be so severe, we </w:t>
      </w:r>
      <w:ins w:id="16" w:author="user" w:date="2012-02-29T13:08:00Z">
        <w:r w:rsidR="00A974C0">
          <w:t xml:space="preserve">[USE THIRD PERSON] </w:t>
        </w:r>
      </w:ins>
      <w:r>
        <w:t>wanted to determine whether performing an addi</w:t>
      </w:r>
      <w:r w:rsidR="00C007A4">
        <w:t>tional, slightly more expensive</w:t>
      </w:r>
      <w:r>
        <w:t xml:space="preserve"> </w:t>
      </w:r>
      <w:r w:rsidR="00C3051A">
        <w:t xml:space="preserve">diagnostic test in all newly diagnosed AF patients </w:t>
      </w:r>
      <w:r>
        <w:t xml:space="preserve">would lead to net improvements in clinical effectiveness. If </w:t>
      </w:r>
      <w:r w:rsidR="00C007A4">
        <w:t>performing this test were clinically effective, we want to know if it is cost-effective at standard NICE decision-making thresholds</w:t>
      </w:r>
      <w:ins w:id="17" w:author="user" w:date="2012-02-29T13:08:00Z">
        <w:r w:rsidR="00A974C0">
          <w:t xml:space="preserve"> [SOUNDS A BIT SOFT HERE</w:t>
        </w:r>
      </w:ins>
      <w:ins w:id="18" w:author="user" w:date="2012-02-29T13:09:00Z">
        <w:r w:rsidR="00A974C0">
          <w:t xml:space="preserve"> – WRITE MORE FORMALLY</w:t>
        </w:r>
      </w:ins>
      <w:ins w:id="19" w:author="user" w:date="2012-02-29T13:08:00Z">
        <w:r w:rsidR="00A974C0">
          <w:t>]</w:t>
        </w:r>
      </w:ins>
      <w:r w:rsidR="00C007A4">
        <w:t xml:space="preserve">. Our </w:t>
      </w:r>
      <w:ins w:id="20" w:author="user" w:date="2012-02-29T13:08:00Z">
        <w:r w:rsidR="00A974C0">
          <w:t>[3</w:t>
        </w:r>
        <w:r w:rsidR="000B7214" w:rsidRPr="000B7214">
          <w:rPr>
            <w:vertAlign w:val="superscript"/>
            <w:rPrChange w:id="21" w:author="user" w:date="2012-02-29T13:09:00Z">
              <w:rPr/>
            </w:rPrChange>
          </w:rPr>
          <w:t>RD</w:t>
        </w:r>
        <w:r w:rsidR="00A974C0">
          <w:t xml:space="preserve"> </w:t>
        </w:r>
      </w:ins>
      <w:ins w:id="22" w:author="user" w:date="2012-02-29T13:09:00Z">
        <w:r w:rsidR="00A974C0">
          <w:t xml:space="preserve">PERSON] </w:t>
        </w:r>
      </w:ins>
      <w:r w:rsidR="00C007A4">
        <w:t xml:space="preserve">additional diagnostic test of interest is </w:t>
      </w:r>
      <w:proofErr w:type="spellStart"/>
      <w:r w:rsidR="00C007A4">
        <w:t>transthoracic</w:t>
      </w:r>
      <w:proofErr w:type="spellEnd"/>
      <w:r w:rsidR="00C007A4">
        <w:t xml:space="preserve"> echocardiography (TTE). </w:t>
      </w:r>
      <w:proofErr w:type="gramStart"/>
      <w:r w:rsidR="00C007A4">
        <w:t>[Brief description of TTE including ref].</w:t>
      </w:r>
      <w:proofErr w:type="gramEnd"/>
      <w:r w:rsidR="00C007A4">
        <w:t xml:space="preserve"> </w:t>
      </w:r>
    </w:p>
    <w:p w:rsidR="00A96DA4" w:rsidRDefault="00512460" w:rsidP="00C007A4">
      <w:pPr>
        <w:spacing w:line="360" w:lineRule="auto"/>
        <w:jc w:val="both"/>
      </w:pPr>
      <w:r>
        <w:lastRenderedPageBreak/>
        <w:t>In this study we developed a discrete</w:t>
      </w:r>
      <w:del w:id="23" w:author="user" w:date="2012-02-29T13:09:00Z">
        <w:r w:rsidDel="00A974C0">
          <w:delText>-</w:delText>
        </w:r>
      </w:del>
      <w:ins w:id="24" w:author="user" w:date="2012-02-29T13:09:00Z">
        <w:r w:rsidR="00A974C0">
          <w:t xml:space="preserve"> </w:t>
        </w:r>
      </w:ins>
      <w:r>
        <w:t xml:space="preserve">event simulation </w:t>
      </w:r>
      <w:ins w:id="25" w:author="user" w:date="2012-02-29T13:09:00Z">
        <w:r w:rsidR="00A974C0">
          <w:t xml:space="preserve">(DES) </w:t>
        </w:r>
      </w:ins>
      <w:r>
        <w:t xml:space="preserve">to model the long-term implications of performing TTEs in all newly diagnosed AF patients when making the decision whether to prescribe OACs. In the model presented below </w:t>
      </w:r>
      <w:proofErr w:type="spellStart"/>
      <w:r>
        <w:t>dabigatran</w:t>
      </w:r>
      <w:proofErr w:type="spellEnd"/>
      <w:r>
        <w:t xml:space="preserve"> was selected as the OAC to model, as it has recently been recommended for use in this population group by NICE [Ref], and carries a lower bleed risk than </w:t>
      </w:r>
      <w:proofErr w:type="spellStart"/>
      <w:r>
        <w:t>warfarin</w:t>
      </w:r>
      <w:proofErr w:type="spellEnd"/>
      <w:r>
        <w:t>. [Ref]</w:t>
      </w:r>
      <w:r w:rsidR="00D34DE7">
        <w:t xml:space="preserve"> TTE is modeled as an addition to using two variations of a common clinical prediction rule for assessing stroke risk: CHADS2 and CHADS-</w:t>
      </w:r>
      <w:proofErr w:type="spellStart"/>
      <w:r w:rsidR="00D34DE7">
        <w:t>VASc</w:t>
      </w:r>
      <w:proofErr w:type="spellEnd"/>
      <w:r w:rsidR="00D34DE7">
        <w:t xml:space="preserve">. Patients whom the prediction rule would suggest are of lowest stroke risk, and so would not normally be prescribed OAC, are also assessed using TTE. If TTE identifies at least one type of left </w:t>
      </w:r>
      <w:proofErr w:type="spellStart"/>
      <w:r w:rsidR="00D34DE7">
        <w:t>atrial</w:t>
      </w:r>
      <w:proofErr w:type="spellEnd"/>
      <w:r w:rsidR="00D34DE7">
        <w:t xml:space="preserve"> abnormality (LA ABN), which has been shown to lead to an increased stroke risk, [Ref] then they </w:t>
      </w:r>
      <w:proofErr w:type="gramStart"/>
      <w:r w:rsidR="00D34DE7">
        <w:t>are</w:t>
      </w:r>
      <w:proofErr w:type="gramEnd"/>
      <w:r w:rsidR="00D34DE7">
        <w:t xml:space="preserve"> also prescribed OACs. Note that as a result of this, more people will be prescribed OACs when TTE is included in the diagnostic package than when it is not; any potential cost savings would be as a result of preventing strokes and the costs to the NHS that result from them.</w:t>
      </w:r>
      <w:r w:rsidR="009B513D">
        <w:t xml:space="preserve">  </w:t>
      </w:r>
    </w:p>
    <w:p w:rsidR="0005390C" w:rsidRDefault="00C007A4" w:rsidP="0005390C">
      <w:pPr>
        <w:pStyle w:val="Heading2"/>
      </w:pPr>
      <w:r>
        <w:t>Method</w:t>
      </w:r>
    </w:p>
    <w:p w:rsidR="00004236" w:rsidRPr="00EF4EB9" w:rsidRDefault="00004236" w:rsidP="00657538">
      <w:pPr>
        <w:spacing w:line="360" w:lineRule="auto"/>
        <w:jc w:val="both"/>
      </w:pPr>
      <w:r w:rsidRPr="00EF4EB9">
        <w:t xml:space="preserve">An overview of the model is presented in Figure </w:t>
      </w:r>
      <w:r w:rsidR="00C007A4">
        <w:t>1.</w:t>
      </w:r>
      <w:r w:rsidRPr="00EF4EB9">
        <w:t xml:space="preserve"> The model involves </w:t>
      </w:r>
      <w:r w:rsidR="00657538">
        <w:t xml:space="preserve">both a </w:t>
      </w:r>
      <w:r w:rsidRPr="00EF4EB9">
        <w:t>short-term stage in which the clinical characteristics of a patient are generated, and the decision whether or not to prescribe OAC is made</w:t>
      </w:r>
      <w:r w:rsidR="00605BB7">
        <w:t>, and</w:t>
      </w:r>
      <w:r w:rsidRPr="00EF4EB9">
        <w:t xml:space="preserve"> a long-term simulation of the clinical outcomes, and associated costs and utilities, that follow from the patient’s clinical characteristics and the decision whether or not to prescribe OAC.</w:t>
      </w:r>
    </w:p>
    <w:p w:rsidR="00EB5B27" w:rsidRPr="00EF4EB9" w:rsidRDefault="00EB5B27" w:rsidP="00EB5B27">
      <w:pPr>
        <w:keepNext/>
        <w:spacing w:line="360" w:lineRule="auto"/>
        <w:rPr>
          <w:b/>
        </w:rPr>
      </w:pPr>
      <w:r w:rsidRPr="00EF4EB9">
        <w:rPr>
          <w:b/>
        </w:rPr>
        <w:lastRenderedPageBreak/>
        <w:t xml:space="preserve">Figure </w:t>
      </w:r>
      <w:r w:rsidR="00C007A4">
        <w:rPr>
          <w:b/>
        </w:rPr>
        <w:t>1</w:t>
      </w:r>
      <w:r w:rsidRPr="00EF4EB9">
        <w:rPr>
          <w:b/>
        </w:rPr>
        <w:t>:</w:t>
      </w:r>
      <w:r w:rsidRPr="00EF4EB9">
        <w:rPr>
          <w:b/>
        </w:rPr>
        <w:tab/>
        <w:t>Graphical Representation of the mathematical model</w:t>
      </w:r>
      <w:ins w:id="26" w:author="user" w:date="2012-02-29T13:12:00Z">
        <w:r w:rsidR="00A974C0">
          <w:rPr>
            <w:b/>
          </w:rPr>
          <w:t xml:space="preserve"> [NICE DIAGRAM!]</w:t>
        </w:r>
      </w:ins>
    </w:p>
    <w:p w:rsidR="00EB5B27" w:rsidRPr="00EF4EB9" w:rsidRDefault="00EB5B27" w:rsidP="00EB5B27">
      <w:pPr>
        <w:keepNext/>
        <w:spacing w:line="360" w:lineRule="auto"/>
      </w:pPr>
      <w:r w:rsidRPr="00EF4EB9">
        <w:rPr>
          <w:noProof/>
          <w:lang w:val="en-GB" w:eastAsia="en-GB" w:bidi="ar-SA"/>
        </w:rPr>
        <w:drawing>
          <wp:inline distT="0" distB="0" distL="0" distR="0">
            <wp:extent cx="8863330" cy="3696970"/>
            <wp:effectExtent l="19050" t="0" r="0" b="0"/>
            <wp:docPr id="1"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7" cstate="print"/>
                    <a:stretch>
                      <a:fillRect/>
                    </a:stretch>
                  </pic:blipFill>
                  <pic:spPr>
                    <a:xfrm>
                      <a:off x="0" y="0"/>
                      <a:ext cx="8863330" cy="3696970"/>
                    </a:xfrm>
                    <a:prstGeom prst="rect">
                      <a:avLst/>
                    </a:prstGeom>
                  </pic:spPr>
                </pic:pic>
              </a:graphicData>
            </a:graphic>
          </wp:inline>
        </w:drawing>
      </w:r>
    </w:p>
    <w:p w:rsidR="00A8404E" w:rsidRDefault="00A8404E" w:rsidP="00A8404E">
      <w:pPr>
        <w:spacing w:line="360" w:lineRule="auto"/>
        <w:jc w:val="both"/>
      </w:pPr>
      <w:r w:rsidRPr="008C72E4">
        <w:t>Two related diagnostic tools are commonly used to make the decision about whether to prescribe anticoagulants in newly diagnosed AF patients: CHADS</w:t>
      </w:r>
      <w:r w:rsidRPr="008C72E4">
        <w:rPr>
          <w:vertAlign w:val="subscript"/>
        </w:rPr>
        <w:t>2</w:t>
      </w:r>
      <w:r w:rsidRPr="008C72E4">
        <w:t xml:space="preserve"> and CHA</w:t>
      </w:r>
      <w:r w:rsidRPr="008C72E4">
        <w:rPr>
          <w:vertAlign w:val="subscript"/>
        </w:rPr>
        <w:t>2</w:t>
      </w:r>
      <w:r w:rsidRPr="008C72E4">
        <w:t>DS</w:t>
      </w:r>
      <w:r w:rsidRPr="008C72E4">
        <w:rPr>
          <w:vertAlign w:val="subscript"/>
        </w:rPr>
        <w:t>2-</w:t>
      </w:r>
      <w:r w:rsidRPr="008C72E4">
        <w:t xml:space="preserve">VASc. </w:t>
      </w:r>
      <w:ins w:id="27" w:author="user" w:date="2012-02-29T13:11:00Z">
        <w:r w:rsidR="00A974C0">
          <w:t xml:space="preserve">[REFS NEEDED] </w:t>
        </w:r>
      </w:ins>
      <w:r w:rsidRPr="008C72E4">
        <w:t>CHADS</w:t>
      </w:r>
      <w:r w:rsidRPr="008C72E4">
        <w:rPr>
          <w:vertAlign w:val="subscript"/>
        </w:rPr>
        <w:t xml:space="preserve">2 </w:t>
      </w:r>
      <w:r w:rsidRPr="008C72E4">
        <w:t>is the more established instrument, and has published risk le</w:t>
      </w:r>
      <w:r w:rsidR="00C007A4">
        <w:t>vels associated with each group</w:t>
      </w:r>
      <w:ins w:id="28" w:author="user" w:date="2012-02-29T13:11:00Z">
        <w:r w:rsidR="00A974C0">
          <w:t xml:space="preserve"> [REFS NEEDED]</w:t>
        </w:r>
      </w:ins>
      <w:r w:rsidRPr="008C72E4">
        <w:t>. The CHADS</w:t>
      </w:r>
      <w:r w:rsidRPr="008C72E4">
        <w:rPr>
          <w:vertAlign w:val="subscript"/>
        </w:rPr>
        <w:t>2</w:t>
      </w:r>
      <w:r w:rsidRPr="008C72E4">
        <w:t xml:space="preserve"> instrument produces a risk score for each patient ranging from</w:t>
      </w:r>
      <w:r>
        <w:t xml:space="preserve"> zero to six points inclusive, assigning individuals a risk score of one point for a history of congestive heart failure (C), hypertension (H), being aged 75 years or older (A) or having diabetes (D), as well as two points for having had a prior stroke or TIA (S</w:t>
      </w:r>
      <w:r w:rsidRPr="000A4ABF">
        <w:rPr>
          <w:vertAlign w:val="subscript"/>
        </w:rPr>
        <w:t>2</w:t>
      </w:r>
      <w:r>
        <w:t>).  Similarly, CHADS2-VASc assigns patients a score ranging from zero to nine points, differing from CHADS2 in that one point is assigned for being aged 65 or more, an additional point for being aged 75 or more, one point is assigned for a history of vascular disease, and one point assigned for being female</w:t>
      </w:r>
      <w:ins w:id="29" w:author="user" w:date="2012-02-29T13:11:00Z">
        <w:r w:rsidR="00A974C0">
          <w:t xml:space="preserve"> [CAN YOU SHOW THE ALGORITHMS IN A BOX? </w:t>
        </w:r>
        <w:proofErr w:type="gramStart"/>
        <w:r w:rsidR="00A974C0">
          <w:t>WOULD MAKE IT EASIER TO UNDERSTAND]</w:t>
        </w:r>
      </w:ins>
      <w:r>
        <w:t>.</w:t>
      </w:r>
      <w:proofErr w:type="gramEnd"/>
      <w:r>
        <w:t xml:space="preserve"> In both cases, it is assumed a patient assigned a risk score of one or more point would be prescribed </w:t>
      </w:r>
      <w:proofErr w:type="spellStart"/>
      <w:r>
        <w:t>dabigatran</w:t>
      </w:r>
      <w:proofErr w:type="spellEnd"/>
      <w:r>
        <w:t xml:space="preserve">. As a result of this, CHADS2-VASc is a more inclusive clinical prediction system. </w:t>
      </w:r>
    </w:p>
    <w:p w:rsidR="00A8404E" w:rsidRPr="008C72E4" w:rsidRDefault="00A8404E" w:rsidP="00A8404E">
      <w:pPr>
        <w:spacing w:line="360" w:lineRule="auto"/>
        <w:jc w:val="both"/>
      </w:pPr>
      <w:r w:rsidRPr="008C72E4">
        <w:t xml:space="preserve">In our </w:t>
      </w:r>
      <w:ins w:id="30" w:author="user" w:date="2012-02-29T13:11:00Z">
        <w:r w:rsidR="00A974C0">
          <w:t>[3</w:t>
        </w:r>
        <w:r w:rsidR="000B7214" w:rsidRPr="000B7214">
          <w:rPr>
            <w:vertAlign w:val="superscript"/>
            <w:rPrChange w:id="31" w:author="user" w:date="2012-02-29T13:11:00Z">
              <w:rPr/>
            </w:rPrChange>
          </w:rPr>
          <w:t>RD</w:t>
        </w:r>
        <w:r w:rsidR="00A974C0">
          <w:t xml:space="preserve"> PERSON] </w:t>
        </w:r>
      </w:ins>
      <w:r w:rsidRPr="008C72E4">
        <w:t>comparator strategy</w:t>
      </w:r>
      <w:r>
        <w:t>, in which information from TTE is used alongside that from the standard clinical prediction rule,</w:t>
      </w:r>
      <w:r w:rsidRPr="008C72E4">
        <w:t xml:space="preserve"> the decision to coagulate can also be made as a result of TTE identifying a structural feature of left </w:t>
      </w:r>
      <w:proofErr w:type="spellStart"/>
      <w:r w:rsidRPr="008C72E4">
        <w:t>atrial</w:t>
      </w:r>
      <w:proofErr w:type="spellEnd"/>
      <w:r w:rsidRPr="008C72E4">
        <w:t xml:space="preserve"> abnormality (LA ABN) that predisposes an individual to a high risk of stroke.</w:t>
      </w:r>
      <w:r w:rsidR="000B7214" w:rsidRPr="008C72E4">
        <w:fldChar w:fldCharType="begin"/>
      </w:r>
      <w:r w:rsidRPr="008C72E4">
        <w:instrText xml:space="preserve"> ADDIN REFMGR.CITE &lt;Refman&gt;&lt;Cite&gt;&lt;Author&gt;The Stroke Prevention in Atrial Fibrillation Investigators Committee on Echocardiography.&lt;/Author&gt;&lt;Year&gt;1998&lt;/Year&gt;&lt;RecNum&gt;29&lt;/RecNum&gt;&lt;IDText&gt;Transesophageal echocardiographic correlates of thromboembolism in high-risk patients with nonvalvular atrial fibrillation.&lt;/IDText&gt;&lt;MDL Ref_Type="Journal"&gt;&lt;Ref_Type&gt;Journal&lt;/Ref_Type&gt;&lt;Ref_ID&gt;29&lt;/Ref_ID&gt;&lt;Title_Primary&gt;&lt;f name="Calibri"&gt;Transesophageal echocardiographic correlates of thromboembolism in high-risk patients with nonvalvular atrial fibrillation.&lt;/f&gt;&lt;/Title_Primary&gt;&lt;Authors_Primary&gt;The Stroke Prevention in Atrial Fibrillation Investigators Committee on Echocardiography.&lt;/Authors_Primary&gt;&lt;Date_Primary&gt;1998&lt;/Date_Primary&gt;&lt;Keywords&gt;thromboembolism&lt;/Keywords&gt;&lt;Keywords&gt;high risk patient&lt;/Keywords&gt;&lt;Keywords&gt;patient&lt;/Keywords&gt;&lt;Reprint&gt;Not in File&lt;/Reprint&gt;&lt;Start_Page&gt;639&lt;/Start_Page&gt;&lt;End_Page&gt;647&lt;/End_Page&gt;&lt;Periodical&gt;Annals of Internal Medicine&lt;/Periodical&gt;&lt;Volume&gt;128&lt;/Volume&gt;&lt;ZZ_JournalFull&gt;&lt;f name="System"&gt;Annals of Internal Medicine&lt;/f&gt;&lt;/ZZ_JournalFull&gt;&lt;ZZ_JournalStdAbbrev&gt;&lt;f name="System"&gt;Ann Intern Med&lt;/f&gt;&lt;/ZZ_JournalStdAbbrev&gt;&lt;ZZ_WorkformID&gt;1&lt;/ZZ_WorkformID&gt;&lt;/MDL&gt;&lt;/Cite&gt;&lt;/Refman&gt;</w:instrText>
      </w:r>
      <w:r w:rsidR="000B7214" w:rsidRPr="008C72E4">
        <w:fldChar w:fldCharType="separate"/>
      </w:r>
      <w:r w:rsidRPr="008C72E4">
        <w:rPr>
          <w:noProof/>
          <w:vertAlign w:val="superscript"/>
        </w:rPr>
        <w:t>135</w:t>
      </w:r>
      <w:r w:rsidR="000B7214" w:rsidRPr="008C72E4">
        <w:fldChar w:fldCharType="end"/>
      </w:r>
      <w:r w:rsidRPr="008C72E4">
        <w:t xml:space="preserve">  For the purposes of this report we define LA ABN as a patient having </w:t>
      </w:r>
      <w:r>
        <w:t xml:space="preserve">either a </w:t>
      </w:r>
      <w:r>
        <w:lastRenderedPageBreak/>
        <w:t xml:space="preserve">left </w:t>
      </w:r>
      <w:proofErr w:type="spellStart"/>
      <w:r>
        <w:t>atrial</w:t>
      </w:r>
      <w:proofErr w:type="spellEnd"/>
      <w:r>
        <w:t xml:space="preserve"> appendage thrombi, a dense spontaneous echo contrast, or l</w:t>
      </w:r>
      <w:r w:rsidRPr="008C72E4">
        <w:t xml:space="preserve">eft </w:t>
      </w:r>
      <w:proofErr w:type="spellStart"/>
      <w:r w:rsidRPr="008C72E4">
        <w:t>atrial</w:t>
      </w:r>
      <w:proofErr w:type="spellEnd"/>
      <w:r w:rsidRPr="008C72E4">
        <w:t xml:space="preserve"> appendage low flow velocities</w:t>
      </w:r>
      <w:r>
        <w:t>.</w:t>
      </w:r>
    </w:p>
    <w:p w:rsidR="009B513D" w:rsidRDefault="00657538" w:rsidP="00C007A4">
      <w:pPr>
        <w:spacing w:line="360" w:lineRule="auto"/>
        <w:jc w:val="both"/>
      </w:pPr>
      <w:r>
        <w:t xml:space="preserve">The short term model looks at the effect of including TTE in the diagnostic strategy on the proportion of newly diagnosed AF patients from four mutually exclusive and exhaustive patient groups. We define these groups as: 1) true positives (TPs): patients with a clinical prediction score of one or more. These patients would currently receive </w:t>
      </w:r>
      <w:proofErr w:type="spellStart"/>
      <w:r>
        <w:t>dabigatran</w:t>
      </w:r>
      <w:proofErr w:type="spellEnd"/>
      <w:r>
        <w:t xml:space="preserve">. 2) </w:t>
      </w:r>
      <w:proofErr w:type="gramStart"/>
      <w:r>
        <w:t>true</w:t>
      </w:r>
      <w:proofErr w:type="gramEnd"/>
      <w:r>
        <w:t xml:space="preserve"> negatives (TNs): patients with a clinical prediction score of zero</w:t>
      </w:r>
      <w:r w:rsidR="00AF094E">
        <w:t xml:space="preserve">, who also do not have an LA ABN, and whom TTE does not misclassify as having LA ABN. These patients currently do not receive the OAC, and for this patient group this is the correct decision. 3) False positives (FPs): Patients with a clinical prediction score of zero whom TTE misclassifies as having a LA ABN. As a result of this, using TTE would lead to these patients being given OACs even though for them this would be the wrong decision. 4) False negatives (FNs): Patients with a clinical prediction score of zero, but a LA ABN that TTE has failed to identify. These patients would not receive OACs even though for </w:t>
      </w:r>
      <w:proofErr w:type="gramStart"/>
      <w:r w:rsidR="00AF094E">
        <w:t>them</w:t>
      </w:r>
      <w:proofErr w:type="gramEnd"/>
      <w:r w:rsidR="00AF094E">
        <w:t xml:space="preserve"> prescribing OACs would be the correct decision. </w:t>
      </w:r>
    </w:p>
    <w:p w:rsidR="00CF007B" w:rsidRDefault="00AF094E" w:rsidP="00C007A4">
      <w:pPr>
        <w:spacing w:line="360" w:lineRule="auto"/>
        <w:jc w:val="both"/>
      </w:pPr>
      <w:r>
        <w:t xml:space="preserve">Within our model, the clinical </w:t>
      </w:r>
      <w:ins w:id="32" w:author="user" w:date="2012-02-29T13:13:00Z">
        <w:r w:rsidR="00A974C0">
          <w:t xml:space="preserve">effectiveness </w:t>
        </w:r>
      </w:ins>
      <w:r>
        <w:t>and cost-effectiveness of TTE compared with no TTE is a function of the mixture of these four patient groups</w:t>
      </w:r>
      <w:r w:rsidR="00CF007B">
        <w:t xml:space="preserve"> within the patient population</w:t>
      </w:r>
      <w:r>
        <w:t xml:space="preserve">, which is itself a function of 1) the true proportion of patients with </w:t>
      </w:r>
      <w:r w:rsidR="00CF007B">
        <w:t>a clinical prediction score of zero who have LA ABN and are thus at substantially higher stroke risk than predicted (‘True Proportion High Risk’ or TPHR); and 2) the sensitivity and specificity of TTE in identifying TPHR individuals. The patient mix is defined as: TPHR x Sensitivity</w:t>
      </w:r>
      <w:r w:rsidR="00EB5AE5">
        <w:t xml:space="preserve"> for true positive, </w:t>
      </w:r>
      <w:r w:rsidR="00CF007B">
        <w:t>(1 – TPHR) x Specificity</w:t>
      </w:r>
      <w:r w:rsidR="00EB5AE5">
        <w:t xml:space="preserve"> for true negative, </w:t>
      </w:r>
      <w:r w:rsidR="00CF007B">
        <w:t>(1 –</w:t>
      </w:r>
      <w:r w:rsidR="002970B4">
        <w:t xml:space="preserve"> TPHR) x (</w:t>
      </w:r>
      <w:r w:rsidR="00CF007B">
        <w:t>1 – Specificity)</w:t>
      </w:r>
      <w:r w:rsidR="00EB5AE5">
        <w:t xml:space="preserve"> for false positive, and </w:t>
      </w:r>
      <w:r w:rsidR="00CF007B">
        <w:t>TPHR x (1 – Sensitivity)</w:t>
      </w:r>
      <w:r w:rsidR="00EB5AE5">
        <w:t xml:space="preserve"> for false negative. </w:t>
      </w:r>
      <w:r w:rsidR="0094141C">
        <w:t xml:space="preserve">Within the context of the model, the baseline strategy (no TTE) can be considered a diagnostic strategy with a sensitivity and specificity of zero, so the baseline population mix is comprised of TPHR% </w:t>
      </w:r>
      <w:r w:rsidR="00EB5AE5">
        <w:t>false negative</w:t>
      </w:r>
      <w:r w:rsidR="0094141C">
        <w:t xml:space="preserve"> and 1-TPHR% </w:t>
      </w:r>
      <w:r w:rsidR="00EB5AE5">
        <w:t>true negative</w:t>
      </w:r>
      <w:r w:rsidR="0094141C">
        <w:t xml:space="preserve">. </w:t>
      </w:r>
      <w:r w:rsidR="00CF007B">
        <w:t xml:space="preserve"> </w:t>
      </w:r>
      <w:ins w:id="33" w:author="user" w:date="2012-02-29T13:13:00Z">
        <w:r w:rsidR="00A974C0">
          <w:t>[I THINK YOU MIGHT LOSE THE READER HERE…]</w:t>
        </w:r>
      </w:ins>
    </w:p>
    <w:p w:rsidR="002908BA" w:rsidRDefault="0094141C" w:rsidP="00C007A4">
      <w:pPr>
        <w:spacing w:line="360" w:lineRule="auto"/>
        <w:jc w:val="both"/>
      </w:pPr>
      <w:r>
        <w:t xml:space="preserve">Our estimates for sensitivity and specificity were drawn from a </w:t>
      </w:r>
      <w:r w:rsidR="00EB5AE5">
        <w:t>recent cross-sectional study of 405 AF patients</w:t>
      </w:r>
      <w:r w:rsidR="002970B4">
        <w:t>.</w:t>
      </w:r>
      <w:r w:rsidR="00C007A4">
        <w:t xml:space="preserve"> [Ref]</w:t>
      </w:r>
      <w:ins w:id="34" w:author="user" w:date="2012-02-29T13:14:00Z">
        <w:r w:rsidR="00A974C0">
          <w:t>[SAY WHY THIS STUDY]</w:t>
        </w:r>
      </w:ins>
      <w:r w:rsidR="002970B4">
        <w:t xml:space="preserve"> For 334 of these patients the presence or absence of LA ABN features identified through TTE was cross-tabulated with those identified with a more expensive and invasive test, </w:t>
      </w:r>
      <w:proofErr w:type="spellStart"/>
      <w:r w:rsidR="002970B4" w:rsidRPr="00C007A4">
        <w:t>transoesophageal</w:t>
      </w:r>
      <w:proofErr w:type="spellEnd"/>
      <w:r w:rsidR="002970B4" w:rsidRPr="00C007A4">
        <w:t xml:space="preserve"> echocardiogram</w:t>
      </w:r>
      <w:r w:rsidR="00EB5AE5">
        <w:t xml:space="preserve"> (TOE or TEE), which was taken to be the gold standard.</w:t>
      </w:r>
      <w:r w:rsidR="002970B4">
        <w:t xml:space="preserve"> </w:t>
      </w:r>
      <w:r w:rsidR="00A40066">
        <w:t>TOE identified LA ABN in 92 patients; in 87 of these patients they were also identified by TTE. Conversely, TOE identified no LA ABN features in 242</w:t>
      </w:r>
      <w:r w:rsidR="00CE68A8">
        <w:t xml:space="preserve"> patients</w:t>
      </w:r>
      <w:r w:rsidR="00A40066">
        <w:t>; in 159 of these patients, however, TTE appeared to identify a LA ABN feature.</w:t>
      </w:r>
      <w:r w:rsidR="00CE68A8">
        <w:t xml:space="preserve"> This implied a sensitivity for TTE of 0.946 (87 / (87 + 5)) and specificity for T</w:t>
      </w:r>
      <w:r w:rsidR="00C007A4">
        <w:t xml:space="preserve">TE of 0.343 (83 / (83 + 159)). </w:t>
      </w:r>
      <w:r w:rsidR="00CE68A8">
        <w:t>Within p</w:t>
      </w:r>
      <w:r w:rsidR="00512460">
        <w:t>robabilistic sensitivity analyse</w:t>
      </w:r>
      <w:r w:rsidR="00CE68A8">
        <w:t xml:space="preserve">s </w:t>
      </w:r>
      <w:ins w:id="35" w:author="user" w:date="2012-02-29T13:14:00Z">
        <w:r w:rsidR="00A974C0">
          <w:t xml:space="preserve">[YOU HAVEN’T SAID ANYTHING ABOUT PSA BEFORE – </w:t>
        </w:r>
      </w:ins>
      <w:ins w:id="36" w:author="user" w:date="2012-02-29T13:15:00Z">
        <w:r w:rsidR="00CF3193">
          <w:t>*********</w:t>
        </w:r>
      </w:ins>
      <w:ins w:id="37" w:author="user" w:date="2012-02-29T13:14:00Z">
        <w:r w:rsidR="00A974C0">
          <w:t xml:space="preserve">EARLY ON IN THE </w:t>
        </w:r>
        <w:r w:rsidR="00A974C0">
          <w:lastRenderedPageBreak/>
          <w:t xml:space="preserve">METHODS DEFINE THE POPULATION, INTERVENTION, COMPARATOR, </w:t>
        </w:r>
      </w:ins>
      <w:ins w:id="38" w:author="user" w:date="2012-02-29T13:15:00Z">
        <w:r w:rsidR="00A974C0">
          <w:t xml:space="preserve">HEALTH ECONOMIC OUTCOME, PERSPECTIVE, DISCOUNT RATE AND TIME HORIZON &amp; MENTION THAT IT IS ASSESSED USING A PROBABILISTIC MODEL] </w:t>
        </w:r>
      </w:ins>
      <w:r w:rsidR="00CE68A8">
        <w:t xml:space="preserve">the sensitivity and specificity were jointly estimated from a </w:t>
      </w:r>
      <w:proofErr w:type="spellStart"/>
      <w:r w:rsidR="00CE68A8">
        <w:t>Dirichlet</w:t>
      </w:r>
      <w:proofErr w:type="spellEnd"/>
      <w:r w:rsidR="00CE68A8">
        <w:t xml:space="preserve"> distribution with these four cell values. </w:t>
      </w:r>
      <w:r w:rsidR="002908BA" w:rsidRPr="00EF4EB9">
        <w:t>It was assumed that the derived distributions of sensitivity and specificity was applicable to all patients and was thus assumed applicable to patients who had a CHADS</w:t>
      </w:r>
      <w:r w:rsidR="002908BA" w:rsidRPr="00C007A4">
        <w:t>2</w:t>
      </w:r>
      <w:r w:rsidR="002908BA" w:rsidRPr="00EF4EB9">
        <w:t xml:space="preserve"> score of 0 and to patients with a CHA</w:t>
      </w:r>
      <w:r w:rsidR="002908BA" w:rsidRPr="00C007A4">
        <w:t>2</w:t>
      </w:r>
      <w:r w:rsidR="002908BA" w:rsidRPr="00EF4EB9">
        <w:t>DS</w:t>
      </w:r>
      <w:r w:rsidR="002908BA" w:rsidRPr="00C007A4">
        <w:t>2</w:t>
      </w:r>
      <w:r w:rsidR="002908BA" w:rsidRPr="00EF4EB9">
        <w:t>-VASc score of 0.</w:t>
      </w:r>
    </w:p>
    <w:p w:rsidR="002908BA" w:rsidRDefault="00CE68A8" w:rsidP="002908BA">
      <w:pPr>
        <w:spacing w:line="360" w:lineRule="auto"/>
        <w:jc w:val="both"/>
      </w:pPr>
      <w:r>
        <w:t>The same</w:t>
      </w:r>
      <w:r w:rsidR="00930CCB">
        <w:t xml:space="preserve"> cross-sectional study was </w:t>
      </w:r>
      <w:r>
        <w:t>used to estimate TPHR for clinical prediction scores of zero. These data suggested a TPHR of 2/24 for CHADS2=0, and 0/11 for CHA2DS2-VASc=0.</w:t>
      </w:r>
      <w:r w:rsidR="002908BA" w:rsidRPr="00EF4EB9">
        <w:t xml:space="preserve"> Given the small data available (the number in the LA ABN group being less than 5) an uninformative prior of 0.5 was added to each paired data set culminating in an expected 2.5 out of 25 patients expected to have a LA ABN amongst those with CHADS</w:t>
      </w:r>
      <w:r w:rsidR="002908BA" w:rsidRPr="00EF4EB9">
        <w:rPr>
          <w:vertAlign w:val="subscript"/>
        </w:rPr>
        <w:t>2</w:t>
      </w:r>
      <w:r w:rsidR="002908BA" w:rsidRPr="00EF4EB9">
        <w:t xml:space="preserve"> score of 0, and an expected 0.5 out of 12 patients with a CHA</w:t>
      </w:r>
      <w:r w:rsidR="002908BA" w:rsidRPr="00EF4EB9">
        <w:rPr>
          <w:vertAlign w:val="subscript"/>
        </w:rPr>
        <w:t>2</w:t>
      </w:r>
      <w:r w:rsidR="002908BA" w:rsidRPr="00EF4EB9">
        <w:t>DS</w:t>
      </w:r>
      <w:r w:rsidR="002908BA" w:rsidRPr="00EF4EB9">
        <w:rPr>
          <w:vertAlign w:val="subscript"/>
        </w:rPr>
        <w:t>2</w:t>
      </w:r>
      <w:r w:rsidR="002908BA" w:rsidRPr="00EF4EB9">
        <w:t xml:space="preserve">-VASc score of 0 to have a LA ABN. </w:t>
      </w:r>
      <w:r w:rsidR="000A4ABF">
        <w:t>For PSA t</w:t>
      </w:r>
      <w:r w:rsidR="002908BA" w:rsidRPr="00EF4EB9">
        <w:t xml:space="preserve">hese values were used to populate </w:t>
      </w:r>
      <w:r w:rsidR="00512460">
        <w:t>B</w:t>
      </w:r>
      <w:r w:rsidR="002908BA" w:rsidRPr="00EF4EB9">
        <w:t>eta distributions</w:t>
      </w:r>
      <w:r w:rsidR="000A4ABF">
        <w:t>.</w:t>
      </w:r>
    </w:p>
    <w:p w:rsidR="00F91783" w:rsidRPr="00EF4EB9" w:rsidRDefault="00A8404E" w:rsidP="00604F56">
      <w:pPr>
        <w:spacing w:line="360" w:lineRule="auto"/>
        <w:jc w:val="both"/>
      </w:pPr>
      <w:r w:rsidRPr="00EF4EB9">
        <w:t xml:space="preserve">The </w:t>
      </w:r>
      <w:r w:rsidR="00C007A4">
        <w:t xml:space="preserve">model simulates </w:t>
      </w:r>
      <w:r w:rsidRPr="00EF4EB9">
        <w:t xml:space="preserve">a series of 60 year old men with newly diagnosed AF but with </w:t>
      </w:r>
      <w:ins w:id="39" w:author="user" w:date="2012-02-29T13:16:00Z">
        <w:r w:rsidR="00CF3193">
          <w:t xml:space="preserve">[DODGY ENGLISH? – BUT WITH] </w:t>
        </w:r>
      </w:ins>
      <w:r w:rsidRPr="00EF4EB9">
        <w:t>none of the</w:t>
      </w:r>
      <w:r w:rsidR="00604F56">
        <w:t xml:space="preserve"> conditions that lead to a clinical prediction score of one or more. This means they would not</w:t>
      </w:r>
      <w:r w:rsidRPr="00EF4EB9">
        <w:t xml:space="preserve"> currently </w:t>
      </w:r>
      <w:r w:rsidR="00604F56">
        <w:t xml:space="preserve">be </w:t>
      </w:r>
      <w:r w:rsidRPr="00EF4EB9">
        <w:t>recommended treatment with an OAC.</w:t>
      </w:r>
      <w:r>
        <w:t xml:space="preserve"> </w:t>
      </w:r>
      <w:r w:rsidRPr="00EF4EB9">
        <w:t>For this patient group the age at death (as</w:t>
      </w:r>
      <w:r>
        <w:t>suming no AF-, or AF treatment-</w:t>
      </w:r>
      <w:r w:rsidRPr="00EF4EB9">
        <w:t>related mortality) was simulated. The diagnosis, or not, of LA ABN following TTE was additionally simulated.</w:t>
      </w:r>
      <w:r w:rsidR="00604F56">
        <w:t xml:space="preserve"> </w:t>
      </w:r>
      <w:r>
        <w:t>The DES is dynamically updated when events occur that affect an individual’s</w:t>
      </w:r>
      <w:r w:rsidR="00F91783">
        <w:t xml:space="preserve"> CHADS2 or CHADS-</w:t>
      </w:r>
      <w:proofErr w:type="spellStart"/>
      <w:r w:rsidR="00F91783">
        <w:t>VASc</w:t>
      </w:r>
      <w:proofErr w:type="spellEnd"/>
      <w:r w:rsidR="00F91783">
        <w:t xml:space="preserve"> score, or other characteristics that affect their stroke or bleed risk. For example, when the patient reaches an age of 65, their CHADS-</w:t>
      </w:r>
      <w:proofErr w:type="spellStart"/>
      <w:r w:rsidR="00F91783">
        <w:t>VASc</w:t>
      </w:r>
      <w:proofErr w:type="spellEnd"/>
      <w:r w:rsidR="00F91783">
        <w:t xml:space="preserve"> score increases by one; at age 75 their score increases by one CHADS2 point, and their CHADS2-VASc score by an additional point. A stroke leads to an increment of two points on the CHADS2/CHADS2-VASc score. </w:t>
      </w:r>
      <w:r w:rsidR="00F91783" w:rsidRPr="00EF4EB9">
        <w:t>If a patient suffers a major bleeding event after taking OACs, they stop being prescribed the OACs, leading to the risk of bleeds reducing to zero, but the risk of stroke increasing.</w:t>
      </w:r>
      <w:r w:rsidR="00F91783">
        <w:t xml:space="preserve"> </w:t>
      </w:r>
      <w:r w:rsidR="00F91783" w:rsidRPr="00EF4EB9">
        <w:t>If a patient experiences a stroke and are not already taking an OAC, they are prescribed OACs</w:t>
      </w:r>
      <w:r w:rsidR="00604F56">
        <w:t>.</w:t>
      </w:r>
      <w:r w:rsidR="00F91783">
        <w:t xml:space="preserve"> If a patient suffers a severe intracranial </w:t>
      </w:r>
      <w:proofErr w:type="spellStart"/>
      <w:r w:rsidR="00F91783">
        <w:t>haemorrhage</w:t>
      </w:r>
      <w:proofErr w:type="spellEnd"/>
      <w:r w:rsidR="00F91783">
        <w:t xml:space="preserve"> (Gl</w:t>
      </w:r>
      <w:r w:rsidR="00604F56">
        <w:t>asgow outcome scale category 2) as</w:t>
      </w:r>
      <w:r w:rsidR="00F91783">
        <w:t xml:space="preserve"> a result of taking OACs, their </w:t>
      </w:r>
      <w:r w:rsidR="00F91783" w:rsidRPr="00EF4EB9">
        <w:t xml:space="preserve">life expectancy was reduced to a maximum of 3.4 years. </w:t>
      </w:r>
      <w:r w:rsidR="00604F56">
        <w:t>Additionally, t</w:t>
      </w:r>
      <w:r w:rsidR="00F91783" w:rsidRPr="00EF4EB9">
        <w:t xml:space="preserve">he risk of a major bleeding event when taking </w:t>
      </w:r>
      <w:proofErr w:type="spellStart"/>
      <w:r w:rsidR="00F91783" w:rsidRPr="00EF4EB9">
        <w:t>Dabigatran</w:t>
      </w:r>
      <w:proofErr w:type="spellEnd"/>
      <w:r w:rsidR="00F91783" w:rsidRPr="00EF4EB9">
        <w:t xml:space="preserve"> (150mg twice daily) was also assumed to change at the age of 75.</w:t>
      </w:r>
    </w:p>
    <w:p w:rsidR="00D200D6" w:rsidRPr="00EF4EB9" w:rsidRDefault="002908BA" w:rsidP="00D200D6">
      <w:pPr>
        <w:spacing w:line="360" w:lineRule="auto"/>
        <w:jc w:val="both"/>
      </w:pPr>
      <w:r w:rsidRPr="00EF4EB9">
        <w:t>The probability of a 60-year old man dying in each of the forthcoming year was taken from UK life tables.</w:t>
      </w:r>
      <w:r w:rsidR="000B7214" w:rsidRPr="00EF4EB9">
        <w:fldChar w:fldCharType="begin"/>
      </w:r>
      <w:r w:rsidRPr="00EF4EB9">
        <w:instrText xml:space="preserve"> ADDIN REFMGR.CITE &lt;Refman&gt;&lt;Cite&gt;&lt;Year&gt;2012&lt;/Year&gt;&lt;RecNum&gt;19886&lt;/RecNum&gt;&lt;IDText&gt;Interim Life Tables:Summaries UK Interim Life Tables, 1980-82 to 2008-10 [Accessed  29-Sep-2011]&lt;/IDText&gt;&lt;MDL Ref_Type="Journal"&gt;&lt;Ref_Type&gt;Journal&lt;/Ref_Type&gt;&lt;Ref_ID&gt;19886&lt;/Ref_ID&gt;&lt;Title_Primary&gt;&lt;f name="Times New Roman"&gt;Interim Life Tables:Summaries UK Interim Life Tables, 1980-82 to 2008-10 [Accessed  29-Sep-2011]&lt;/f&gt;&lt;/Title_Primary&gt;&lt;Date_Primary&gt;2012&lt;/Date_Primary&gt;&lt;Keywords&gt;life&lt;/Keywords&gt;&lt;Reprint&gt;Not in File&lt;/Reprint&gt;&lt;Periodical&gt;Office for National Statistics&lt;/Periodical&gt;&lt;ZZ_JournalFull&gt;&lt;f name="System"&gt;Office for National Statistics&lt;/f&gt;&lt;/ZZ_JournalFull&gt;&lt;ZZ_WorkformID&gt;1&lt;/ZZ_WorkformID&gt;&lt;/MDL&gt;&lt;/Cite&gt;&lt;/Refman&gt;</w:instrText>
      </w:r>
      <w:r w:rsidR="000B7214" w:rsidRPr="00EF4EB9">
        <w:fldChar w:fldCharType="separate"/>
      </w:r>
      <w:r w:rsidRPr="00EF4EB9">
        <w:rPr>
          <w:noProof/>
          <w:vertAlign w:val="superscript"/>
        </w:rPr>
        <w:t>137</w:t>
      </w:r>
      <w:r w:rsidR="000B7214" w:rsidRPr="00EF4EB9">
        <w:fldChar w:fldCharType="end"/>
      </w:r>
      <w:r w:rsidRPr="00EF4EB9">
        <w:t>For simplicity, it was assumed that all remaining patients would die within their 101</w:t>
      </w:r>
      <w:r w:rsidRPr="00EF4EB9">
        <w:rPr>
          <w:vertAlign w:val="superscript"/>
        </w:rPr>
        <w:t>st</w:t>
      </w:r>
      <w:r w:rsidRPr="00EF4EB9">
        <w:t xml:space="preserve"> year. </w:t>
      </w:r>
      <w:r w:rsidR="00D200D6" w:rsidRPr="00EF4EB9">
        <w:t>We assumed that higher CHADS</w:t>
      </w:r>
      <w:r w:rsidR="00D200D6" w:rsidRPr="00EF4EB9">
        <w:rPr>
          <w:vertAlign w:val="subscript"/>
        </w:rPr>
        <w:t>2</w:t>
      </w:r>
      <w:r w:rsidR="00D200D6" w:rsidRPr="00EF4EB9">
        <w:t xml:space="preserve"> scores were associated with a higher risk of stroke. Our estimates were based on results presented in Gage et al,</w:t>
      </w:r>
      <w:r w:rsidR="000B7214" w:rsidRPr="00EF4EB9">
        <w:fldChar w:fldCharType="begin"/>
      </w:r>
      <w:r w:rsidR="00D200D6" w:rsidRPr="00EF4EB9">
        <w:instrText xml:space="preserve"> ADDIN REFMGR.CITE &lt;Refman&gt;&lt;Cite&gt;&lt;Author&gt;Gage&lt;/Author&gt;&lt;Year&gt;2001&lt;/Year&gt;&lt;RecNum&gt;28&lt;/RecNum&gt;&lt;IDText&gt;Validation of clinical classification schemes for predicting stroke: results from the National Registry of Atrial Fibrillation&lt;/IDText&gt;&lt;MDL Ref_Type="Journal"&gt;&lt;Ref_Type&gt;Journal&lt;/Ref_Type&gt;&lt;Ref_ID&gt;28&lt;/Ref_ID&gt;&lt;Title_Primary&gt;Validation of clinical classification schemes for predicting stroke: results from the National Registry of Atrial Fibrillation&lt;/Title_Primary&gt;&lt;Authors_Primary&gt;Gage,BF.&lt;/Authors_Primary&gt;&lt;Authors_Primary&gt;Waterman,AD.&lt;/Authors_Primary&gt;&lt;Authors_Primary&gt;Shannon,W&lt;/Authors_Primary&gt;&lt;Authors_Primary&gt;Boechler,M&lt;/Authors_Primary&gt;&lt;Authors_Primary&gt;Rich,MW.&lt;/Authors_Primary&gt;&lt;Authors_Primary&gt;Radford,MJ.&lt;/Authors_Primary&gt;&lt;Date_Primary&gt;2001&lt;/Date_Primary&gt;&lt;Keywords&gt;classification&lt;/Keywords&gt;&lt;Keywords&gt;stroke&lt;/Keywords&gt;&lt;Reprint&gt;Not in File&lt;/Reprint&gt;&lt;Start_Page&gt;2864&lt;/Start_Page&gt;&lt;End_Page&gt;2870&lt;/End_Page&gt;&lt;Periodical&gt;JAMA&lt;/Periodical&gt;&lt;Volume&gt;285&lt;/Volume&gt;&lt;Issue&gt;22&lt;/Issue&gt;&lt;ZZ_JournalFull&gt;&lt;f name="System"&gt;JAMA&lt;/f&gt;&lt;/ZZ_JournalFull&gt;&lt;ZZ_WorkformID&gt;1&lt;/ZZ_WorkformID&gt;&lt;/MDL&gt;&lt;/Cite&gt;&lt;/Refman&gt;</w:instrText>
      </w:r>
      <w:r w:rsidR="000B7214" w:rsidRPr="00EF4EB9">
        <w:fldChar w:fldCharType="separate"/>
      </w:r>
      <w:r w:rsidR="00D200D6" w:rsidRPr="00EF4EB9">
        <w:rPr>
          <w:noProof/>
          <w:vertAlign w:val="superscript"/>
        </w:rPr>
        <w:t>138</w:t>
      </w:r>
      <w:r w:rsidR="000B7214" w:rsidRPr="00EF4EB9">
        <w:fldChar w:fldCharType="end"/>
      </w:r>
      <w:r w:rsidR="00D200D6" w:rsidRPr="00EF4EB9">
        <w:t xml:space="preserve"> which presented adjusted stroke risks assuming no </w:t>
      </w:r>
      <w:r w:rsidR="00D200D6" w:rsidRPr="00EF4EB9">
        <w:lastRenderedPageBreak/>
        <w:t>aspirin.</w:t>
      </w:r>
      <w:r w:rsidR="000B7214" w:rsidRPr="00EF4EB9">
        <w:fldChar w:fldCharType="begin"/>
      </w:r>
      <w:r w:rsidR="00D200D6" w:rsidRPr="00EF4EB9">
        <w:instrText xml:space="preserve"> ADDIN REFMGR.CITE &lt;Refman&gt;&lt;Cite&gt;&lt;Author&gt;Gage&lt;/Author&gt;&lt;Year&gt;2001&lt;/Year&gt;&lt;RecNum&gt;28&lt;/RecNum&gt;&lt;IDText&gt;Validation of clinical classification schemes for predicting stroke: results from the National Registry of Atrial Fibrillation&lt;/IDText&gt;&lt;MDL Ref_Type="Journal"&gt;&lt;Ref_Type&gt;Journal&lt;/Ref_Type&gt;&lt;Ref_ID&gt;28&lt;/Ref_ID&gt;&lt;Title_Primary&gt;Validation of clinical classification schemes for predicting stroke: results from the National Registry of Atrial Fibrillation&lt;/Title_Primary&gt;&lt;Authors_Primary&gt;Gage,BF.&lt;/Authors_Primary&gt;&lt;Authors_Primary&gt;Waterman,AD.&lt;/Authors_Primary&gt;&lt;Authors_Primary&gt;Shannon,W&lt;/Authors_Primary&gt;&lt;Authors_Primary&gt;Boechler,M&lt;/Authors_Primary&gt;&lt;Authors_Primary&gt;Rich,MW.&lt;/Authors_Primary&gt;&lt;Authors_Primary&gt;Radford,MJ.&lt;/Authors_Primary&gt;&lt;Date_Primary&gt;2001&lt;/Date_Primary&gt;&lt;Keywords&gt;classification&lt;/Keywords&gt;&lt;Keywords&gt;stroke&lt;/Keywords&gt;&lt;Reprint&gt;Not in File&lt;/Reprint&gt;&lt;Start_Page&gt;2864&lt;/Start_Page&gt;&lt;End_Page&gt;2870&lt;/End_Page&gt;&lt;Periodical&gt;JAMA&lt;/Periodical&gt;&lt;Volume&gt;285&lt;/Volume&gt;&lt;Issue&gt;22&lt;/Issue&gt;&lt;ZZ_JournalFull&gt;&lt;f name="System"&gt;JAMA&lt;/f&gt;&lt;/ZZ_JournalFull&gt;&lt;ZZ_WorkformID&gt;1&lt;/ZZ_WorkformID&gt;&lt;/MDL&gt;&lt;/Cite&gt;&lt;/Refman&gt;</w:instrText>
      </w:r>
      <w:r w:rsidR="000B7214" w:rsidRPr="00EF4EB9">
        <w:fldChar w:fldCharType="separate"/>
      </w:r>
      <w:r w:rsidR="00D200D6" w:rsidRPr="00EF4EB9">
        <w:rPr>
          <w:noProof/>
          <w:vertAlign w:val="superscript"/>
        </w:rPr>
        <w:t>138</w:t>
      </w:r>
      <w:r w:rsidR="000B7214" w:rsidRPr="00EF4EB9">
        <w:fldChar w:fldCharType="end"/>
      </w:r>
      <w:r w:rsidR="00D200D6" w:rsidRPr="00EF4EB9">
        <w:t xml:space="preserve"> </w:t>
      </w:r>
      <w:r w:rsidR="00D200D6" w:rsidRPr="00EF4EB9">
        <w:rPr>
          <w:color w:val="000000" w:themeColor="text1"/>
        </w:rPr>
        <w:t>In order to ensure no esti</w:t>
      </w:r>
      <w:r w:rsidR="00D200D6">
        <w:rPr>
          <w:color w:val="000000" w:themeColor="text1"/>
        </w:rPr>
        <w:t xml:space="preserve">mated risks were less than zero within the PSA, estimates were simulated from a lognormal distribution. </w:t>
      </w:r>
      <w:proofErr w:type="spellStart"/>
      <w:r w:rsidR="00D200D6">
        <w:rPr>
          <w:color w:val="000000" w:themeColor="text1"/>
        </w:rPr>
        <w:t>Quantiles</w:t>
      </w:r>
      <w:proofErr w:type="spellEnd"/>
      <w:r w:rsidR="00D200D6">
        <w:rPr>
          <w:color w:val="000000" w:themeColor="text1"/>
        </w:rPr>
        <w:t xml:space="preserve"> from the simulation were paired in order to reduce the probability of </w:t>
      </w:r>
      <w:proofErr w:type="spellStart"/>
      <w:r w:rsidR="00D200D6">
        <w:rPr>
          <w:color w:val="000000" w:themeColor="text1"/>
        </w:rPr>
        <w:t>monotonicity</w:t>
      </w:r>
      <w:proofErr w:type="spellEnd"/>
      <w:r w:rsidR="00D200D6">
        <w:rPr>
          <w:color w:val="000000" w:themeColor="text1"/>
        </w:rPr>
        <w:t xml:space="preserve"> within the PSA. </w:t>
      </w:r>
      <w:r w:rsidR="00D200D6" w:rsidRPr="00EF4EB9">
        <w:t xml:space="preserve">These estimates are presented in Table </w:t>
      </w:r>
      <w:r w:rsidR="00930CCB">
        <w:t>1</w:t>
      </w:r>
      <w:r w:rsidR="00D200D6" w:rsidRPr="00EF4EB9">
        <w:t>.</w:t>
      </w:r>
      <w:r w:rsidR="00D200D6">
        <w:t xml:space="preserve"> </w:t>
      </w:r>
      <w:r w:rsidR="00D200D6" w:rsidRPr="00EF4EB9">
        <w:t>Patients with LAA were assumed to have a risk of stroke independent of CHADS</w:t>
      </w:r>
      <w:r w:rsidR="00D200D6" w:rsidRPr="00EF4EB9">
        <w:rPr>
          <w:vertAlign w:val="subscript"/>
        </w:rPr>
        <w:t>2</w:t>
      </w:r>
      <w:r w:rsidR="00D200D6" w:rsidRPr="00EF4EB9">
        <w:t xml:space="preserve"> score.  The risk was set as 8.0% (95% CI 7.26 - 8:31) per annum, as reported in Connelly et al.</w:t>
      </w:r>
      <w:r w:rsidR="000B7214" w:rsidRPr="00EF4EB9">
        <w:fldChar w:fldCharType="begin">
          <w:fldData xml:space="preserve">PFJlZm1hbj48Q2l0ZT48QXV0aG9yPkNvbm5vbGx5PC9BdXRob3I+PFllYXI+MjAwOTwvWWVhcj48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</w:fldData>
        </w:fldChar>
      </w:r>
      <w:r w:rsidR="00D200D6" w:rsidRPr="00EF4EB9">
        <w:instrText xml:space="preserve"> ADDIN REFMGR.CITE </w:instrText>
      </w:r>
      <w:r w:rsidR="000B7214" w:rsidRPr="00EF4EB9">
        <w:fldChar w:fldCharType="begin">
          <w:fldData xml:space="preserve">PFJlZm1hbj48Q2l0ZT48QXV0aG9yPkNvbm5vbGx5PC9BdXRob3I+PFllYXI+MjAwOTwvWWVhcj48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</w:fldData>
        </w:fldChar>
      </w:r>
      <w:r w:rsidR="00D200D6" w:rsidRPr="00EF4EB9">
        <w:instrText xml:space="preserve"> ADDIN EN.CITE.DATA </w:instrText>
      </w:r>
      <w:r w:rsidR="000B7214" w:rsidRPr="00EF4EB9">
        <w:fldChar w:fldCharType="end"/>
      </w:r>
      <w:r w:rsidR="000B7214" w:rsidRPr="00EF4EB9">
        <w:fldChar w:fldCharType="separate"/>
      </w:r>
      <w:r w:rsidR="00D200D6" w:rsidRPr="00EF4EB9">
        <w:rPr>
          <w:noProof/>
          <w:vertAlign w:val="superscript"/>
        </w:rPr>
        <w:t>139</w:t>
      </w:r>
      <w:r w:rsidR="000B7214" w:rsidRPr="00EF4EB9">
        <w:fldChar w:fldCharType="end"/>
      </w:r>
      <w:r w:rsidR="00D200D6" w:rsidRPr="00EF4EB9">
        <w:t xml:space="preserve">  For simplicity the risk of stroke was assumed to apply throughout the lifetime of the patient.</w:t>
      </w:r>
      <w:r w:rsidR="00D200D6" w:rsidRPr="00D200D6">
        <w:t xml:space="preserve"> </w:t>
      </w:r>
      <w:r w:rsidR="00D200D6" w:rsidRPr="00EF4EB9">
        <w:t>No data were found for the risk of stroke associated with CHA</w:t>
      </w:r>
      <w:r w:rsidR="00D200D6" w:rsidRPr="00EF4EB9">
        <w:rPr>
          <w:vertAlign w:val="subscript"/>
        </w:rPr>
        <w:t>2</w:t>
      </w:r>
      <w:r w:rsidR="00D200D6" w:rsidRPr="00EF4EB9">
        <w:t>DS</w:t>
      </w:r>
      <w:r w:rsidR="00D200D6" w:rsidRPr="00EF4EB9">
        <w:rPr>
          <w:vertAlign w:val="subscript"/>
        </w:rPr>
        <w:t>2</w:t>
      </w:r>
      <w:r w:rsidR="00D200D6" w:rsidRPr="00EF4EB9">
        <w:t>-VASc scores. For simplicity, we assumed the risk of stroke associated with each CHA</w:t>
      </w:r>
      <w:r w:rsidR="00D200D6" w:rsidRPr="00EF4EB9">
        <w:rPr>
          <w:vertAlign w:val="subscript"/>
        </w:rPr>
        <w:t>2</w:t>
      </w:r>
      <w:r w:rsidR="00D200D6" w:rsidRPr="00EF4EB9">
        <w:t>DS</w:t>
      </w:r>
      <w:r w:rsidR="00D200D6" w:rsidRPr="00EF4EB9">
        <w:rPr>
          <w:vertAlign w:val="subscript"/>
        </w:rPr>
        <w:t>2</w:t>
      </w:r>
      <w:r w:rsidR="00D200D6" w:rsidRPr="00EF4EB9">
        <w:t>-VASc score was equivalent to the corresponding CHADS</w:t>
      </w:r>
      <w:r w:rsidR="00D200D6" w:rsidRPr="00EF4EB9">
        <w:rPr>
          <w:vertAlign w:val="subscript"/>
        </w:rPr>
        <w:t>2</w:t>
      </w:r>
      <w:r w:rsidR="00D200D6" w:rsidRPr="00EF4EB9">
        <w:t xml:space="preserve"> scores (Table 27). This is acknowledged as a limitation in the CHA</w:t>
      </w:r>
      <w:r w:rsidR="00D200D6" w:rsidRPr="00EF4EB9">
        <w:rPr>
          <w:vertAlign w:val="subscript"/>
        </w:rPr>
        <w:t>2</w:t>
      </w:r>
      <w:r w:rsidR="00D200D6" w:rsidRPr="00EF4EB9">
        <w:t>DS</w:t>
      </w:r>
      <w:r w:rsidR="00D200D6" w:rsidRPr="00EF4EB9">
        <w:rPr>
          <w:vertAlign w:val="subscript"/>
        </w:rPr>
        <w:t>2</w:t>
      </w:r>
      <w:r w:rsidR="00D200D6" w:rsidRPr="00EF4EB9">
        <w:t xml:space="preserve">-VASc analysis. </w:t>
      </w:r>
    </w:p>
    <w:p w:rsidR="00D200D6" w:rsidRPr="00EF4EB9" w:rsidRDefault="00D200D6" w:rsidP="00D200D6">
      <w:pPr>
        <w:spacing w:line="360" w:lineRule="auto"/>
        <w:jc w:val="both"/>
        <w:rPr>
          <w:b/>
        </w:rPr>
      </w:pPr>
      <w:r w:rsidRPr="00EF4EB9">
        <w:rPr>
          <w:b/>
        </w:rPr>
        <w:t xml:space="preserve">Table </w:t>
      </w:r>
      <w:r w:rsidR="00930CCB">
        <w:rPr>
          <w:b/>
        </w:rPr>
        <w:t>1</w:t>
      </w:r>
      <w:r w:rsidRPr="00EF4EB9">
        <w:rPr>
          <w:b/>
        </w:rPr>
        <w:t>:</w:t>
      </w:r>
      <w:r w:rsidRPr="00EF4EB9">
        <w:rPr>
          <w:b/>
        </w:rPr>
        <w:tab/>
        <w:t>The assumed risk of stroke associated with CHADS</w:t>
      </w:r>
      <w:r w:rsidRPr="00EF4EB9">
        <w:rPr>
          <w:b/>
          <w:vertAlign w:val="subscript"/>
        </w:rPr>
        <w:t>2</w:t>
      </w:r>
      <w:r w:rsidRPr="00EF4EB9">
        <w:rPr>
          <w:b/>
        </w:rPr>
        <w:t xml:space="preserve"> score</w:t>
      </w:r>
    </w:p>
    <w:tbl>
      <w:tblPr>
        <w:tblStyle w:val="TableGrid"/>
        <w:tblW w:w="0" w:type="auto"/>
        <w:tblLook w:val="04A0"/>
      </w:tblPr>
      <w:tblGrid>
        <w:gridCol w:w="1668"/>
        <w:gridCol w:w="2409"/>
      </w:tblGrid>
      <w:tr w:rsidR="00D200D6" w:rsidRPr="00EF4EB9" w:rsidTr="00A974C0">
        <w:tc>
          <w:tcPr>
            <w:tcW w:w="1668" w:type="dxa"/>
          </w:tcPr>
          <w:p w:rsidR="00D200D6" w:rsidRPr="00EF4EB9" w:rsidRDefault="00D200D6" w:rsidP="00A974C0">
            <w:pPr>
              <w:spacing w:line="360" w:lineRule="auto"/>
              <w:jc w:val="both"/>
              <w:rPr>
                <w:sz w:val="22"/>
                <w:szCs w:val="22"/>
              </w:rPr>
            </w:pPr>
            <w:r w:rsidRPr="00EF4EB9">
              <w:rPr>
                <w:sz w:val="22"/>
                <w:szCs w:val="22"/>
              </w:rPr>
              <w:t>CHADS</w:t>
            </w:r>
            <w:r w:rsidRPr="00EF4EB9">
              <w:rPr>
                <w:sz w:val="22"/>
                <w:szCs w:val="22"/>
                <w:vertAlign w:val="subscript"/>
              </w:rPr>
              <w:t>2</w:t>
            </w:r>
            <w:r w:rsidRPr="00EF4EB9">
              <w:rPr>
                <w:sz w:val="22"/>
                <w:szCs w:val="22"/>
              </w:rPr>
              <w:t xml:space="preserve"> score</w:t>
            </w:r>
          </w:p>
        </w:tc>
        <w:tc>
          <w:tcPr>
            <w:tcW w:w="2409" w:type="dxa"/>
          </w:tcPr>
          <w:p w:rsidR="00D200D6" w:rsidRPr="00EF4EB9" w:rsidRDefault="00D200D6" w:rsidP="00A974C0">
            <w:pPr>
              <w:spacing w:line="360" w:lineRule="auto"/>
              <w:jc w:val="both"/>
              <w:rPr>
                <w:sz w:val="22"/>
                <w:szCs w:val="22"/>
              </w:rPr>
            </w:pPr>
            <w:r w:rsidRPr="00EF4EB9">
              <w:rPr>
                <w:sz w:val="22"/>
                <w:szCs w:val="22"/>
              </w:rPr>
              <w:t>Annual Risk (95% CI)</w:t>
            </w:r>
          </w:p>
        </w:tc>
      </w:tr>
      <w:tr w:rsidR="00D200D6" w:rsidRPr="00EF4EB9" w:rsidTr="00A974C0">
        <w:tc>
          <w:tcPr>
            <w:tcW w:w="1668" w:type="dxa"/>
          </w:tcPr>
          <w:p w:rsidR="00D200D6" w:rsidRPr="00EF4EB9" w:rsidRDefault="00D200D6" w:rsidP="00A974C0">
            <w:pPr>
              <w:spacing w:line="360" w:lineRule="auto"/>
              <w:jc w:val="both"/>
              <w:rPr>
                <w:sz w:val="22"/>
                <w:szCs w:val="22"/>
              </w:rPr>
            </w:pPr>
            <w:r w:rsidRPr="00EF4EB9">
              <w:rPr>
                <w:sz w:val="22"/>
                <w:szCs w:val="22"/>
              </w:rPr>
              <w:t>0</w:t>
            </w:r>
          </w:p>
        </w:tc>
        <w:tc>
          <w:tcPr>
            <w:tcW w:w="2409" w:type="dxa"/>
          </w:tcPr>
          <w:p w:rsidR="00D200D6" w:rsidRPr="00EF4EB9" w:rsidRDefault="00D200D6" w:rsidP="00A974C0">
            <w:pPr>
              <w:spacing w:line="360" w:lineRule="auto"/>
              <w:jc w:val="both"/>
              <w:rPr>
                <w:sz w:val="22"/>
                <w:szCs w:val="22"/>
              </w:rPr>
            </w:pPr>
            <w:r w:rsidRPr="00EF4EB9">
              <w:rPr>
                <w:sz w:val="22"/>
                <w:szCs w:val="22"/>
              </w:rPr>
              <w:t>1.9 (1.2 to 3.0)</w:t>
            </w:r>
          </w:p>
        </w:tc>
      </w:tr>
      <w:tr w:rsidR="00D200D6" w:rsidRPr="00EF4EB9" w:rsidTr="00A974C0">
        <w:tc>
          <w:tcPr>
            <w:tcW w:w="1668" w:type="dxa"/>
          </w:tcPr>
          <w:p w:rsidR="00D200D6" w:rsidRPr="00EF4EB9" w:rsidRDefault="00D200D6" w:rsidP="00A974C0">
            <w:pPr>
              <w:spacing w:line="360" w:lineRule="auto"/>
              <w:jc w:val="both"/>
              <w:rPr>
                <w:sz w:val="22"/>
                <w:szCs w:val="22"/>
              </w:rPr>
            </w:pPr>
            <w:r w:rsidRPr="00EF4EB9">
              <w:rPr>
                <w:sz w:val="22"/>
                <w:szCs w:val="22"/>
              </w:rPr>
              <w:t>1</w:t>
            </w:r>
          </w:p>
        </w:tc>
        <w:tc>
          <w:tcPr>
            <w:tcW w:w="2409" w:type="dxa"/>
          </w:tcPr>
          <w:p w:rsidR="00D200D6" w:rsidRPr="00EF4EB9" w:rsidRDefault="00D200D6" w:rsidP="00A974C0">
            <w:pPr>
              <w:spacing w:line="360" w:lineRule="auto"/>
              <w:jc w:val="both"/>
              <w:rPr>
                <w:sz w:val="22"/>
                <w:szCs w:val="22"/>
              </w:rPr>
            </w:pPr>
            <w:r w:rsidRPr="00EF4EB9">
              <w:rPr>
                <w:sz w:val="22"/>
                <w:szCs w:val="22"/>
              </w:rPr>
              <w:t>2.8 (2.0  to 3.8)</w:t>
            </w:r>
          </w:p>
        </w:tc>
      </w:tr>
      <w:tr w:rsidR="00D200D6" w:rsidRPr="00EF4EB9" w:rsidTr="00A974C0">
        <w:tc>
          <w:tcPr>
            <w:tcW w:w="1668" w:type="dxa"/>
          </w:tcPr>
          <w:p w:rsidR="00D200D6" w:rsidRPr="00EF4EB9" w:rsidRDefault="00D200D6" w:rsidP="00A974C0">
            <w:pPr>
              <w:spacing w:line="360" w:lineRule="auto"/>
              <w:jc w:val="both"/>
              <w:rPr>
                <w:sz w:val="22"/>
                <w:szCs w:val="22"/>
              </w:rPr>
            </w:pPr>
            <w:r w:rsidRPr="00EF4EB9">
              <w:rPr>
                <w:sz w:val="22"/>
                <w:szCs w:val="22"/>
              </w:rPr>
              <w:t>2</w:t>
            </w:r>
          </w:p>
        </w:tc>
        <w:tc>
          <w:tcPr>
            <w:tcW w:w="2409" w:type="dxa"/>
          </w:tcPr>
          <w:p w:rsidR="00D200D6" w:rsidRPr="00EF4EB9" w:rsidRDefault="00D200D6" w:rsidP="00A974C0">
            <w:pPr>
              <w:spacing w:line="360" w:lineRule="auto"/>
              <w:jc w:val="both"/>
              <w:rPr>
                <w:sz w:val="22"/>
                <w:szCs w:val="22"/>
              </w:rPr>
            </w:pPr>
            <w:r w:rsidRPr="00EF4EB9">
              <w:rPr>
                <w:sz w:val="22"/>
                <w:szCs w:val="22"/>
              </w:rPr>
              <w:t>4.0 (3.1 to 5.1)</w:t>
            </w:r>
          </w:p>
        </w:tc>
      </w:tr>
      <w:tr w:rsidR="00D200D6" w:rsidRPr="00EF4EB9" w:rsidTr="00A974C0">
        <w:tc>
          <w:tcPr>
            <w:tcW w:w="1668" w:type="dxa"/>
          </w:tcPr>
          <w:p w:rsidR="00D200D6" w:rsidRPr="00EF4EB9" w:rsidRDefault="00D200D6" w:rsidP="00A974C0">
            <w:pPr>
              <w:spacing w:line="360" w:lineRule="auto"/>
              <w:jc w:val="both"/>
              <w:rPr>
                <w:sz w:val="22"/>
                <w:szCs w:val="22"/>
              </w:rPr>
            </w:pPr>
            <w:r w:rsidRPr="00EF4EB9">
              <w:rPr>
                <w:sz w:val="22"/>
                <w:szCs w:val="22"/>
              </w:rPr>
              <w:t>3</w:t>
            </w:r>
          </w:p>
        </w:tc>
        <w:tc>
          <w:tcPr>
            <w:tcW w:w="2409" w:type="dxa"/>
          </w:tcPr>
          <w:p w:rsidR="00D200D6" w:rsidRPr="00EF4EB9" w:rsidRDefault="00D200D6" w:rsidP="00A974C0">
            <w:pPr>
              <w:spacing w:line="360" w:lineRule="auto"/>
              <w:jc w:val="both"/>
              <w:rPr>
                <w:sz w:val="22"/>
                <w:szCs w:val="22"/>
              </w:rPr>
            </w:pPr>
            <w:r w:rsidRPr="00EF4EB9">
              <w:rPr>
                <w:sz w:val="22"/>
                <w:szCs w:val="22"/>
              </w:rPr>
              <w:t>5.9 (4.6 to 7.3)</w:t>
            </w:r>
          </w:p>
        </w:tc>
      </w:tr>
      <w:tr w:rsidR="00D200D6" w:rsidRPr="00EF4EB9" w:rsidTr="00A974C0">
        <w:tc>
          <w:tcPr>
            <w:tcW w:w="1668" w:type="dxa"/>
          </w:tcPr>
          <w:p w:rsidR="00D200D6" w:rsidRPr="00EF4EB9" w:rsidRDefault="00D200D6" w:rsidP="00A974C0">
            <w:pPr>
              <w:spacing w:line="360" w:lineRule="auto"/>
              <w:jc w:val="both"/>
              <w:rPr>
                <w:sz w:val="22"/>
                <w:szCs w:val="22"/>
              </w:rPr>
            </w:pPr>
            <w:r w:rsidRPr="00EF4EB9">
              <w:rPr>
                <w:sz w:val="22"/>
                <w:szCs w:val="22"/>
              </w:rPr>
              <w:t>4</w:t>
            </w:r>
          </w:p>
        </w:tc>
        <w:tc>
          <w:tcPr>
            <w:tcW w:w="2409" w:type="dxa"/>
          </w:tcPr>
          <w:p w:rsidR="00D200D6" w:rsidRPr="00EF4EB9" w:rsidRDefault="00D200D6" w:rsidP="00A974C0">
            <w:pPr>
              <w:keepNext/>
              <w:spacing w:line="360" w:lineRule="auto"/>
              <w:jc w:val="both"/>
              <w:rPr>
                <w:sz w:val="22"/>
                <w:szCs w:val="22"/>
              </w:rPr>
            </w:pPr>
            <w:r w:rsidRPr="00EF4EB9">
              <w:rPr>
                <w:sz w:val="22"/>
                <w:szCs w:val="22"/>
              </w:rPr>
              <w:t>8.5 (6.3 to 11.1)</w:t>
            </w:r>
          </w:p>
        </w:tc>
      </w:tr>
    </w:tbl>
    <w:p w:rsidR="002908BA" w:rsidRDefault="002908BA" w:rsidP="002908BA">
      <w:pPr>
        <w:spacing w:line="360" w:lineRule="auto"/>
        <w:jc w:val="both"/>
      </w:pPr>
    </w:p>
    <w:p w:rsidR="00260232" w:rsidRPr="00EF4EB9" w:rsidRDefault="00260232" w:rsidP="00260232">
      <w:pPr>
        <w:spacing w:line="360" w:lineRule="auto"/>
        <w:jc w:val="both"/>
      </w:pPr>
      <w:r w:rsidRPr="00EF4EB9">
        <w:rPr>
          <w:color w:val="000000" w:themeColor="text1"/>
        </w:rPr>
        <w:t xml:space="preserve">The risk of major bleeding events in patients receiving </w:t>
      </w:r>
      <w:proofErr w:type="spellStart"/>
      <w:r w:rsidRPr="00EF4EB9">
        <w:rPr>
          <w:color w:val="000000" w:themeColor="text1"/>
        </w:rPr>
        <w:t>dabigatran</w:t>
      </w:r>
      <w:proofErr w:type="spellEnd"/>
      <w:r w:rsidRPr="00EF4EB9">
        <w:rPr>
          <w:color w:val="000000" w:themeColor="text1"/>
        </w:rPr>
        <w:t xml:space="preserve"> was </w:t>
      </w:r>
      <w:r>
        <w:rPr>
          <w:color w:val="000000" w:themeColor="text1"/>
        </w:rPr>
        <w:t xml:space="preserve">estimated using a simulation approach based on </w:t>
      </w:r>
      <w:r w:rsidRPr="00EF4EB9">
        <w:rPr>
          <w:color w:val="000000" w:themeColor="text1"/>
        </w:rPr>
        <w:t>results published using data from the RE-LY trial.</w:t>
      </w:r>
      <w:r w:rsidR="000B7214" w:rsidRPr="00EF4EB9">
        <w:rPr>
          <w:color w:val="000000" w:themeColor="text1"/>
        </w:rPr>
        <w:fldChar w:fldCharType="begin">
          <w:fldData xml:space="preserve">PFJlZm1hbj48Q2l0ZT48QXV0aG9yPkVpa2VsYm9vbTwvQXV0aG9yPjxZZWFyPjIwMTE8L1llYXI+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=
</w:fldData>
        </w:fldChar>
      </w:r>
      <w:r w:rsidRPr="00EF4EB9">
        <w:rPr>
          <w:color w:val="000000" w:themeColor="text1"/>
        </w:rPr>
        <w:instrText xml:space="preserve"> ADDIN REFMGR.CITE </w:instrText>
      </w:r>
      <w:r w:rsidR="000B7214" w:rsidRPr="00EF4EB9">
        <w:rPr>
          <w:color w:val="000000" w:themeColor="text1"/>
        </w:rPr>
        <w:fldChar w:fldCharType="begin">
          <w:fldData xml:space="preserve">PFJlZm1hbj48Q2l0ZT48QXV0aG9yPkVpa2VsYm9vbTwvQXV0aG9yPjxZZWFyPjIwMTE8L1llYXI+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=
</w:fldData>
        </w:fldChar>
      </w:r>
      <w:r w:rsidRPr="00EF4EB9">
        <w:rPr>
          <w:color w:val="000000" w:themeColor="text1"/>
        </w:rPr>
        <w:instrText xml:space="preserve"> ADDIN EN.CITE.DATA </w:instrText>
      </w:r>
      <w:r w:rsidR="000B7214" w:rsidRPr="00EF4EB9">
        <w:rPr>
          <w:color w:val="000000" w:themeColor="text1"/>
        </w:rPr>
      </w:r>
      <w:r w:rsidR="000B7214" w:rsidRPr="00EF4EB9">
        <w:rPr>
          <w:color w:val="000000" w:themeColor="text1"/>
        </w:rPr>
        <w:fldChar w:fldCharType="end"/>
      </w:r>
      <w:r w:rsidR="000B7214" w:rsidRPr="00EF4EB9">
        <w:rPr>
          <w:color w:val="000000" w:themeColor="text1"/>
        </w:rPr>
      </w:r>
      <w:r w:rsidR="000B7214" w:rsidRPr="00EF4EB9">
        <w:rPr>
          <w:color w:val="000000" w:themeColor="text1"/>
        </w:rPr>
        <w:fldChar w:fldCharType="separate"/>
      </w:r>
      <w:r w:rsidRPr="00EF4EB9">
        <w:rPr>
          <w:noProof/>
          <w:color w:val="000000" w:themeColor="text1"/>
          <w:vertAlign w:val="superscript"/>
        </w:rPr>
        <w:t>142</w:t>
      </w:r>
      <w:r w:rsidR="000B7214" w:rsidRPr="00EF4EB9">
        <w:rPr>
          <w:color w:val="000000" w:themeColor="text1"/>
        </w:rPr>
        <w:fldChar w:fldCharType="end"/>
      </w:r>
      <w:r w:rsidRPr="00EF4EB9">
        <w:rPr>
          <w:color w:val="000000" w:themeColor="text1"/>
        </w:rPr>
        <w:t xml:space="preserve"> </w:t>
      </w:r>
      <w:fldSimple w:instr=" REF _Ref314160044 \h  \* MERGEFORMAT ">
        <w:r w:rsidRPr="00EF4EB9">
          <w:rPr>
            <w:bCs/>
          </w:rPr>
          <w:t>Table</w:t>
        </w:r>
      </w:fldSimple>
      <w:r>
        <w:t xml:space="preserve"> </w:t>
      </w:r>
      <w:r w:rsidR="00930CCB">
        <w:rPr>
          <w:color w:val="000000" w:themeColor="text1"/>
        </w:rPr>
        <w:t>2</w:t>
      </w:r>
      <w:r w:rsidRPr="00EF4EB9">
        <w:rPr>
          <w:color w:val="000000" w:themeColor="text1"/>
        </w:rPr>
        <w:t xml:space="preserve"> presents credible intervals</w:t>
      </w:r>
      <w:r>
        <w:rPr>
          <w:color w:val="000000" w:themeColor="text1"/>
        </w:rPr>
        <w:t>, based on imputed sample sizes,</w:t>
      </w:r>
      <w:r w:rsidRPr="00EF4EB9">
        <w:rPr>
          <w:color w:val="000000" w:themeColor="text1"/>
        </w:rPr>
        <w:t xml:space="preserve"> for these two age groups. </w:t>
      </w:r>
    </w:p>
    <w:p w:rsidR="00260232" w:rsidRPr="00EF4EB9" w:rsidRDefault="008864FC" w:rsidP="00260232">
      <w:pPr>
        <w:spacing w:line="360" w:lineRule="auto"/>
        <w:jc w:val="both"/>
        <w:rPr>
          <w:b/>
        </w:rPr>
      </w:pPr>
      <w:r>
        <w:rPr>
          <w:b/>
          <w:color w:val="000000" w:themeColor="text1"/>
        </w:rPr>
        <w:t>Table 2</w:t>
      </w:r>
      <w:r w:rsidR="00260232" w:rsidRPr="00EF4EB9">
        <w:rPr>
          <w:b/>
          <w:color w:val="000000" w:themeColor="text1"/>
        </w:rPr>
        <w:t>:</w:t>
      </w:r>
      <w:r w:rsidR="00260232" w:rsidRPr="00EF4EB9">
        <w:rPr>
          <w:b/>
          <w:color w:val="000000" w:themeColor="text1"/>
        </w:rPr>
        <w:tab/>
        <w:t>Simulated Credible Intervals (</w:t>
      </w:r>
      <w:proofErr w:type="spellStart"/>
      <w:r w:rsidR="00260232" w:rsidRPr="00EF4EB9">
        <w:rPr>
          <w:b/>
          <w:color w:val="000000" w:themeColor="text1"/>
        </w:rPr>
        <w:t>CrI</w:t>
      </w:r>
      <w:proofErr w:type="spellEnd"/>
      <w:r w:rsidR="00260232" w:rsidRPr="00EF4EB9">
        <w:rPr>
          <w:b/>
          <w:color w:val="000000" w:themeColor="text1"/>
        </w:rPr>
        <w:t xml:space="preserve">) for the annual risk of bleed on </w:t>
      </w:r>
      <w:proofErr w:type="spellStart"/>
      <w:r w:rsidR="00260232" w:rsidRPr="00EF4EB9">
        <w:rPr>
          <w:b/>
          <w:color w:val="000000" w:themeColor="text1"/>
        </w:rPr>
        <w:t>dabigatran</w:t>
      </w:r>
      <w:proofErr w:type="spellEnd"/>
    </w:p>
    <w:tbl>
      <w:tblPr>
        <w:tblStyle w:val="TableGrid"/>
        <w:tblW w:w="0" w:type="auto"/>
        <w:tblLook w:val="04A0"/>
      </w:tblPr>
      <w:tblGrid>
        <w:gridCol w:w="2310"/>
        <w:gridCol w:w="2310"/>
        <w:gridCol w:w="2311"/>
        <w:gridCol w:w="2311"/>
      </w:tblGrid>
      <w:tr w:rsidR="00260232" w:rsidRPr="00EF4EB9" w:rsidTr="00A974C0">
        <w:tc>
          <w:tcPr>
            <w:tcW w:w="2310" w:type="dxa"/>
          </w:tcPr>
          <w:p w:rsidR="00260232" w:rsidRPr="00EF4EB9" w:rsidRDefault="00260232" w:rsidP="00A974C0">
            <w:pPr>
              <w:spacing w:line="360" w:lineRule="auto"/>
              <w:jc w:val="both"/>
              <w:rPr>
                <w:b/>
                <w:color w:val="000000" w:themeColor="text1"/>
                <w:sz w:val="22"/>
                <w:szCs w:val="22"/>
              </w:rPr>
            </w:pPr>
            <w:r w:rsidRPr="00EF4EB9">
              <w:rPr>
                <w:b/>
                <w:color w:val="000000" w:themeColor="text1"/>
                <w:sz w:val="22"/>
                <w:szCs w:val="22"/>
              </w:rPr>
              <w:t>Age group</w:t>
            </w:r>
          </w:p>
        </w:tc>
        <w:tc>
          <w:tcPr>
            <w:tcW w:w="2310" w:type="dxa"/>
          </w:tcPr>
          <w:p w:rsidR="00260232" w:rsidRPr="00EF4EB9" w:rsidRDefault="00260232" w:rsidP="00A974C0">
            <w:pPr>
              <w:spacing w:line="360" w:lineRule="auto"/>
              <w:jc w:val="both"/>
              <w:rPr>
                <w:b/>
                <w:color w:val="000000" w:themeColor="text1"/>
                <w:sz w:val="22"/>
                <w:szCs w:val="22"/>
              </w:rPr>
            </w:pPr>
            <w:r w:rsidRPr="00EF4EB9">
              <w:rPr>
                <w:b/>
                <w:color w:val="000000" w:themeColor="text1"/>
                <w:sz w:val="22"/>
                <w:szCs w:val="22"/>
              </w:rPr>
              <w:t>Central estimate</w:t>
            </w:r>
          </w:p>
        </w:tc>
        <w:tc>
          <w:tcPr>
            <w:tcW w:w="2311" w:type="dxa"/>
          </w:tcPr>
          <w:p w:rsidR="00260232" w:rsidRPr="00EF4EB9" w:rsidRDefault="00260232" w:rsidP="00A974C0">
            <w:pPr>
              <w:spacing w:line="360" w:lineRule="auto"/>
              <w:jc w:val="both"/>
              <w:rPr>
                <w:b/>
                <w:color w:val="000000" w:themeColor="text1"/>
                <w:sz w:val="22"/>
                <w:szCs w:val="22"/>
              </w:rPr>
            </w:pPr>
            <w:r w:rsidRPr="00EF4EB9">
              <w:rPr>
                <w:b/>
                <w:color w:val="000000" w:themeColor="text1"/>
                <w:sz w:val="22"/>
                <w:szCs w:val="22"/>
              </w:rPr>
              <w:t>Presumed Sample size</w:t>
            </w:r>
          </w:p>
        </w:tc>
        <w:tc>
          <w:tcPr>
            <w:tcW w:w="2311" w:type="dxa"/>
          </w:tcPr>
          <w:p w:rsidR="00260232" w:rsidRPr="00EF4EB9" w:rsidRDefault="00260232" w:rsidP="00A974C0">
            <w:pPr>
              <w:spacing w:line="360" w:lineRule="auto"/>
              <w:jc w:val="both"/>
              <w:rPr>
                <w:b/>
                <w:color w:val="000000" w:themeColor="text1"/>
                <w:sz w:val="22"/>
                <w:szCs w:val="22"/>
              </w:rPr>
            </w:pPr>
            <w:r w:rsidRPr="00EF4EB9">
              <w:rPr>
                <w:b/>
                <w:color w:val="000000" w:themeColor="text1"/>
                <w:sz w:val="22"/>
                <w:szCs w:val="22"/>
              </w:rPr>
              <w:t xml:space="preserve">95% </w:t>
            </w:r>
            <w:proofErr w:type="spellStart"/>
            <w:r w:rsidRPr="00EF4EB9">
              <w:rPr>
                <w:b/>
                <w:color w:val="000000" w:themeColor="text1"/>
                <w:sz w:val="22"/>
                <w:szCs w:val="22"/>
              </w:rPr>
              <w:t>CrIs</w:t>
            </w:r>
            <w:proofErr w:type="spellEnd"/>
          </w:p>
        </w:tc>
      </w:tr>
      <w:tr w:rsidR="00260232" w:rsidRPr="00EF4EB9" w:rsidTr="00A974C0">
        <w:tc>
          <w:tcPr>
            <w:tcW w:w="2310" w:type="dxa"/>
          </w:tcPr>
          <w:p w:rsidR="00260232" w:rsidRPr="00EF4EB9" w:rsidRDefault="00260232" w:rsidP="00A974C0">
            <w:pPr>
              <w:spacing w:line="360" w:lineRule="auto"/>
              <w:jc w:val="both"/>
              <w:rPr>
                <w:color w:val="000000" w:themeColor="text1"/>
                <w:sz w:val="22"/>
                <w:szCs w:val="22"/>
              </w:rPr>
            </w:pPr>
            <w:r w:rsidRPr="00EF4EB9">
              <w:rPr>
                <w:color w:val="000000" w:themeColor="text1"/>
                <w:sz w:val="22"/>
                <w:szCs w:val="22"/>
              </w:rPr>
              <w:t>Under 75 years</w:t>
            </w:r>
          </w:p>
        </w:tc>
        <w:tc>
          <w:tcPr>
            <w:tcW w:w="2310" w:type="dxa"/>
          </w:tcPr>
          <w:p w:rsidR="00260232" w:rsidRPr="00EF4EB9" w:rsidRDefault="00260232" w:rsidP="00A974C0">
            <w:pPr>
              <w:spacing w:line="360" w:lineRule="auto"/>
              <w:jc w:val="both"/>
              <w:rPr>
                <w:color w:val="000000" w:themeColor="text1"/>
                <w:sz w:val="22"/>
                <w:szCs w:val="22"/>
              </w:rPr>
            </w:pPr>
            <w:r w:rsidRPr="00EF4EB9">
              <w:rPr>
                <w:color w:val="000000" w:themeColor="text1"/>
                <w:sz w:val="22"/>
                <w:szCs w:val="22"/>
              </w:rPr>
              <w:t>2.12%</w:t>
            </w:r>
          </w:p>
        </w:tc>
        <w:tc>
          <w:tcPr>
            <w:tcW w:w="2311" w:type="dxa"/>
          </w:tcPr>
          <w:p w:rsidR="00260232" w:rsidRPr="00EF4EB9" w:rsidRDefault="00260232" w:rsidP="00A974C0">
            <w:pPr>
              <w:spacing w:line="360" w:lineRule="auto"/>
              <w:jc w:val="both"/>
              <w:rPr>
                <w:color w:val="000000" w:themeColor="text1"/>
                <w:sz w:val="22"/>
                <w:szCs w:val="22"/>
              </w:rPr>
            </w:pPr>
            <w:r w:rsidRPr="00EF4EB9">
              <w:rPr>
                <w:color w:val="000000" w:themeColor="text1"/>
                <w:sz w:val="22"/>
                <w:szCs w:val="22"/>
              </w:rPr>
              <w:t>3618</w:t>
            </w:r>
            <w:r w:rsidR="000B7214" w:rsidRPr="00EF4EB9">
              <w:rPr>
                <w:color w:val="000000" w:themeColor="text1"/>
              </w:rPr>
              <w:fldChar w:fldCharType="begin"/>
            </w:r>
            <w:r w:rsidRPr="00EF4EB9">
              <w:rPr>
                <w:color w:val="000000" w:themeColor="text1"/>
                <w:sz w:val="22"/>
                <w:szCs w:val="22"/>
              </w:rPr>
              <w:instrText xml:space="preserve"> ADDIN REFMGR.CITE &lt;Refman&gt;&lt;Cite&gt;&lt;Year&gt;2012&lt;/Year&gt;&lt;RecNum&gt;19887&lt;/RecNum&gt;&lt;IDText&gt;Total participants reported aged under 75 years of 10,855. Three arms in trial with equal probability of assignment.&lt;/IDText&gt;&lt;MDL Ref_Type="Journal"&gt;&lt;Ref_Type&gt;Journal&lt;/Ref_Type&gt;&lt;Ref_ID&gt;19887&lt;/Ref_ID&gt;&lt;Title_Primary&gt;&lt;f name="Calibri"&gt;Total participants reported aged under 75 years of 10&lt;/f&gt;&lt;f name="Times New Roman"&gt;,&lt;/f&gt;&lt;f name="Calibri"&gt;855. Three arms in trial with equal probability of assignment.&lt;/f&gt;&lt;/Title_Primary&gt;&lt;Date_Primary&gt;2012&lt;/Date_Primary&gt;&lt;Keywords&gt;aged&lt;/Keywords&gt;&lt;Keywords&gt;arm&lt;/Keywords&gt;&lt;Keywords&gt;probability&lt;/Keywords&gt;&lt;Reprint&gt;Not in File&lt;/Reprint&gt;&lt;Periodical&gt;*&lt;/Periodical&gt;&lt;ZZ_JournalFull&gt;&lt;f name="System"&gt;*&lt;/f&gt;&lt;/ZZ_JournalFull&gt;&lt;ZZ_WorkformID&gt;1&lt;/ZZ_WorkformID&gt;&lt;/MDL&gt;&lt;/Cite&gt;&lt;/Refman&gt;</w:instrText>
            </w:r>
            <w:r w:rsidR="000B7214" w:rsidRPr="00EF4EB9">
              <w:rPr>
                <w:color w:val="000000" w:themeColor="text1"/>
              </w:rPr>
              <w:fldChar w:fldCharType="separate"/>
            </w:r>
            <w:r w:rsidRPr="00EF4EB9">
              <w:rPr>
                <w:noProof/>
                <w:color w:val="000000" w:themeColor="text1"/>
                <w:sz w:val="22"/>
                <w:szCs w:val="22"/>
                <w:vertAlign w:val="superscript"/>
              </w:rPr>
              <w:t>143</w:t>
            </w:r>
            <w:r w:rsidR="000B7214" w:rsidRPr="00EF4EB9">
              <w:rPr>
                <w:color w:val="000000" w:themeColor="text1"/>
              </w:rPr>
              <w:fldChar w:fldCharType="end"/>
            </w:r>
          </w:p>
        </w:tc>
        <w:tc>
          <w:tcPr>
            <w:tcW w:w="2311" w:type="dxa"/>
          </w:tcPr>
          <w:p w:rsidR="00260232" w:rsidRPr="00EF4EB9" w:rsidRDefault="00260232" w:rsidP="00A974C0">
            <w:pPr>
              <w:spacing w:line="360" w:lineRule="auto"/>
              <w:jc w:val="both"/>
              <w:rPr>
                <w:color w:val="000000" w:themeColor="text1"/>
                <w:sz w:val="22"/>
                <w:szCs w:val="22"/>
              </w:rPr>
            </w:pPr>
            <w:r w:rsidRPr="00EF4EB9">
              <w:rPr>
                <w:color w:val="000000" w:themeColor="text1"/>
                <w:sz w:val="22"/>
                <w:szCs w:val="22"/>
              </w:rPr>
              <w:t>1.66% to 2.60%</w:t>
            </w:r>
          </w:p>
        </w:tc>
      </w:tr>
      <w:tr w:rsidR="00260232" w:rsidRPr="00EF4EB9" w:rsidTr="00A974C0">
        <w:tc>
          <w:tcPr>
            <w:tcW w:w="2310" w:type="dxa"/>
          </w:tcPr>
          <w:p w:rsidR="00260232" w:rsidRPr="00EF4EB9" w:rsidRDefault="00260232" w:rsidP="00A974C0">
            <w:pPr>
              <w:spacing w:line="360" w:lineRule="auto"/>
              <w:jc w:val="both"/>
              <w:rPr>
                <w:color w:val="000000" w:themeColor="text1"/>
                <w:sz w:val="22"/>
                <w:szCs w:val="22"/>
              </w:rPr>
            </w:pPr>
            <w:r w:rsidRPr="00EF4EB9">
              <w:rPr>
                <w:color w:val="000000" w:themeColor="text1"/>
                <w:sz w:val="22"/>
                <w:szCs w:val="22"/>
              </w:rPr>
              <w:t>75 years or above</w:t>
            </w:r>
          </w:p>
        </w:tc>
        <w:tc>
          <w:tcPr>
            <w:tcW w:w="2310" w:type="dxa"/>
          </w:tcPr>
          <w:p w:rsidR="00260232" w:rsidRPr="00EF4EB9" w:rsidRDefault="00260232" w:rsidP="00A974C0">
            <w:pPr>
              <w:spacing w:line="360" w:lineRule="auto"/>
              <w:jc w:val="both"/>
              <w:rPr>
                <w:color w:val="000000" w:themeColor="text1"/>
                <w:sz w:val="22"/>
                <w:szCs w:val="22"/>
              </w:rPr>
            </w:pPr>
            <w:r w:rsidRPr="00EF4EB9">
              <w:rPr>
                <w:color w:val="000000" w:themeColor="text1"/>
                <w:sz w:val="22"/>
                <w:szCs w:val="22"/>
              </w:rPr>
              <w:t>5.10 %</w:t>
            </w:r>
          </w:p>
        </w:tc>
        <w:tc>
          <w:tcPr>
            <w:tcW w:w="2311" w:type="dxa"/>
          </w:tcPr>
          <w:p w:rsidR="00260232" w:rsidRPr="00EF4EB9" w:rsidRDefault="00260232" w:rsidP="00A974C0">
            <w:pPr>
              <w:spacing w:line="360" w:lineRule="auto"/>
              <w:jc w:val="both"/>
              <w:rPr>
                <w:color w:val="000000" w:themeColor="text1"/>
                <w:sz w:val="22"/>
                <w:szCs w:val="22"/>
              </w:rPr>
            </w:pPr>
            <w:r w:rsidRPr="00EF4EB9">
              <w:rPr>
                <w:color w:val="000000" w:themeColor="text1"/>
                <w:sz w:val="22"/>
                <w:szCs w:val="22"/>
              </w:rPr>
              <w:t>2419</w:t>
            </w:r>
            <w:r w:rsidR="000B7214" w:rsidRPr="00EF4EB9">
              <w:rPr>
                <w:color w:val="000000" w:themeColor="text1"/>
              </w:rPr>
              <w:fldChar w:fldCharType="begin"/>
            </w:r>
            <w:r w:rsidRPr="00EF4EB9">
              <w:rPr>
                <w:color w:val="000000" w:themeColor="text1"/>
                <w:sz w:val="22"/>
                <w:szCs w:val="22"/>
              </w:rPr>
              <w:instrText xml:space="preserve"> ADDIN REFMGR.CITE &lt;Refman&gt;&lt;Cite&gt;&lt;Year&gt;2012&lt;/Year&gt;&lt;RecNum&gt;19888&lt;/RecNum&gt;&lt;IDText&gt;Total participants reported aged under 75 years of 7,258. Three arms in trial with equal probability of assignment.&lt;/IDText&gt;&lt;MDL Ref_Type="Journal"&gt;&lt;Ref_Type&gt;Journal&lt;/Ref_Type&gt;&lt;Ref_ID&gt;19888&lt;/Ref_ID&gt;&lt;Title_Primary&gt;&lt;f name="Calibri"&gt;Total participants reported aged under 75 years of 7&lt;/f&gt;&lt;f name="Times New Roman"&gt;,&lt;/f&gt;&lt;f name="Calibri"&gt;258. Three arms in trial with equal probability of assignment.&lt;/f&gt;&lt;/Title_Primary&gt;&lt;Date_Primary&gt;2012&lt;/Date_Primary&gt;&lt;Keywords&gt;aged&lt;/Keywords&gt;&lt;Keywords&gt;arm&lt;/Keywords&gt;&lt;Keywords&gt;probability&lt;/Keywords&gt;&lt;Reprint&gt;Not in File&lt;/Reprint&gt;&lt;Periodical&gt;*&lt;/Periodical&gt;&lt;ZZ_JournalFull&gt;&lt;f name="System"&gt;*&lt;/f&gt;&lt;/ZZ_JournalFull&gt;&lt;ZZ_WorkformID&gt;1&lt;/ZZ_WorkformID&gt;&lt;/MDL&gt;&lt;/Cite&gt;&lt;/Refman&gt;</w:instrText>
            </w:r>
            <w:r w:rsidR="000B7214" w:rsidRPr="00EF4EB9">
              <w:rPr>
                <w:color w:val="000000" w:themeColor="text1"/>
              </w:rPr>
              <w:fldChar w:fldCharType="separate"/>
            </w:r>
            <w:r w:rsidRPr="00EF4EB9">
              <w:rPr>
                <w:noProof/>
                <w:color w:val="000000" w:themeColor="text1"/>
                <w:sz w:val="22"/>
                <w:szCs w:val="22"/>
                <w:vertAlign w:val="superscript"/>
              </w:rPr>
              <w:t>144</w:t>
            </w:r>
            <w:r w:rsidR="000B7214" w:rsidRPr="00EF4EB9">
              <w:rPr>
                <w:color w:val="000000" w:themeColor="text1"/>
              </w:rPr>
              <w:fldChar w:fldCharType="end"/>
            </w:r>
          </w:p>
        </w:tc>
        <w:tc>
          <w:tcPr>
            <w:tcW w:w="2311" w:type="dxa"/>
          </w:tcPr>
          <w:p w:rsidR="00260232" w:rsidRPr="00EF4EB9" w:rsidRDefault="00260232" w:rsidP="00A974C0">
            <w:pPr>
              <w:keepNext/>
              <w:spacing w:line="360" w:lineRule="auto"/>
              <w:jc w:val="both"/>
              <w:rPr>
                <w:color w:val="000000" w:themeColor="text1"/>
                <w:sz w:val="22"/>
                <w:szCs w:val="22"/>
              </w:rPr>
            </w:pPr>
            <w:r w:rsidRPr="00EF4EB9">
              <w:rPr>
                <w:color w:val="000000" w:themeColor="text1"/>
                <w:sz w:val="22"/>
                <w:szCs w:val="22"/>
              </w:rPr>
              <w:t>4.22% to 5.99%</w:t>
            </w:r>
          </w:p>
        </w:tc>
      </w:tr>
    </w:tbl>
    <w:p w:rsidR="00260232" w:rsidRDefault="00260232" w:rsidP="002908BA">
      <w:pPr>
        <w:spacing w:line="360" w:lineRule="auto"/>
        <w:jc w:val="both"/>
      </w:pPr>
    </w:p>
    <w:p w:rsidR="00260232" w:rsidRPr="00EF4EB9" w:rsidRDefault="00260232" w:rsidP="00260232">
      <w:pPr>
        <w:spacing w:line="360" w:lineRule="auto"/>
        <w:jc w:val="both"/>
      </w:pPr>
      <w:r>
        <w:t xml:space="preserve">We estimated the relative risk (RR) of having a stroke when prescribed </w:t>
      </w:r>
      <w:proofErr w:type="spellStart"/>
      <w:r>
        <w:t>dabigatran</w:t>
      </w:r>
      <w:proofErr w:type="spellEnd"/>
      <w:r>
        <w:t xml:space="preserve"> through a two-stage indirect comparison: the relative risk of </w:t>
      </w:r>
      <w:proofErr w:type="spellStart"/>
      <w:r>
        <w:t>warfarin</w:t>
      </w:r>
      <w:proofErr w:type="spellEnd"/>
      <w:r>
        <w:t xml:space="preserve"> compared with placebo was taken from a </w:t>
      </w:r>
      <w:r w:rsidRPr="00EF4EB9">
        <w:t>2006 meta-analysis</w:t>
      </w:r>
      <w:r>
        <w:t xml:space="preserve">, </w:t>
      </w:r>
      <w:r w:rsidR="000B7214" w:rsidRPr="00EF4EB9">
        <w:fldChar w:fldCharType="begin"/>
      </w:r>
      <w:r w:rsidRPr="00EF4EB9">
        <w:instrText xml:space="preserve"> ADDIN REFMGR.CITE &lt;Refman&gt;&lt;Cite&gt;&lt;Author&gt;Lip&lt;/Author&gt;&lt;Year&gt;2006&lt;/Year&gt;&lt;RecNum&gt;39&lt;/RecNum&gt;&lt;IDText&gt;Stroke prevention with aspirin, warfarin and ximelagatran in patients with non-valvular atrial fibrillation: A systematic review and meta-analysis&lt;/IDText&gt;&lt;MDL Ref_Type="Journal"&gt;&lt;Ref_Type&gt;Journal&lt;/Ref_Type&gt;&lt;Ref_ID&gt;39&lt;/Ref_ID&gt;&lt;Title_Primary&gt;Stroke prevention with aspirin, warfarin and ximelagatran in patients with non-valvular atrial fibrillation: A systematic review and meta-analysis&lt;/Title_Primary&gt;&lt;Authors_Primary&gt;Lip,G.&lt;/Authors_Primary&gt;&lt;Authors_Primary&gt;Edwards,S.&lt;/Authors_Primary&gt;&lt;Date_Primary&gt;2006&lt;/Date_Primary&gt;&lt;Keywords&gt;andy&lt;/Keywords&gt;&lt;Keywords&gt;- 75&lt;/Keywords&gt;&lt;Keywords&gt;stroke&lt;/Keywords&gt;&lt;Keywords&gt;prevention&lt;/Keywords&gt;&lt;Keywords&gt;Aspirin&lt;/Keywords&gt;&lt;Keywords&gt;warfarin&lt;/Keywords&gt;&lt;Keywords&gt;patient&lt;/Keywords&gt;&lt;Keywords&gt;Atrial fibrillation&lt;/Keywords&gt;&lt;Keywords&gt;Systematic review&lt;/Keywords&gt;&lt;Keywords&gt;review&lt;/Keywords&gt;&lt;Keywords&gt;meta analysis&lt;/Keywords&gt;&lt;Reprint&gt;Not in File&lt;/Reprint&gt;&lt;Start_Page&gt;321&lt;/Start_Page&gt;&lt;End_Page&gt;333&lt;/End_Page&gt;&lt;Periodical&gt;Thrombosis Research&lt;/Periodical&gt;&lt;Volume&gt;118&lt;/Volume&gt;&lt;Issue&gt;3&lt;/Issue&gt;&lt;ISSN_ISBN&gt;- 0049-3848&lt;/ISSN_ISBN&gt;&lt;ZZ_JournalFull&gt;&lt;f name="System"&gt;Thrombosis Research&lt;/f&gt;&lt;/ZZ_JournalFull&gt;&lt;ZZ_WorkformID&gt;1&lt;/ZZ_WorkformID&gt;&lt;/MDL&gt;&lt;/Cite&gt;&lt;/Refman&gt;</w:instrText>
      </w:r>
      <w:r w:rsidR="000B7214" w:rsidRPr="00EF4EB9">
        <w:fldChar w:fldCharType="separate"/>
      </w:r>
      <w:r w:rsidRPr="00EF4EB9">
        <w:rPr>
          <w:noProof/>
          <w:vertAlign w:val="superscript"/>
        </w:rPr>
        <w:t>140</w:t>
      </w:r>
      <w:r w:rsidR="000B7214" w:rsidRPr="00EF4EB9">
        <w:fldChar w:fldCharType="end"/>
      </w:r>
      <w:r w:rsidRPr="00EF4EB9">
        <w:t xml:space="preserve"> </w:t>
      </w:r>
      <w:r>
        <w:t>and e</w:t>
      </w:r>
      <w:r w:rsidRPr="00EF4EB9">
        <w:t xml:space="preserve">stimates for the annual risk ratio (RR) of a stroke for patients given 150mg </w:t>
      </w:r>
      <w:proofErr w:type="spellStart"/>
      <w:r w:rsidRPr="00EF4EB9">
        <w:t>dabigatran</w:t>
      </w:r>
      <w:proofErr w:type="spellEnd"/>
      <w:r w:rsidRPr="00EF4EB9">
        <w:t xml:space="preserve"> twice daily compared with </w:t>
      </w:r>
      <w:proofErr w:type="spellStart"/>
      <w:r w:rsidRPr="00EF4EB9">
        <w:t>warfarin</w:t>
      </w:r>
      <w:proofErr w:type="spellEnd"/>
      <w:r w:rsidRPr="00EF4EB9">
        <w:t xml:space="preserve"> taken from a paper based on the Randomized Evaluation of Long-Term Anticoagulation Therapy (RE-LY) study.</w:t>
      </w:r>
      <w:r w:rsidR="000B7214" w:rsidRPr="00EF4EB9">
        <w:fldChar w:fldCharType="begin">
          <w:fldData xml:space="preserve">PFJlZm1hbj48Q2l0ZT48QXV0aG9yPkNvbm5vbGx5PC9BdXRob3I+PFllYXI+MjAwOTwvWWVhcj48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</w:fldData>
        </w:fldChar>
      </w:r>
      <w:r w:rsidRPr="00EF4EB9">
        <w:instrText xml:space="preserve"> ADDIN REFMGR.CITE </w:instrText>
      </w:r>
      <w:r w:rsidR="000B7214" w:rsidRPr="00EF4EB9">
        <w:fldChar w:fldCharType="begin">
          <w:fldData xml:space="preserve">PFJlZm1hbj48Q2l0ZT48QXV0aG9yPkNvbm5vbGx5PC9BdXRob3I+PFllYXI+MjAwOTwvWWVhcj48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</w:fldData>
        </w:fldChar>
      </w:r>
      <w:r w:rsidRPr="00EF4EB9">
        <w:instrText xml:space="preserve"> ADDIN EN.CITE.DATA </w:instrText>
      </w:r>
      <w:r w:rsidR="000B7214" w:rsidRPr="00EF4EB9">
        <w:fldChar w:fldCharType="end"/>
      </w:r>
      <w:r w:rsidR="000B7214" w:rsidRPr="00EF4EB9">
        <w:fldChar w:fldCharType="separate"/>
      </w:r>
      <w:r w:rsidRPr="00EF4EB9">
        <w:rPr>
          <w:noProof/>
          <w:vertAlign w:val="superscript"/>
        </w:rPr>
        <w:t>139</w:t>
      </w:r>
      <w:r w:rsidR="000B7214" w:rsidRPr="00EF4EB9">
        <w:fldChar w:fldCharType="end"/>
      </w:r>
      <w:r>
        <w:t xml:space="preserve"> </w:t>
      </w:r>
      <w:r w:rsidRPr="00EF4EB9">
        <w:t xml:space="preserve">Table </w:t>
      </w:r>
      <w:r w:rsidR="00930CCB">
        <w:t>3</w:t>
      </w:r>
      <w:r w:rsidRPr="00EF4EB9">
        <w:t xml:space="preserve"> shows summary statistics </w:t>
      </w:r>
      <w:r w:rsidRPr="00EF4EB9">
        <w:lastRenderedPageBreak/>
        <w:t>from t</w:t>
      </w:r>
      <w:r w:rsidR="00DF4463">
        <w:t xml:space="preserve">hese two papers, </w:t>
      </w:r>
      <w:r w:rsidRPr="00EF4EB9">
        <w:t>the simulated distributio</w:t>
      </w:r>
      <w:r>
        <w:t xml:space="preserve">n produced </w:t>
      </w:r>
      <w:r w:rsidR="00DF4463">
        <w:t>by combining the two, and</w:t>
      </w:r>
      <w:r>
        <w:t xml:space="preserve"> the density functions of the distributions.</w:t>
      </w:r>
      <w:r w:rsidRPr="00EF4EB9">
        <w:t xml:space="preserve"> </w:t>
      </w:r>
    </w:p>
    <w:p w:rsidR="00260232" w:rsidRPr="00EF4EB9" w:rsidRDefault="00260232" w:rsidP="00260232">
      <w:pPr>
        <w:spacing w:line="360" w:lineRule="auto"/>
        <w:rPr>
          <w:b/>
        </w:rPr>
      </w:pPr>
      <w:r w:rsidRPr="00EF4EB9">
        <w:rPr>
          <w:b/>
        </w:rPr>
        <w:t xml:space="preserve">Table </w:t>
      </w:r>
      <w:r w:rsidR="00930CCB">
        <w:rPr>
          <w:b/>
        </w:rPr>
        <w:t>3</w:t>
      </w:r>
      <w:r w:rsidRPr="00EF4EB9">
        <w:rPr>
          <w:b/>
        </w:rPr>
        <w:t>:</w:t>
      </w:r>
      <w:r w:rsidRPr="00EF4EB9">
        <w:rPr>
          <w:b/>
        </w:rPr>
        <w:tab/>
        <w:t>Data on the reduction in stroke risk associated with each OAC</w:t>
      </w:r>
    </w:p>
    <w:tbl>
      <w:tblPr>
        <w:tblStyle w:val="TableGrid"/>
        <w:tblW w:w="0" w:type="auto"/>
        <w:tblLook w:val="04A0"/>
      </w:tblPr>
      <w:tblGrid>
        <w:gridCol w:w="2802"/>
        <w:gridCol w:w="2268"/>
        <w:gridCol w:w="1861"/>
        <w:gridCol w:w="2311"/>
      </w:tblGrid>
      <w:tr w:rsidR="00260232" w:rsidRPr="00EF4EB9" w:rsidTr="00A974C0">
        <w:tc>
          <w:tcPr>
            <w:tcW w:w="2802" w:type="dxa"/>
          </w:tcPr>
          <w:p w:rsidR="00260232" w:rsidRPr="00EF4EB9" w:rsidRDefault="00260232" w:rsidP="00A974C0">
            <w:pPr>
              <w:rPr>
                <w:b/>
                <w:sz w:val="22"/>
                <w:szCs w:val="22"/>
              </w:rPr>
            </w:pPr>
            <w:r w:rsidRPr="00EF4EB9">
              <w:rPr>
                <w:b/>
                <w:sz w:val="22"/>
                <w:szCs w:val="22"/>
              </w:rPr>
              <w:t>Comparison</w:t>
            </w:r>
          </w:p>
        </w:tc>
        <w:tc>
          <w:tcPr>
            <w:tcW w:w="2268" w:type="dxa"/>
          </w:tcPr>
          <w:p w:rsidR="00260232" w:rsidRPr="00EF4EB9" w:rsidRDefault="00260232" w:rsidP="00A974C0">
            <w:pPr>
              <w:rPr>
                <w:b/>
                <w:sz w:val="22"/>
                <w:szCs w:val="22"/>
              </w:rPr>
            </w:pPr>
            <w:r w:rsidRPr="00EF4EB9">
              <w:rPr>
                <w:b/>
                <w:sz w:val="22"/>
                <w:szCs w:val="22"/>
              </w:rPr>
              <w:t xml:space="preserve">RR (95% CI or </w:t>
            </w:r>
            <w:proofErr w:type="spellStart"/>
            <w:r w:rsidRPr="00EF4EB9">
              <w:rPr>
                <w:b/>
                <w:sz w:val="22"/>
                <w:szCs w:val="22"/>
              </w:rPr>
              <w:t>CrI</w:t>
            </w:r>
            <w:proofErr w:type="spellEnd"/>
            <w:r w:rsidRPr="00EF4EB9">
              <w:rPr>
                <w:b/>
                <w:sz w:val="22"/>
                <w:szCs w:val="22"/>
              </w:rPr>
              <w:t>)</w:t>
            </w:r>
          </w:p>
        </w:tc>
        <w:tc>
          <w:tcPr>
            <w:tcW w:w="1861" w:type="dxa"/>
          </w:tcPr>
          <w:p w:rsidR="00260232" w:rsidRPr="00EF4EB9" w:rsidRDefault="00260232" w:rsidP="00A974C0">
            <w:pPr>
              <w:rPr>
                <w:b/>
                <w:sz w:val="22"/>
                <w:szCs w:val="22"/>
              </w:rPr>
            </w:pPr>
            <w:r w:rsidRPr="00EF4EB9">
              <w:rPr>
                <w:b/>
                <w:sz w:val="22"/>
                <w:szCs w:val="22"/>
              </w:rPr>
              <w:t>Assumed distribution</w:t>
            </w:r>
          </w:p>
        </w:tc>
        <w:tc>
          <w:tcPr>
            <w:tcW w:w="2311" w:type="dxa"/>
          </w:tcPr>
          <w:p w:rsidR="00260232" w:rsidRPr="00EF4EB9" w:rsidRDefault="00260232" w:rsidP="00A974C0">
            <w:pPr>
              <w:rPr>
                <w:b/>
                <w:sz w:val="22"/>
                <w:szCs w:val="22"/>
              </w:rPr>
            </w:pPr>
            <w:r w:rsidRPr="00EF4EB9">
              <w:rPr>
                <w:b/>
                <w:sz w:val="22"/>
                <w:szCs w:val="22"/>
              </w:rPr>
              <w:t>Source</w:t>
            </w:r>
          </w:p>
        </w:tc>
      </w:tr>
      <w:tr w:rsidR="00260232" w:rsidRPr="00EF4EB9" w:rsidTr="00A974C0">
        <w:tc>
          <w:tcPr>
            <w:tcW w:w="2802" w:type="dxa"/>
          </w:tcPr>
          <w:p w:rsidR="00260232" w:rsidRPr="00EF4EB9" w:rsidRDefault="00260232" w:rsidP="00A974C0">
            <w:pPr>
              <w:rPr>
                <w:sz w:val="22"/>
                <w:szCs w:val="22"/>
              </w:rPr>
            </w:pPr>
            <w:r w:rsidRPr="00EF4EB9">
              <w:rPr>
                <w:sz w:val="22"/>
                <w:szCs w:val="22"/>
              </w:rPr>
              <w:t xml:space="preserve">RR: </w:t>
            </w:r>
            <w:proofErr w:type="spellStart"/>
            <w:r w:rsidRPr="00EF4EB9">
              <w:rPr>
                <w:sz w:val="22"/>
                <w:szCs w:val="22"/>
              </w:rPr>
              <w:t>warfarin</w:t>
            </w:r>
            <w:proofErr w:type="spellEnd"/>
            <w:r w:rsidRPr="00EF4EB9">
              <w:rPr>
                <w:sz w:val="22"/>
                <w:szCs w:val="22"/>
              </w:rPr>
              <w:t xml:space="preserve"> vs. placebo</w:t>
            </w:r>
          </w:p>
        </w:tc>
        <w:tc>
          <w:tcPr>
            <w:tcW w:w="2268" w:type="dxa"/>
          </w:tcPr>
          <w:p w:rsidR="00260232" w:rsidRPr="00EF4EB9" w:rsidRDefault="00260232" w:rsidP="00A974C0">
            <w:pPr>
              <w:rPr>
                <w:sz w:val="22"/>
                <w:szCs w:val="22"/>
              </w:rPr>
            </w:pPr>
            <w:r w:rsidRPr="00EF4EB9">
              <w:rPr>
                <w:sz w:val="22"/>
                <w:szCs w:val="22"/>
              </w:rPr>
              <w:t>0.33 (0.24 to 0.45)</w:t>
            </w:r>
          </w:p>
        </w:tc>
        <w:tc>
          <w:tcPr>
            <w:tcW w:w="1861" w:type="dxa"/>
          </w:tcPr>
          <w:p w:rsidR="00260232" w:rsidRPr="00EF4EB9" w:rsidRDefault="00260232" w:rsidP="00A974C0">
            <w:pPr>
              <w:rPr>
                <w:sz w:val="22"/>
                <w:szCs w:val="22"/>
              </w:rPr>
            </w:pPr>
            <w:r w:rsidRPr="00EF4EB9">
              <w:rPr>
                <w:sz w:val="22"/>
                <w:szCs w:val="22"/>
              </w:rPr>
              <w:t>Lognormal</w:t>
            </w:r>
          </w:p>
        </w:tc>
        <w:tc>
          <w:tcPr>
            <w:tcW w:w="2311" w:type="dxa"/>
          </w:tcPr>
          <w:p w:rsidR="00260232" w:rsidRPr="00EF4EB9" w:rsidRDefault="00260232" w:rsidP="00A974C0">
            <w:pPr>
              <w:rPr>
                <w:sz w:val="22"/>
                <w:szCs w:val="22"/>
              </w:rPr>
            </w:pPr>
            <w:r w:rsidRPr="00EF4EB9">
              <w:rPr>
                <w:sz w:val="22"/>
                <w:szCs w:val="22"/>
              </w:rPr>
              <w:t>Lip &amp; Edwards 2006</w:t>
            </w:r>
            <w:r w:rsidR="000B7214" w:rsidRPr="00EF4EB9">
              <w:fldChar w:fldCharType="begin">
                <w:fldData xml:space="preserve">PFJlZm1hbj48Q2l0ZT48QXV0aG9yPkNvbm5vbGx5PC9BdXRob3I+PFllYXI+MjAwOTwvWWVhcj48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</w:fldData>
              </w:fldChar>
            </w:r>
            <w:r w:rsidRPr="00EF4EB9">
              <w:rPr>
                <w:sz w:val="22"/>
                <w:szCs w:val="22"/>
              </w:rPr>
              <w:instrText xml:space="preserve"> ADDIN REFMGR.CITE </w:instrText>
            </w:r>
            <w:r w:rsidR="000B7214" w:rsidRPr="00EF4EB9">
              <w:fldChar w:fldCharType="begin">
                <w:fldData xml:space="preserve">PFJlZm1hbj48Q2l0ZT48QXV0aG9yPkNvbm5vbGx5PC9BdXRob3I+PFllYXI+MjAwOTwvWWVhcj48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</w:fldData>
              </w:fldChar>
            </w:r>
            <w:r w:rsidRPr="00EF4EB9">
              <w:rPr>
                <w:sz w:val="22"/>
                <w:szCs w:val="22"/>
              </w:rPr>
              <w:instrText xml:space="preserve"> ADDIN EN.CITE.DATA </w:instrText>
            </w:r>
            <w:r w:rsidR="000B7214" w:rsidRPr="00EF4EB9">
              <w:fldChar w:fldCharType="end"/>
            </w:r>
            <w:r w:rsidR="000B7214" w:rsidRPr="00EF4EB9">
              <w:fldChar w:fldCharType="separate"/>
            </w:r>
            <w:r w:rsidRPr="00EF4EB9">
              <w:rPr>
                <w:noProof/>
                <w:sz w:val="22"/>
                <w:szCs w:val="22"/>
                <w:vertAlign w:val="superscript"/>
              </w:rPr>
              <w:t>139</w:t>
            </w:r>
            <w:r w:rsidR="000B7214" w:rsidRPr="00EF4EB9">
              <w:fldChar w:fldCharType="end"/>
            </w:r>
          </w:p>
        </w:tc>
      </w:tr>
      <w:tr w:rsidR="00260232" w:rsidRPr="00EF4EB9" w:rsidTr="00A974C0">
        <w:tc>
          <w:tcPr>
            <w:tcW w:w="2802" w:type="dxa"/>
          </w:tcPr>
          <w:p w:rsidR="00260232" w:rsidRPr="00EF4EB9" w:rsidRDefault="00260232" w:rsidP="00A974C0">
            <w:pPr>
              <w:rPr>
                <w:sz w:val="22"/>
                <w:szCs w:val="22"/>
              </w:rPr>
            </w:pPr>
            <w:r w:rsidRPr="00EF4EB9">
              <w:rPr>
                <w:sz w:val="22"/>
                <w:szCs w:val="22"/>
              </w:rPr>
              <w:t xml:space="preserve">RR: </w:t>
            </w:r>
            <w:proofErr w:type="spellStart"/>
            <w:r w:rsidRPr="00EF4EB9">
              <w:rPr>
                <w:sz w:val="22"/>
                <w:szCs w:val="22"/>
              </w:rPr>
              <w:t>dabigatran</w:t>
            </w:r>
            <w:proofErr w:type="spellEnd"/>
            <w:r w:rsidRPr="00EF4EB9">
              <w:rPr>
                <w:sz w:val="22"/>
                <w:szCs w:val="22"/>
              </w:rPr>
              <w:t xml:space="preserve"> vs. </w:t>
            </w:r>
            <w:proofErr w:type="spellStart"/>
            <w:r w:rsidRPr="00EF4EB9">
              <w:rPr>
                <w:sz w:val="22"/>
                <w:szCs w:val="22"/>
              </w:rPr>
              <w:t>warfarin</w:t>
            </w:r>
            <w:proofErr w:type="spellEnd"/>
          </w:p>
        </w:tc>
        <w:tc>
          <w:tcPr>
            <w:tcW w:w="2268" w:type="dxa"/>
          </w:tcPr>
          <w:p w:rsidR="00260232" w:rsidRPr="00EF4EB9" w:rsidRDefault="00260232" w:rsidP="00A974C0">
            <w:pPr>
              <w:rPr>
                <w:sz w:val="22"/>
                <w:szCs w:val="22"/>
              </w:rPr>
            </w:pPr>
            <w:r w:rsidRPr="00EF4EB9">
              <w:rPr>
                <w:sz w:val="22"/>
                <w:szCs w:val="22"/>
              </w:rPr>
              <w:t>0.66 (0.53 to 0.82)</w:t>
            </w:r>
          </w:p>
        </w:tc>
        <w:tc>
          <w:tcPr>
            <w:tcW w:w="1861" w:type="dxa"/>
          </w:tcPr>
          <w:p w:rsidR="00260232" w:rsidRPr="00EF4EB9" w:rsidRDefault="00260232" w:rsidP="00A974C0">
            <w:pPr>
              <w:rPr>
                <w:sz w:val="22"/>
                <w:szCs w:val="22"/>
              </w:rPr>
            </w:pPr>
            <w:r w:rsidRPr="00EF4EB9">
              <w:rPr>
                <w:sz w:val="22"/>
                <w:szCs w:val="22"/>
              </w:rPr>
              <w:t>Lognormal</w:t>
            </w:r>
          </w:p>
        </w:tc>
        <w:tc>
          <w:tcPr>
            <w:tcW w:w="2311" w:type="dxa"/>
          </w:tcPr>
          <w:p w:rsidR="00260232" w:rsidRPr="00EF4EB9" w:rsidRDefault="00260232" w:rsidP="00A974C0">
            <w:pPr>
              <w:rPr>
                <w:sz w:val="22"/>
                <w:szCs w:val="22"/>
              </w:rPr>
            </w:pPr>
            <w:r w:rsidRPr="00EF4EB9">
              <w:rPr>
                <w:sz w:val="22"/>
                <w:szCs w:val="22"/>
              </w:rPr>
              <w:t>Connolly et al 2009</w:t>
            </w:r>
            <w:r w:rsidR="000B7214" w:rsidRPr="00EF4EB9">
              <w:fldChar w:fldCharType="begin">
                <w:fldData xml:space="preserve">PFJlZm1hbj48Q2l0ZT48QXV0aG9yPkNvbm5vbGx5PC9BdXRob3I+PFllYXI+MjAwOTwvWWVhcj48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</w:fldData>
              </w:fldChar>
            </w:r>
            <w:r w:rsidRPr="00EF4EB9">
              <w:rPr>
                <w:sz w:val="22"/>
                <w:szCs w:val="22"/>
              </w:rPr>
              <w:instrText xml:space="preserve"> ADDIN REFMGR.CITE </w:instrText>
            </w:r>
            <w:r w:rsidR="000B7214" w:rsidRPr="00EF4EB9">
              <w:fldChar w:fldCharType="begin">
                <w:fldData xml:space="preserve">PFJlZm1hbj48Q2l0ZT48QXV0aG9yPkNvbm5vbGx5PC9BdXRob3I+PFllYXI+MjAwOTwvWWVhcj48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</w:fldData>
              </w:fldChar>
            </w:r>
            <w:r w:rsidRPr="00EF4EB9">
              <w:rPr>
                <w:sz w:val="22"/>
                <w:szCs w:val="22"/>
              </w:rPr>
              <w:instrText xml:space="preserve"> ADDIN EN.CITE.DATA </w:instrText>
            </w:r>
            <w:r w:rsidR="000B7214" w:rsidRPr="00EF4EB9">
              <w:fldChar w:fldCharType="end"/>
            </w:r>
            <w:r w:rsidR="000B7214" w:rsidRPr="00EF4EB9">
              <w:fldChar w:fldCharType="separate"/>
            </w:r>
            <w:r w:rsidRPr="00EF4EB9">
              <w:rPr>
                <w:noProof/>
                <w:sz w:val="22"/>
                <w:szCs w:val="22"/>
                <w:vertAlign w:val="superscript"/>
              </w:rPr>
              <w:t>139</w:t>
            </w:r>
            <w:r w:rsidR="000B7214" w:rsidRPr="00EF4EB9">
              <w:fldChar w:fldCharType="end"/>
            </w:r>
          </w:p>
        </w:tc>
      </w:tr>
      <w:tr w:rsidR="00260232" w:rsidRPr="00EF4EB9" w:rsidTr="00A974C0">
        <w:tc>
          <w:tcPr>
            <w:tcW w:w="2802" w:type="dxa"/>
          </w:tcPr>
          <w:p w:rsidR="00260232" w:rsidRPr="00EF4EB9" w:rsidRDefault="00260232" w:rsidP="00A974C0">
            <w:pPr>
              <w:rPr>
                <w:sz w:val="22"/>
                <w:szCs w:val="22"/>
              </w:rPr>
            </w:pPr>
            <w:r w:rsidRPr="00EF4EB9">
              <w:rPr>
                <w:sz w:val="22"/>
                <w:szCs w:val="22"/>
              </w:rPr>
              <w:t xml:space="preserve">RR: </w:t>
            </w:r>
            <w:proofErr w:type="spellStart"/>
            <w:r w:rsidRPr="00EF4EB9">
              <w:rPr>
                <w:sz w:val="22"/>
                <w:szCs w:val="22"/>
              </w:rPr>
              <w:t>dabigatran</w:t>
            </w:r>
            <w:proofErr w:type="spellEnd"/>
            <w:r w:rsidRPr="00EF4EB9">
              <w:rPr>
                <w:sz w:val="22"/>
                <w:szCs w:val="22"/>
              </w:rPr>
              <w:t xml:space="preserve"> vs. placebo</w:t>
            </w:r>
          </w:p>
        </w:tc>
        <w:tc>
          <w:tcPr>
            <w:tcW w:w="2268" w:type="dxa"/>
          </w:tcPr>
          <w:p w:rsidR="00260232" w:rsidRPr="00EF4EB9" w:rsidRDefault="00260232" w:rsidP="00A974C0">
            <w:pPr>
              <w:rPr>
                <w:sz w:val="22"/>
                <w:szCs w:val="22"/>
              </w:rPr>
            </w:pPr>
            <w:r w:rsidRPr="00EF4EB9">
              <w:rPr>
                <w:sz w:val="22"/>
                <w:szCs w:val="22"/>
              </w:rPr>
              <w:t>0.22 (0.15 to 0.32)</w:t>
            </w:r>
          </w:p>
        </w:tc>
        <w:tc>
          <w:tcPr>
            <w:tcW w:w="1861" w:type="dxa"/>
          </w:tcPr>
          <w:p w:rsidR="00260232" w:rsidRPr="00EF4EB9" w:rsidRDefault="00260232" w:rsidP="00A974C0">
            <w:pPr>
              <w:rPr>
                <w:sz w:val="22"/>
                <w:szCs w:val="22"/>
              </w:rPr>
            </w:pPr>
            <w:r w:rsidRPr="00EF4EB9">
              <w:rPr>
                <w:sz w:val="22"/>
                <w:szCs w:val="22"/>
              </w:rPr>
              <w:t>Lognormal</w:t>
            </w:r>
          </w:p>
        </w:tc>
        <w:tc>
          <w:tcPr>
            <w:tcW w:w="2311" w:type="dxa"/>
          </w:tcPr>
          <w:p w:rsidR="00260232" w:rsidRPr="00EF4EB9" w:rsidRDefault="00260232" w:rsidP="00A974C0">
            <w:pPr>
              <w:keepNext/>
              <w:rPr>
                <w:sz w:val="22"/>
                <w:szCs w:val="22"/>
              </w:rPr>
            </w:pPr>
            <w:r w:rsidRPr="00EF4EB9">
              <w:rPr>
                <w:sz w:val="22"/>
                <w:szCs w:val="22"/>
              </w:rPr>
              <w:t>Derived from above</w:t>
            </w:r>
          </w:p>
        </w:tc>
      </w:tr>
    </w:tbl>
    <w:p w:rsidR="00260232" w:rsidRPr="00EF4EB9" w:rsidRDefault="00260232" w:rsidP="002908BA">
      <w:pPr>
        <w:spacing w:line="360" w:lineRule="auto"/>
        <w:jc w:val="both"/>
      </w:pPr>
    </w:p>
    <w:p w:rsidR="00260232" w:rsidRPr="00EF4EB9" w:rsidRDefault="00930CCB" w:rsidP="00260232">
      <w:pPr>
        <w:spacing w:line="360" w:lineRule="auto"/>
        <w:jc w:val="both"/>
      </w:pPr>
      <w:r>
        <w:t>We used an estimated cost for TTE of £66, taken from the HRG (Code RA60Z, Simple Echocardiogram</w:t>
      </w:r>
      <w:proofErr w:type="gramStart"/>
      <w:r>
        <w:t>)[</w:t>
      </w:r>
      <w:proofErr w:type="gramEnd"/>
      <w:r>
        <w:t>Ref]</w:t>
      </w:r>
      <w:r w:rsidR="00260232">
        <w:t xml:space="preserve"> </w:t>
      </w:r>
      <w:r w:rsidR="00004236" w:rsidRPr="00EF4EB9">
        <w:t>Consideration was given to the use of alternative values for the cost of a TTE</w:t>
      </w:r>
      <w:r w:rsidR="00260232">
        <w:t>. H</w:t>
      </w:r>
      <w:r w:rsidR="00004236" w:rsidRPr="00EF4EB9">
        <w:t>owever, on viewing the initial results it was seen that a small change in the cost of TTE would not materially alter the cost per QALY</w:t>
      </w:r>
      <w:r w:rsidR="00260232">
        <w:t xml:space="preserve"> as</w:t>
      </w:r>
      <w:r w:rsidR="00004236" w:rsidRPr="00EF4EB9">
        <w:t xml:space="preserve"> the main component of incremental costs </w:t>
      </w:r>
      <w:r w:rsidR="00260232">
        <w:t>were</w:t>
      </w:r>
      <w:r w:rsidR="00004236" w:rsidRPr="00EF4EB9">
        <w:t xml:space="preserve"> the costs associated with prescribing OACs minus any savings in the reduced numbers of stroke plus any additional costs associated with bleeding episodes. </w:t>
      </w:r>
      <w:r w:rsidR="00260232">
        <w:t xml:space="preserve"> The cost of </w:t>
      </w:r>
      <w:proofErr w:type="spellStart"/>
      <w:r w:rsidR="00260232">
        <w:t>dabigatran</w:t>
      </w:r>
      <w:proofErr w:type="spellEnd"/>
      <w:r w:rsidR="00260232">
        <w:t xml:space="preserve"> was</w:t>
      </w:r>
      <w:r w:rsidR="00260232" w:rsidRPr="00EF4EB9">
        <w:t xml:space="preserve"> assumed to cost £821.25 per year, assuming two 150mg tablets daily at a cost of £2.52 per day.</w:t>
      </w:r>
      <w:r w:rsidR="000B7214" w:rsidRPr="00EF4EB9">
        <w:fldChar w:fldCharType="begin"/>
      </w:r>
      <w:r w:rsidR="00260232" w:rsidRPr="00EF4EB9">
        <w:instrText xml:space="preserve"> ADDIN REFMGR.CITE &lt;Refman&gt;&lt;Cite&gt;&lt;Author&gt;NICE&lt;/Author&gt;&lt;Year&gt;2011&lt;/Year&gt;&lt;RecNum&gt;54&lt;/RecNum&gt;&lt;IDText&gt;Dabigatran etexilate for the prevention of stroke and systemic embolism in atrial fibrillation: Final appraisal determination&lt;/IDText&gt;&lt;MDL Ref_Type="Report"&gt;&lt;Ref_Type&gt;Report&lt;/Ref_Type&gt;&lt;Ref_ID&gt;54&lt;/Ref_ID&gt;&lt;Title_Primary&gt;Dabigatran etexilate for the prevention of stroke and systemic embolism in atrial fibrillation: Final appraisal determination&lt;/Title_Primary&gt;&lt;Authors_Primary&gt;NICE&lt;/Authors_Primary&gt;&lt;Date_Primary&gt;2011&lt;/Date_Primary&gt;&lt;Keywords&gt;andy&lt;/Keywords&gt;&lt;Keywords&gt;- 73&lt;/Keywords&gt;&lt;Keywords&gt;prevention&lt;/Keywords&gt;&lt;Keywords&gt;stroke&lt;/Keywords&gt;&lt;Keywords&gt;embolism&lt;/Keywords&gt;&lt;Keywords&gt;Atrial fibrillation&lt;/Keywords&gt;&lt;Reprint&gt;Not in File&lt;/Reprint&gt;&lt;Web_URL&gt;&lt;u&gt;http://www.nice.org.uk/nicemedia/live/12225/56899/56899.pdf.&lt;/u&gt; [Accessed 12.01.12]&lt;/Web_URL&gt;&lt;ZZ_WorkformID&gt;24&lt;/ZZ_WorkformID&gt;&lt;/MDL&gt;&lt;/Cite&gt;&lt;/Refman&gt;</w:instrText>
      </w:r>
      <w:r w:rsidR="000B7214" w:rsidRPr="00EF4EB9">
        <w:fldChar w:fldCharType="separate"/>
      </w:r>
      <w:r w:rsidR="00260232" w:rsidRPr="00EF4EB9">
        <w:rPr>
          <w:noProof/>
          <w:vertAlign w:val="superscript"/>
        </w:rPr>
        <w:t>132</w:t>
      </w:r>
      <w:r w:rsidR="000B7214" w:rsidRPr="00EF4EB9">
        <w:fldChar w:fldCharType="end"/>
      </w:r>
      <w:r w:rsidR="00260232" w:rsidRPr="00EF4EB9">
        <w:t xml:space="preserve">  This cost is fixed within all runs of the PSA. </w:t>
      </w:r>
      <w:r w:rsidR="00F54A94">
        <w:t xml:space="preserve">The costs of clinical events were divided into one-off costs, and ongoing costs. Estimates used are summarized </w:t>
      </w:r>
      <w:r w:rsidR="00932F8B">
        <w:t xml:space="preserve">in table [XXX]. Further details are provided in </w:t>
      </w:r>
      <w:r>
        <w:t>[Ref to either HTA and/or associated article].</w:t>
      </w:r>
    </w:p>
    <w:p w:rsidR="002908BA" w:rsidRDefault="00321AA3" w:rsidP="008864FC">
      <w:pPr>
        <w:spacing w:line="360" w:lineRule="auto"/>
        <w:jc w:val="both"/>
      </w:pPr>
      <w:r>
        <w:t>Three mutually exclusive outcomes could result from a stroke: death, a dependent state, and an independent state. Each outcome has different utilities, probabilities and costs. Similarly, three mutually exclusive outcomes could result from a major bleeding event: death, an intracranial (IC) bleeding event, or a non-intracranial (NIC) bleeding event (assumed to be a gastrointestinal bleed). The severity of a</w:t>
      </w:r>
      <w:r w:rsidR="00930CCB">
        <w:t>n IC</w:t>
      </w:r>
      <w:r>
        <w:t xml:space="preserve"> bleed can vary sub</w:t>
      </w:r>
      <w:r w:rsidR="00F54A94">
        <w:t xml:space="preserve">stantially, and this variation of outcomes was itself simulated using data based on outcomes categorized by GOS score following traumatic brain injury. The costs, probabilities, and utilities of outcomes following strokes and major bleeds are summarized in table XXX. The full methodology used to produce these estimates is presented elsewhere [REF] </w:t>
      </w:r>
    </w:p>
    <w:p w:rsidR="00454436" w:rsidRPr="00930CCB" w:rsidRDefault="008864FC" w:rsidP="00930CCB">
      <w:pPr>
        <w:autoSpaceDE w:val="0"/>
        <w:autoSpaceDN w:val="0"/>
        <w:adjustRightInd w:val="0"/>
        <w:spacing w:line="360" w:lineRule="auto"/>
        <w:jc w:val="both"/>
      </w:pPr>
      <w:bookmarkStart w:id="40" w:name="_Toc316637315"/>
      <w:r>
        <w:t xml:space="preserve">For both CHADS2 and CHADS2-VASc as baseline strategies, we simulated the expected patient experience for a large cohort of patients, in terms of life expectancies at age 60, and the proportion of deaths attributable to either strokes or bleeds. From this we calculated the expected costs and QALYs associated with the baseline outcomes. The patient experiences were also estimated following the comparator strategies, where information from TTE was used as described above. The differences in </w:t>
      </w:r>
      <w:r w:rsidR="00670364">
        <w:t xml:space="preserve">costs and QALYs associated with the simulated patient experiences following both baseline (without TTE) and comparator (with TTE) strategies were used to estimate the incremental </w:t>
      </w:r>
      <w:r w:rsidR="00670364">
        <w:lastRenderedPageBreak/>
        <w:t xml:space="preserve">cost effectiveness ratio (ICER) of the comparator strategies compared with the baseline strategies, and so the cost-effectiveness of TTE in this context. Uncertainty in our estimates of the ICERs due to uncertainty in expected input parameter values were estimated using a nonparametric approach directly from PSA results. The probability that the comparator strategy is cost-effective at a wide range of </w:t>
      </w:r>
      <w:r w:rsidR="000F1109" w:rsidRPr="00EF4EB9">
        <w:t xml:space="preserve">maximum acceptable incremental cost effectiveness </w:t>
      </w:r>
      <w:proofErr w:type="gramStart"/>
      <w:r w:rsidR="000F1109" w:rsidRPr="00EF4EB9">
        <w:t>ratios</w:t>
      </w:r>
      <w:r w:rsidR="000F1109">
        <w:t xml:space="preserve">  (</w:t>
      </w:r>
      <w:proofErr w:type="gramEnd"/>
      <w:r w:rsidR="000F1109">
        <w:t xml:space="preserve">MAICERS) is presented in the form of cost-effectiveness acceptability curves (CEACs) and cost-effectiveness acceptability frontiers (CEAFs), and the probability of being cost-effective at the commonly quoted threshold of £20,000 per QALY is reported. </w:t>
      </w:r>
    </w:p>
    <w:p w:rsidR="00454436" w:rsidRPr="00EF4EB9" w:rsidRDefault="00454436" w:rsidP="00454436">
      <w:pPr>
        <w:autoSpaceDE w:val="0"/>
        <w:autoSpaceDN w:val="0"/>
        <w:adjustRightInd w:val="0"/>
        <w:spacing w:line="360" w:lineRule="auto"/>
        <w:jc w:val="both"/>
        <w:rPr>
          <w:color w:val="292526"/>
        </w:rPr>
      </w:pPr>
      <w:r w:rsidRPr="00EF4EB9">
        <w:t>The expected value of perfect information (EVPI) was calculated. This provides the maximum level of investment that a funding body would be prepared to pay to eliminate all uncertainty in the decision problem.</w:t>
      </w:r>
      <w:r w:rsidR="000B7214" w:rsidRPr="00EF4EB9">
        <w:fldChar w:fldCharType="begin"/>
      </w:r>
      <w:r w:rsidRPr="00EF4EB9">
        <w:instrText xml:space="preserve"> ADDIN REFMGR.CITE &lt;Refman&gt;&lt;Cite&gt;&lt;Author&gt;Claxton&lt;/Author&gt;&lt;Year&gt;1996&lt;/Year&gt;&lt;RecNum&gt;19891&lt;/RecNum&gt;&lt;IDText&gt;An economic approach to clinical trial design and research priority-setting.&lt;/IDText&gt;&lt;MDL Ref_Type="Journal"&gt;&lt;Ref_Type&gt;Journal&lt;/Ref_Type&gt;&lt;Ref_ID&gt;19891&lt;/Ref_ID&gt;&lt;Title_Primary&gt;&lt;f name="Times New Roman"&gt;An economic approach to clinical trial design and research priority-setting.&lt;/f&gt;&lt;/Title_Primary&gt;&lt;Authors_Primary&gt;Claxton,K.&lt;/Authors_Primary&gt;&lt;Authors_Primary&gt;Posnett,J.&lt;/Authors_Primary&gt;&lt;Date_Primary&gt;1996&lt;/Date_Primary&gt;&lt;Keywords&gt;clinical trial&lt;/Keywords&gt;&lt;Keywords&gt;research&lt;/Keywords&gt;&lt;Keywords&gt;health&lt;/Keywords&gt;&lt;Reprint&gt;Not in File&lt;/Reprint&gt;&lt;Start_Page&gt;513&lt;/Start_Page&gt;&lt;End_Page&gt;524&lt;/End_Page&gt;&lt;Periodical&gt;Health Econ.&lt;/Periodical&gt;&lt;Volume&gt;5&lt;/Volume&gt;&lt;ZZ_JournalStdAbbrev&gt;&lt;f name="System"&gt;Health Econ.&lt;/f&gt;&lt;/ZZ_JournalStdAbbrev&gt;&lt;ZZ_WorkformID&gt;1&lt;/ZZ_WorkformID&gt;&lt;/MDL&gt;&lt;/Cite&gt;&lt;/Refman&gt;</w:instrText>
      </w:r>
      <w:r w:rsidR="000B7214" w:rsidRPr="00EF4EB9">
        <w:fldChar w:fldCharType="separate"/>
      </w:r>
      <w:r w:rsidRPr="00EF4EB9">
        <w:rPr>
          <w:noProof/>
          <w:vertAlign w:val="superscript"/>
        </w:rPr>
        <w:t>160</w:t>
      </w:r>
      <w:r w:rsidR="000B7214" w:rsidRPr="00EF4EB9">
        <w:fldChar w:fldCharType="end"/>
      </w:r>
      <w:r w:rsidRPr="00EF4EB9">
        <w:t>. In calculating EVPI an estimation of the number of patients who will be affected by the decision is required. We have performed a crude estimate assuming that the incidence of AF was 1 per 1,000 person years (approximately the pooled rate for women and men aged 55 to 64 years reported by the Renfrew Paisley study).</w:t>
      </w:r>
      <w:r w:rsidR="000B7214" w:rsidRPr="00EF4EB9">
        <w:fldChar w:fldCharType="begin">
          <w:fldData xml:space="preserve">PFJlZm1hbj48Q2l0ZT48QXV0aG9yPlN0ZXdhcnQ8L0F1dGhvcj48WWVhcj4yMDAxPC9ZZWFyPjxS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</w:fldData>
        </w:fldChar>
      </w:r>
      <w:r w:rsidRPr="00EF4EB9">
        <w:instrText xml:space="preserve"> ADDIN REFMGR.CITE </w:instrText>
      </w:r>
      <w:r w:rsidR="000B7214" w:rsidRPr="00EF4EB9">
        <w:fldChar w:fldCharType="begin">
          <w:fldData xml:space="preserve">PFJlZm1hbj48Q2l0ZT48QXV0aG9yPlN0ZXdhcnQ8L0F1dGhvcj48WWVhcj4yMDAxPC9ZZWFyPjxS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</w:fldData>
        </w:fldChar>
      </w:r>
      <w:r w:rsidRPr="00EF4EB9">
        <w:instrText xml:space="preserve"> ADDIN EN.CITE.DATA </w:instrText>
      </w:r>
      <w:r w:rsidR="000B7214" w:rsidRPr="00EF4EB9">
        <w:fldChar w:fldCharType="end"/>
      </w:r>
      <w:r w:rsidR="000B7214" w:rsidRPr="00EF4EB9">
        <w:fldChar w:fldCharType="separate"/>
      </w:r>
      <w:r w:rsidRPr="00EF4EB9">
        <w:rPr>
          <w:noProof/>
          <w:vertAlign w:val="superscript"/>
        </w:rPr>
        <w:t>16</w:t>
      </w:r>
      <w:r w:rsidR="000B7214" w:rsidRPr="00EF4EB9">
        <w:fldChar w:fldCharType="end"/>
      </w:r>
      <w:r w:rsidRPr="00EF4EB9">
        <w:rPr>
          <w:color w:val="292526"/>
        </w:rPr>
        <w:t xml:space="preserve"> that there are 6.7 million people aged between 55 and 64 years in England and Wales,</w:t>
      </w:r>
      <w:r w:rsidR="000B7214" w:rsidRPr="00EF4EB9">
        <w:rPr>
          <w:color w:val="292526"/>
        </w:rPr>
        <w:fldChar w:fldCharType="begin"/>
      </w:r>
      <w:r w:rsidRPr="00EF4EB9">
        <w:rPr>
          <w:color w:val="292526"/>
        </w:rPr>
        <w:instrText xml:space="preserve"> ADDIN REFMGR.CITE &lt;Refman&gt;&lt;Cite&gt;&lt;Author&gt;Office for National Statistics&lt;/Author&gt;&lt;Year&gt;2012&lt;/Year&gt;&lt;RecNum&gt;45129&lt;/RecNum&gt;&lt;IDText&gt;Population Estimates by Marital Status, Mid-2010&lt;/IDText&gt;&lt;MDL Ref_Type="Online Source"&gt;&lt;Ref_Type&gt;Online Source&lt;/Ref_Type&gt;&lt;Ref_ID&gt;45129&lt;/Ref_ID&gt;&lt;Title_Primary&gt;&lt;f name="Times New Roman"&gt;&lt;b&gt;Population Estimates by Marital Status, Mid-2010&lt;/b&gt;&lt;/f&gt;&lt;/Title_Primary&gt;&lt;Authors_Primary&gt;Office for National Statistics&lt;/Authors_Primary&gt;&lt;Date_Primary&gt;2012&lt;/Date_Primary&gt;&lt;Keywords&gt;population&lt;/Keywords&gt;&lt;Reprint&gt;Not in File&lt;/Reprint&gt;&lt;Date_Secondary&gt;2012/2/1&lt;/Date_Secondary&gt;&lt;Web_URL&gt;&lt;u&gt;http://www.ons.gov.uk/ons/publications/re-reference-tables.html?edition=tcm%3A77-231283&lt;/u&gt;&lt;/Web_URL&gt;&lt;ZZ_WorkformID&gt;31&lt;/ZZ_WorkformID&gt;&lt;/MDL&gt;&lt;/Cite&gt;&lt;/Refman&gt;</w:instrText>
      </w:r>
      <w:r w:rsidR="000B7214" w:rsidRPr="00EF4EB9">
        <w:rPr>
          <w:color w:val="292526"/>
        </w:rPr>
        <w:fldChar w:fldCharType="separate"/>
      </w:r>
      <w:r w:rsidRPr="00EF4EB9">
        <w:rPr>
          <w:noProof/>
          <w:color w:val="292526"/>
          <w:vertAlign w:val="superscript"/>
        </w:rPr>
        <w:t>161</w:t>
      </w:r>
      <w:r w:rsidR="000B7214" w:rsidRPr="00EF4EB9">
        <w:rPr>
          <w:color w:val="292526"/>
        </w:rPr>
        <w:fldChar w:fldCharType="end"/>
      </w:r>
      <w:r w:rsidRPr="00EF4EB9">
        <w:rPr>
          <w:color w:val="292526"/>
        </w:rPr>
        <w:t xml:space="preserve"> that 6% of people are in the CHADS</w:t>
      </w:r>
      <w:r w:rsidRPr="00EF4EB9">
        <w:rPr>
          <w:color w:val="292526"/>
          <w:vertAlign w:val="subscript"/>
        </w:rPr>
        <w:t>2</w:t>
      </w:r>
      <w:r w:rsidRPr="00EF4EB9">
        <w:rPr>
          <w:color w:val="292526"/>
        </w:rPr>
        <w:t xml:space="preserve"> 0 category,</w:t>
      </w:r>
      <w:r w:rsidR="000B7214" w:rsidRPr="00EF4EB9">
        <w:rPr>
          <w:color w:val="292526"/>
        </w:rPr>
        <w:fldChar w:fldCharType="begin"/>
      </w:r>
      <w:r w:rsidRPr="00EF4EB9">
        <w:rPr>
          <w:color w:val="292526"/>
        </w:rPr>
        <w:instrText xml:space="preserve"> ADDIN REFMGR.CITE &lt;Refman&gt;&lt;Cite&gt;&lt;Author&gt;Providencia&lt;/Author&gt;&lt;Year&gt;2012&lt;/Year&gt;&lt;RecNum&gt;19879&lt;/RecNum&gt;&lt;IDText&gt;Possible refinement of clinical thromboembolism assessment in patients with atrial fibrillation using echocardiographic parameters&lt;/IDText&gt;&lt;MDL Ref_Type="Journal"&gt;&lt;Ref_Type&gt;Journal&lt;/Ref_Type&gt;&lt;Ref_ID&gt;19879&lt;/Ref_ID&gt;&lt;Title_Primary&gt;Possible refinement of clinical thromboembolism assessment in patients with atrial fibrillation using echocardiographic parameters&lt;/Title_Primary&gt;&lt;Authors_Primary&gt;Providencia,R.&lt;/Authors_Primary&gt;&lt;Authors_Primary&gt;Botelho,A.&lt;/Authors_Primary&gt;&lt;Authors_Primary&gt;Trigo,J.&lt;/Authors_Primary&gt;&lt;Authors_Primary&gt;Quintal,N.&lt;/Authors_Primary&gt;&lt;Authors_Primary&gt;Nascimento,J.&lt;/Authors_Primary&gt;&lt;Authors_Primary&gt;Mota,P.&lt;/Authors_Primary&gt;&lt;Authors_Primary&gt;Leitao-Marques,A.&lt;/Authors_Primary&gt;&lt;Date_Primary&gt;2012&lt;/Date_Primary&gt;&lt;Keywords&gt;andy&lt;/Keywords&gt;&lt;Keywords&gt;- 43&lt;/Keywords&gt;&lt;Keywords&gt;thromboembolism&lt;/Keywords&gt;&lt;Keywords&gt;patient&lt;/Keywords&gt;&lt;Keywords&gt;Atrial fibrillation&lt;/Keywords&gt;&lt;Keywords&gt;parameter&lt;/Keywords&gt;&lt;Keywords&gt;risk&lt;/Keywords&gt;&lt;Keywords&gt;stroke&lt;/Keywords&gt;&lt;Keywords&gt;study&lt;/Keywords&gt;&lt;Keywords&gt;prediction&lt;/Keywords&gt;&lt;Keywords&gt;classification&lt;/Keywords&gt;&lt;Keywords&gt;Methods&lt;/Keywords&gt;&lt;Keywords&gt;Cross-Sectional Studies&lt;/Keywords&gt;&lt;Keywords&gt;evaluation&lt;/Keywords&gt;&lt;Keywords&gt;risk assessment&lt;/Keywords&gt;&lt;Keywords&gt;spontaneous echo contrast&lt;/Keywords&gt;&lt;Keywords&gt;contrast&lt;/Keywords&gt;&lt;Keywords&gt;velocity&lt;/Keywords&gt;&lt;Keywords&gt;follow up&lt;/Keywords&gt;&lt;Keywords&gt;Follow-Up Studies&lt;/Keywords&gt;&lt;Reprint&gt;Not in File&lt;/Reprint&gt;&lt;Start_Page&gt;36&lt;/Start_Page&gt;&lt;End_Page&gt;45&lt;/End_Page&gt;&lt;Periodical&gt;Europace&lt;/Periodical&gt;&lt;Volume&gt;14&lt;/Volume&gt;&lt;Issue&gt;1&lt;/Issue&gt;&lt;ISSN_ISBN&gt;- 1532-2092 (Electronic) 1099-5129 (Linking)&lt;/ISSN_ISBN&gt;&lt;Web_URL&gt;&lt;u&gt;http://europace.oxfordjournals.org/content/early/2011/08/24/europace.eur272.abstract&lt;/u&gt;&lt;/Web_URL&gt;&lt;ZZ_JournalFull&gt;&lt;f name="System"&gt;Europace&lt;/f&gt;&lt;/ZZ_JournalFull&gt;&lt;ZZ_WorkformID&gt;1&lt;/ZZ_WorkformID&gt;&lt;/MDL&gt;&lt;/Cite&gt;&lt;/Refman&gt;</w:instrText>
      </w:r>
      <w:r w:rsidR="000B7214" w:rsidRPr="00EF4EB9">
        <w:rPr>
          <w:color w:val="292526"/>
        </w:rPr>
        <w:fldChar w:fldCharType="separate"/>
      </w:r>
      <w:r w:rsidRPr="00EF4EB9">
        <w:rPr>
          <w:noProof/>
          <w:color w:val="292526"/>
          <w:vertAlign w:val="superscript"/>
        </w:rPr>
        <w:t>136</w:t>
      </w:r>
      <w:r w:rsidR="000B7214" w:rsidRPr="00EF4EB9">
        <w:rPr>
          <w:color w:val="292526"/>
        </w:rPr>
        <w:fldChar w:fldCharType="end"/>
      </w:r>
      <w:r w:rsidRPr="00EF4EB9">
        <w:rPr>
          <w:color w:val="292526"/>
        </w:rPr>
        <w:t xml:space="preserve"> and that the information is relevant for 10 years. These broad estimates indicate that around 70,000 people would benefit from the being no uncertainty regarding whether TTE is cost effective.</w:t>
      </w:r>
    </w:p>
    <w:p w:rsidR="00454436" w:rsidRPr="00EF4EB9" w:rsidRDefault="000F1109" w:rsidP="00454436">
      <w:pPr>
        <w:autoSpaceDE w:val="0"/>
        <w:autoSpaceDN w:val="0"/>
        <w:adjustRightInd w:val="0"/>
        <w:spacing w:line="360" w:lineRule="auto"/>
        <w:jc w:val="both"/>
      </w:pPr>
      <w:r>
        <w:rPr>
          <w:color w:val="292526"/>
        </w:rPr>
        <w:t xml:space="preserve">Although a full expected value of perfect parameter information (EVPPI) was not calculated for computation reasons, </w:t>
      </w:r>
      <w:r w:rsidR="00454436" w:rsidRPr="00EF4EB9">
        <w:rPr>
          <w:color w:val="292526"/>
        </w:rPr>
        <w:t xml:space="preserve">sensitivity analyses were undertaken on two key parameters, the </w:t>
      </w:r>
      <w:r>
        <w:rPr>
          <w:color w:val="292526"/>
        </w:rPr>
        <w:t>TPHR, and</w:t>
      </w:r>
      <w:r w:rsidR="00454436" w:rsidRPr="00EF4EB9">
        <w:rPr>
          <w:color w:val="292526"/>
        </w:rPr>
        <w:t xml:space="preserve"> the joint uncertainty in the sensitivity and specificity of TTE in detecting LA ABN.</w:t>
      </w:r>
    </w:p>
    <w:bookmarkEnd w:id="40"/>
    <w:p w:rsidR="0005390C" w:rsidRDefault="00DF4463" w:rsidP="0005390C">
      <w:pPr>
        <w:pStyle w:val="Heading2"/>
      </w:pPr>
      <w:r>
        <w:t>Results</w:t>
      </w:r>
    </w:p>
    <w:p w:rsidR="00605BB7" w:rsidRPr="00EF4EB9" w:rsidRDefault="00605BB7" w:rsidP="00605BB7">
      <w:pPr>
        <w:spacing w:line="360" w:lineRule="auto"/>
        <w:jc w:val="both"/>
      </w:pPr>
      <w:r w:rsidRPr="00EF4EB9">
        <w:t xml:space="preserve">Table 4 shows the </w:t>
      </w:r>
      <w:r w:rsidR="00B325C3">
        <w:t xml:space="preserve">shows the simulated patient experience when TTE is added to either CHADS2 or CHADS2-VASc, in </w:t>
      </w:r>
      <w:r w:rsidRPr="00EF4EB9">
        <w:t xml:space="preserve">terms of clinical events. It is seen that the use TTE increases the expected life of patients, and increases the proportion of patients that die of non stroke- or bleed-related causes. An initial TTE reduces the estimated number of strokes but at the expense of a greater number of bleeds. </w:t>
      </w:r>
    </w:p>
    <w:p w:rsidR="00605BB7" w:rsidRPr="00EF4EB9" w:rsidRDefault="000F1109" w:rsidP="00605BB7">
      <w:pPr>
        <w:spacing w:line="360" w:lineRule="auto"/>
        <w:ind w:left="1440" w:hanging="1440"/>
        <w:rPr>
          <w:b/>
        </w:rPr>
      </w:pPr>
      <w:r>
        <w:rPr>
          <w:b/>
        </w:rPr>
        <w:t>Table 4</w:t>
      </w:r>
      <w:r w:rsidR="00605BB7" w:rsidRPr="00EF4EB9">
        <w:rPr>
          <w:b/>
        </w:rPr>
        <w:t>:</w:t>
      </w:r>
      <w:r w:rsidR="00605BB7" w:rsidRPr="00EF4EB9">
        <w:rPr>
          <w:b/>
        </w:rPr>
        <w:tab/>
        <w:t xml:space="preserve"> Simulated Patient E</w:t>
      </w:r>
      <w:r>
        <w:rPr>
          <w:b/>
        </w:rPr>
        <w:t>xperience: Patients with a clinical prediction rule score of 0</w:t>
      </w:r>
    </w:p>
    <w:tbl>
      <w:tblPr>
        <w:tblStyle w:val="TableGrid"/>
        <w:tblW w:w="9889" w:type="dxa"/>
        <w:tblLayout w:type="fixed"/>
        <w:tblLook w:val="04A0"/>
      </w:tblPr>
      <w:tblGrid>
        <w:gridCol w:w="675"/>
        <w:gridCol w:w="1985"/>
        <w:gridCol w:w="850"/>
        <w:gridCol w:w="851"/>
        <w:gridCol w:w="992"/>
        <w:gridCol w:w="851"/>
        <w:gridCol w:w="992"/>
        <w:gridCol w:w="992"/>
        <w:gridCol w:w="851"/>
        <w:gridCol w:w="850"/>
      </w:tblGrid>
      <w:tr w:rsidR="00605BB7" w:rsidRPr="00EF4EB9" w:rsidTr="00B325C3">
        <w:tc>
          <w:tcPr>
            <w:tcW w:w="2660" w:type="dxa"/>
            <w:gridSpan w:val="2"/>
          </w:tcPr>
          <w:p w:rsidR="00605BB7" w:rsidRPr="00EF4EB9" w:rsidRDefault="00605BB7" w:rsidP="00605BB7">
            <w:pPr>
              <w:rPr>
                <w:sz w:val="22"/>
                <w:szCs w:val="22"/>
              </w:rPr>
            </w:pPr>
          </w:p>
        </w:tc>
        <w:tc>
          <w:tcPr>
            <w:tcW w:w="850" w:type="dxa"/>
          </w:tcPr>
          <w:p w:rsidR="00605BB7" w:rsidRPr="00EF4EB9" w:rsidRDefault="00605BB7" w:rsidP="00605BB7">
            <w:pPr>
              <w:rPr>
                <w:sz w:val="22"/>
                <w:szCs w:val="22"/>
              </w:rPr>
            </w:pPr>
          </w:p>
        </w:tc>
        <w:tc>
          <w:tcPr>
            <w:tcW w:w="2694" w:type="dxa"/>
            <w:gridSpan w:val="3"/>
          </w:tcPr>
          <w:p w:rsidR="00605BB7" w:rsidRPr="00EF4EB9" w:rsidRDefault="00605BB7" w:rsidP="00605BB7">
            <w:pPr>
              <w:jc w:val="center"/>
              <w:rPr>
                <w:sz w:val="22"/>
                <w:szCs w:val="22"/>
              </w:rPr>
            </w:pPr>
            <w:r w:rsidRPr="00EF4EB9">
              <w:rPr>
                <w:sz w:val="22"/>
                <w:szCs w:val="22"/>
              </w:rPr>
              <w:t>Cause of Death (%)</w:t>
            </w:r>
          </w:p>
        </w:tc>
        <w:tc>
          <w:tcPr>
            <w:tcW w:w="3685" w:type="dxa"/>
            <w:gridSpan w:val="4"/>
          </w:tcPr>
          <w:p w:rsidR="00605BB7" w:rsidRPr="00EF4EB9" w:rsidRDefault="00605BB7" w:rsidP="00605BB7">
            <w:pPr>
              <w:jc w:val="center"/>
              <w:rPr>
                <w:sz w:val="22"/>
                <w:szCs w:val="22"/>
              </w:rPr>
            </w:pPr>
            <w:r w:rsidRPr="00EF4EB9">
              <w:rPr>
                <w:sz w:val="22"/>
                <w:szCs w:val="22"/>
              </w:rPr>
              <w:t>Average Number of Events</w:t>
            </w:r>
          </w:p>
        </w:tc>
      </w:tr>
      <w:tr w:rsidR="00B325C3" w:rsidRPr="00EF4EB9" w:rsidTr="000F1109">
        <w:tc>
          <w:tcPr>
            <w:tcW w:w="675" w:type="dxa"/>
          </w:tcPr>
          <w:p w:rsidR="00605BB7" w:rsidRPr="00EF4EB9" w:rsidRDefault="00605BB7" w:rsidP="00605BB7">
            <w:pPr>
              <w:rPr>
                <w:sz w:val="22"/>
                <w:szCs w:val="22"/>
              </w:rPr>
            </w:pPr>
          </w:p>
        </w:tc>
        <w:tc>
          <w:tcPr>
            <w:tcW w:w="1985" w:type="dxa"/>
          </w:tcPr>
          <w:p w:rsidR="00605BB7" w:rsidRPr="00EF4EB9" w:rsidRDefault="00605BB7" w:rsidP="00605BB7">
            <w:r w:rsidRPr="00EF4EB9">
              <w:rPr>
                <w:sz w:val="22"/>
                <w:szCs w:val="22"/>
              </w:rPr>
              <w:t>Strategy</w:t>
            </w:r>
          </w:p>
        </w:tc>
        <w:tc>
          <w:tcPr>
            <w:tcW w:w="850" w:type="dxa"/>
          </w:tcPr>
          <w:p w:rsidR="00605BB7" w:rsidRPr="00EF4EB9" w:rsidRDefault="00605BB7" w:rsidP="00605BB7">
            <w:pPr>
              <w:rPr>
                <w:sz w:val="22"/>
                <w:szCs w:val="22"/>
              </w:rPr>
            </w:pPr>
            <w:r w:rsidRPr="00EF4EB9">
              <w:rPr>
                <w:sz w:val="22"/>
                <w:szCs w:val="22"/>
              </w:rPr>
              <w:t>Life Years</w:t>
            </w:r>
          </w:p>
        </w:tc>
        <w:tc>
          <w:tcPr>
            <w:tcW w:w="851" w:type="dxa"/>
          </w:tcPr>
          <w:p w:rsidR="00605BB7" w:rsidRPr="00EF4EB9" w:rsidRDefault="00605BB7" w:rsidP="00605BB7">
            <w:pPr>
              <w:rPr>
                <w:sz w:val="22"/>
                <w:szCs w:val="22"/>
              </w:rPr>
            </w:pPr>
            <w:r w:rsidRPr="00EF4EB9">
              <w:rPr>
                <w:sz w:val="22"/>
                <w:szCs w:val="22"/>
              </w:rPr>
              <w:t>Stroke</w:t>
            </w:r>
          </w:p>
        </w:tc>
        <w:tc>
          <w:tcPr>
            <w:tcW w:w="992" w:type="dxa"/>
          </w:tcPr>
          <w:p w:rsidR="00605BB7" w:rsidRPr="00EF4EB9" w:rsidRDefault="00605BB7" w:rsidP="00605BB7">
            <w:pPr>
              <w:rPr>
                <w:sz w:val="22"/>
                <w:szCs w:val="22"/>
              </w:rPr>
            </w:pPr>
            <w:r w:rsidRPr="00EF4EB9">
              <w:rPr>
                <w:sz w:val="22"/>
                <w:szCs w:val="22"/>
              </w:rPr>
              <w:t>Bleed</w:t>
            </w:r>
          </w:p>
        </w:tc>
        <w:tc>
          <w:tcPr>
            <w:tcW w:w="851" w:type="dxa"/>
          </w:tcPr>
          <w:p w:rsidR="00605BB7" w:rsidRPr="00EF4EB9" w:rsidRDefault="00605BB7" w:rsidP="00605BB7">
            <w:pPr>
              <w:rPr>
                <w:sz w:val="22"/>
                <w:szCs w:val="22"/>
              </w:rPr>
            </w:pPr>
            <w:r w:rsidRPr="00EF4EB9">
              <w:rPr>
                <w:sz w:val="22"/>
                <w:szCs w:val="22"/>
              </w:rPr>
              <w:t>Other</w:t>
            </w:r>
          </w:p>
        </w:tc>
        <w:tc>
          <w:tcPr>
            <w:tcW w:w="992" w:type="dxa"/>
          </w:tcPr>
          <w:p w:rsidR="00605BB7" w:rsidRPr="00EF4EB9" w:rsidRDefault="00605BB7" w:rsidP="00B325C3">
            <w:pPr>
              <w:rPr>
                <w:sz w:val="22"/>
                <w:szCs w:val="22"/>
              </w:rPr>
            </w:pPr>
            <w:r w:rsidRPr="00EF4EB9">
              <w:rPr>
                <w:sz w:val="22"/>
                <w:szCs w:val="22"/>
              </w:rPr>
              <w:t>Dep</w:t>
            </w:r>
            <w:r w:rsidR="00B325C3">
              <w:rPr>
                <w:sz w:val="22"/>
                <w:szCs w:val="22"/>
              </w:rPr>
              <w:t xml:space="preserve">. </w:t>
            </w:r>
            <w:r w:rsidRPr="00EF4EB9">
              <w:rPr>
                <w:sz w:val="22"/>
                <w:szCs w:val="22"/>
              </w:rPr>
              <w:t>Strokes</w:t>
            </w:r>
          </w:p>
        </w:tc>
        <w:tc>
          <w:tcPr>
            <w:tcW w:w="992" w:type="dxa"/>
          </w:tcPr>
          <w:p w:rsidR="00605BB7" w:rsidRPr="00EF4EB9" w:rsidRDefault="00605BB7" w:rsidP="00B325C3">
            <w:pPr>
              <w:rPr>
                <w:sz w:val="22"/>
                <w:szCs w:val="22"/>
              </w:rPr>
            </w:pPr>
            <w:r w:rsidRPr="00EF4EB9">
              <w:rPr>
                <w:sz w:val="22"/>
                <w:szCs w:val="22"/>
              </w:rPr>
              <w:t>Ind</w:t>
            </w:r>
            <w:r w:rsidR="00B325C3">
              <w:rPr>
                <w:sz w:val="22"/>
                <w:szCs w:val="22"/>
              </w:rPr>
              <w:t>.</w:t>
            </w:r>
            <w:r w:rsidRPr="00EF4EB9">
              <w:rPr>
                <w:sz w:val="22"/>
                <w:szCs w:val="22"/>
              </w:rPr>
              <w:t xml:space="preserve"> Strokes</w:t>
            </w:r>
          </w:p>
        </w:tc>
        <w:tc>
          <w:tcPr>
            <w:tcW w:w="851" w:type="dxa"/>
          </w:tcPr>
          <w:p w:rsidR="00605BB7" w:rsidRPr="00EF4EB9" w:rsidRDefault="00605BB7" w:rsidP="00605BB7">
            <w:pPr>
              <w:rPr>
                <w:sz w:val="22"/>
                <w:szCs w:val="22"/>
              </w:rPr>
            </w:pPr>
            <w:r w:rsidRPr="00EF4EB9">
              <w:rPr>
                <w:sz w:val="22"/>
                <w:szCs w:val="22"/>
              </w:rPr>
              <w:t>ICH</w:t>
            </w:r>
          </w:p>
        </w:tc>
        <w:tc>
          <w:tcPr>
            <w:tcW w:w="850" w:type="dxa"/>
          </w:tcPr>
          <w:p w:rsidR="00605BB7" w:rsidRPr="00EF4EB9" w:rsidRDefault="00605BB7" w:rsidP="00605BB7">
            <w:pPr>
              <w:rPr>
                <w:sz w:val="22"/>
                <w:szCs w:val="22"/>
              </w:rPr>
            </w:pPr>
            <w:r w:rsidRPr="00EF4EB9">
              <w:rPr>
                <w:sz w:val="22"/>
                <w:szCs w:val="22"/>
              </w:rPr>
              <w:t>NICH</w:t>
            </w:r>
          </w:p>
        </w:tc>
      </w:tr>
      <w:tr w:rsidR="00B325C3" w:rsidRPr="00EF4EB9" w:rsidTr="000F1109">
        <w:trPr>
          <w:trHeight w:val="558"/>
        </w:trPr>
        <w:tc>
          <w:tcPr>
            <w:tcW w:w="675" w:type="dxa"/>
            <w:vMerge w:val="restart"/>
            <w:textDirection w:val="btLr"/>
          </w:tcPr>
          <w:p w:rsidR="00605BB7" w:rsidRPr="00EF4EB9" w:rsidRDefault="00605BB7" w:rsidP="00605BB7">
            <w:pPr>
              <w:ind w:left="113" w:right="113"/>
              <w:rPr>
                <w:sz w:val="22"/>
                <w:szCs w:val="22"/>
              </w:rPr>
            </w:pPr>
            <w:r>
              <w:rPr>
                <w:sz w:val="22"/>
                <w:szCs w:val="22"/>
              </w:rPr>
              <w:t>CHADS2</w:t>
            </w:r>
          </w:p>
        </w:tc>
        <w:tc>
          <w:tcPr>
            <w:tcW w:w="1985" w:type="dxa"/>
          </w:tcPr>
          <w:p w:rsidR="00605BB7" w:rsidRPr="00EF4EB9" w:rsidRDefault="00605BB7" w:rsidP="00605BB7">
            <w:r w:rsidRPr="00EF4EB9">
              <w:rPr>
                <w:sz w:val="22"/>
                <w:szCs w:val="22"/>
              </w:rPr>
              <w:t>No initial treatment</w:t>
            </w:r>
          </w:p>
        </w:tc>
        <w:tc>
          <w:tcPr>
            <w:tcW w:w="850" w:type="dxa"/>
            <w:vAlign w:val="bottom"/>
          </w:tcPr>
          <w:p w:rsidR="00605BB7" w:rsidRPr="00EF4EB9" w:rsidRDefault="00605BB7" w:rsidP="00605BB7">
            <w:pPr>
              <w:jc w:val="right"/>
              <w:rPr>
                <w:color w:val="000000"/>
                <w:sz w:val="22"/>
                <w:szCs w:val="22"/>
              </w:rPr>
            </w:pPr>
            <w:r w:rsidRPr="00EF4EB9">
              <w:rPr>
                <w:color w:val="000000"/>
                <w:sz w:val="22"/>
                <w:szCs w:val="22"/>
              </w:rPr>
              <w:t>20.024</w:t>
            </w:r>
          </w:p>
        </w:tc>
        <w:tc>
          <w:tcPr>
            <w:tcW w:w="851" w:type="dxa"/>
            <w:vAlign w:val="bottom"/>
          </w:tcPr>
          <w:p w:rsidR="00605BB7" w:rsidRPr="00EF4EB9" w:rsidRDefault="00605BB7" w:rsidP="00605BB7">
            <w:pPr>
              <w:jc w:val="right"/>
              <w:rPr>
                <w:color w:val="000000"/>
                <w:sz w:val="22"/>
                <w:szCs w:val="22"/>
              </w:rPr>
            </w:pPr>
            <w:r w:rsidRPr="00EF4EB9">
              <w:rPr>
                <w:color w:val="000000"/>
                <w:sz w:val="22"/>
                <w:szCs w:val="22"/>
              </w:rPr>
              <w:t>12.2</w:t>
            </w:r>
          </w:p>
        </w:tc>
        <w:tc>
          <w:tcPr>
            <w:tcW w:w="992" w:type="dxa"/>
            <w:vAlign w:val="bottom"/>
          </w:tcPr>
          <w:p w:rsidR="00605BB7" w:rsidRPr="00EF4EB9" w:rsidRDefault="00605BB7" w:rsidP="00605BB7">
            <w:pPr>
              <w:jc w:val="right"/>
              <w:rPr>
                <w:color w:val="000000"/>
                <w:sz w:val="22"/>
                <w:szCs w:val="22"/>
              </w:rPr>
            </w:pPr>
            <w:r w:rsidRPr="00EF4EB9">
              <w:rPr>
                <w:color w:val="000000"/>
                <w:sz w:val="22"/>
                <w:szCs w:val="22"/>
              </w:rPr>
              <w:t>1.4</w:t>
            </w:r>
          </w:p>
        </w:tc>
        <w:tc>
          <w:tcPr>
            <w:tcW w:w="851" w:type="dxa"/>
            <w:vAlign w:val="bottom"/>
          </w:tcPr>
          <w:p w:rsidR="00605BB7" w:rsidRPr="00EF4EB9" w:rsidRDefault="00605BB7" w:rsidP="00605BB7">
            <w:pPr>
              <w:jc w:val="right"/>
              <w:rPr>
                <w:color w:val="000000"/>
                <w:sz w:val="22"/>
                <w:szCs w:val="22"/>
              </w:rPr>
            </w:pPr>
            <w:r w:rsidRPr="00EF4EB9">
              <w:rPr>
                <w:color w:val="000000"/>
                <w:sz w:val="22"/>
                <w:szCs w:val="22"/>
              </w:rPr>
              <w:t>86.4</w:t>
            </w:r>
          </w:p>
        </w:tc>
        <w:tc>
          <w:tcPr>
            <w:tcW w:w="992" w:type="dxa"/>
            <w:vAlign w:val="bottom"/>
          </w:tcPr>
          <w:p w:rsidR="00605BB7" w:rsidRPr="00EF4EB9" w:rsidRDefault="00605BB7" w:rsidP="00605BB7">
            <w:pPr>
              <w:jc w:val="right"/>
              <w:rPr>
                <w:color w:val="000000"/>
                <w:sz w:val="22"/>
                <w:szCs w:val="22"/>
              </w:rPr>
            </w:pPr>
            <w:r w:rsidRPr="00EF4EB9">
              <w:rPr>
                <w:color w:val="000000"/>
                <w:sz w:val="22"/>
                <w:szCs w:val="22"/>
              </w:rPr>
              <w:t>0.115</w:t>
            </w:r>
          </w:p>
        </w:tc>
        <w:tc>
          <w:tcPr>
            <w:tcW w:w="992" w:type="dxa"/>
            <w:vAlign w:val="bottom"/>
          </w:tcPr>
          <w:p w:rsidR="00605BB7" w:rsidRPr="00EF4EB9" w:rsidRDefault="00605BB7" w:rsidP="00605BB7">
            <w:pPr>
              <w:jc w:val="right"/>
              <w:rPr>
                <w:color w:val="000000"/>
                <w:sz w:val="22"/>
                <w:szCs w:val="22"/>
              </w:rPr>
            </w:pPr>
            <w:r w:rsidRPr="00EF4EB9">
              <w:rPr>
                <w:color w:val="000000"/>
                <w:sz w:val="22"/>
                <w:szCs w:val="22"/>
              </w:rPr>
              <w:t>0.262</w:t>
            </w:r>
          </w:p>
        </w:tc>
        <w:tc>
          <w:tcPr>
            <w:tcW w:w="851" w:type="dxa"/>
            <w:vAlign w:val="bottom"/>
          </w:tcPr>
          <w:p w:rsidR="00605BB7" w:rsidRPr="00EF4EB9" w:rsidRDefault="00605BB7" w:rsidP="00605BB7">
            <w:pPr>
              <w:jc w:val="right"/>
              <w:rPr>
                <w:color w:val="000000"/>
                <w:sz w:val="22"/>
                <w:szCs w:val="22"/>
              </w:rPr>
            </w:pPr>
            <w:r w:rsidRPr="00EF4EB9">
              <w:rPr>
                <w:color w:val="000000"/>
                <w:sz w:val="22"/>
                <w:szCs w:val="22"/>
              </w:rPr>
              <w:t>0.011</w:t>
            </w:r>
          </w:p>
        </w:tc>
        <w:tc>
          <w:tcPr>
            <w:tcW w:w="850" w:type="dxa"/>
            <w:vAlign w:val="bottom"/>
          </w:tcPr>
          <w:p w:rsidR="00605BB7" w:rsidRPr="00EF4EB9" w:rsidRDefault="00605BB7" w:rsidP="00605BB7">
            <w:pPr>
              <w:jc w:val="right"/>
              <w:rPr>
                <w:color w:val="000000"/>
                <w:sz w:val="22"/>
                <w:szCs w:val="22"/>
              </w:rPr>
            </w:pPr>
            <w:r w:rsidRPr="00EF4EB9">
              <w:rPr>
                <w:color w:val="000000"/>
                <w:sz w:val="22"/>
                <w:szCs w:val="22"/>
              </w:rPr>
              <w:t>0.082</w:t>
            </w:r>
          </w:p>
        </w:tc>
      </w:tr>
      <w:tr w:rsidR="00B325C3" w:rsidRPr="00EF4EB9" w:rsidTr="000F1109">
        <w:trPr>
          <w:trHeight w:val="1150"/>
        </w:trPr>
        <w:tc>
          <w:tcPr>
            <w:tcW w:w="675" w:type="dxa"/>
            <w:vMerge/>
            <w:tcBorders>
              <w:bottom w:val="single" w:sz="4" w:space="0" w:color="auto"/>
            </w:tcBorders>
          </w:tcPr>
          <w:p w:rsidR="00605BB7" w:rsidRPr="00EF4EB9" w:rsidRDefault="00605BB7" w:rsidP="00605BB7">
            <w:pPr>
              <w:rPr>
                <w:sz w:val="22"/>
                <w:szCs w:val="22"/>
              </w:rPr>
            </w:pPr>
          </w:p>
        </w:tc>
        <w:tc>
          <w:tcPr>
            <w:tcW w:w="1985" w:type="dxa"/>
            <w:tcBorders>
              <w:bottom w:val="single" w:sz="4" w:space="0" w:color="auto"/>
            </w:tcBorders>
          </w:tcPr>
          <w:p w:rsidR="00605BB7" w:rsidRDefault="00605BB7" w:rsidP="00605BB7">
            <w:pPr>
              <w:rPr>
                <w:sz w:val="22"/>
                <w:szCs w:val="22"/>
              </w:rPr>
            </w:pPr>
            <w:r w:rsidRPr="00EF4EB9">
              <w:rPr>
                <w:sz w:val="22"/>
                <w:szCs w:val="22"/>
              </w:rPr>
              <w:t>TTE with those diagnosed with LA ABN</w:t>
            </w:r>
          </w:p>
          <w:p w:rsidR="00605BB7" w:rsidRPr="00EF4EB9" w:rsidRDefault="00605BB7" w:rsidP="00605BB7">
            <w:r w:rsidRPr="00EF4EB9">
              <w:rPr>
                <w:sz w:val="22"/>
                <w:szCs w:val="22"/>
              </w:rPr>
              <w:t>treated</w:t>
            </w:r>
          </w:p>
        </w:tc>
        <w:tc>
          <w:tcPr>
            <w:tcW w:w="850" w:type="dxa"/>
            <w:tcBorders>
              <w:bottom w:val="single" w:sz="4" w:space="0" w:color="auto"/>
            </w:tcBorders>
            <w:vAlign w:val="bottom"/>
          </w:tcPr>
          <w:p w:rsidR="00605BB7" w:rsidRPr="00EF4EB9" w:rsidRDefault="00605BB7" w:rsidP="00605BB7">
            <w:pPr>
              <w:jc w:val="right"/>
              <w:rPr>
                <w:color w:val="000000"/>
                <w:sz w:val="22"/>
                <w:szCs w:val="22"/>
              </w:rPr>
            </w:pPr>
            <w:r w:rsidRPr="00EF4EB9">
              <w:rPr>
                <w:color w:val="000000"/>
                <w:sz w:val="22"/>
                <w:szCs w:val="22"/>
              </w:rPr>
              <w:t>20.175</w:t>
            </w:r>
          </w:p>
        </w:tc>
        <w:tc>
          <w:tcPr>
            <w:tcW w:w="851" w:type="dxa"/>
            <w:tcBorders>
              <w:bottom w:val="single" w:sz="4" w:space="0" w:color="auto"/>
            </w:tcBorders>
            <w:vAlign w:val="bottom"/>
          </w:tcPr>
          <w:p w:rsidR="00605BB7" w:rsidRPr="00EF4EB9" w:rsidRDefault="00605BB7" w:rsidP="00B325C3">
            <w:pPr>
              <w:jc w:val="right"/>
              <w:rPr>
                <w:color w:val="000000"/>
                <w:sz w:val="22"/>
                <w:szCs w:val="22"/>
              </w:rPr>
            </w:pPr>
            <w:r w:rsidRPr="00EF4EB9">
              <w:rPr>
                <w:color w:val="000000"/>
                <w:sz w:val="22"/>
                <w:szCs w:val="22"/>
              </w:rPr>
              <w:t>10.9</w:t>
            </w:r>
          </w:p>
        </w:tc>
        <w:tc>
          <w:tcPr>
            <w:tcW w:w="992" w:type="dxa"/>
            <w:tcBorders>
              <w:bottom w:val="single" w:sz="4" w:space="0" w:color="auto"/>
            </w:tcBorders>
            <w:vAlign w:val="bottom"/>
          </w:tcPr>
          <w:p w:rsidR="00605BB7" w:rsidRPr="00EF4EB9" w:rsidRDefault="00605BB7" w:rsidP="00605BB7">
            <w:pPr>
              <w:jc w:val="right"/>
              <w:rPr>
                <w:color w:val="000000"/>
                <w:sz w:val="22"/>
                <w:szCs w:val="22"/>
              </w:rPr>
            </w:pPr>
            <w:r w:rsidRPr="00EF4EB9">
              <w:rPr>
                <w:color w:val="000000"/>
                <w:sz w:val="22"/>
                <w:szCs w:val="22"/>
              </w:rPr>
              <w:t>1.8</w:t>
            </w:r>
          </w:p>
        </w:tc>
        <w:tc>
          <w:tcPr>
            <w:tcW w:w="851" w:type="dxa"/>
            <w:tcBorders>
              <w:bottom w:val="single" w:sz="4" w:space="0" w:color="auto"/>
            </w:tcBorders>
            <w:vAlign w:val="bottom"/>
          </w:tcPr>
          <w:p w:rsidR="00605BB7" w:rsidRPr="00EF4EB9" w:rsidRDefault="00605BB7" w:rsidP="00B325C3">
            <w:pPr>
              <w:jc w:val="right"/>
              <w:rPr>
                <w:color w:val="000000"/>
                <w:sz w:val="22"/>
                <w:szCs w:val="22"/>
              </w:rPr>
            </w:pPr>
            <w:r w:rsidRPr="00EF4EB9">
              <w:rPr>
                <w:color w:val="000000"/>
                <w:sz w:val="22"/>
                <w:szCs w:val="22"/>
              </w:rPr>
              <w:t>87.3</w:t>
            </w:r>
          </w:p>
        </w:tc>
        <w:tc>
          <w:tcPr>
            <w:tcW w:w="992" w:type="dxa"/>
            <w:tcBorders>
              <w:bottom w:val="single" w:sz="4" w:space="0" w:color="auto"/>
            </w:tcBorders>
            <w:vAlign w:val="bottom"/>
          </w:tcPr>
          <w:p w:rsidR="00605BB7" w:rsidRPr="00EF4EB9" w:rsidRDefault="00605BB7" w:rsidP="00B325C3">
            <w:pPr>
              <w:jc w:val="right"/>
              <w:rPr>
                <w:color w:val="000000"/>
                <w:sz w:val="22"/>
                <w:szCs w:val="22"/>
              </w:rPr>
            </w:pPr>
            <w:r w:rsidRPr="00EF4EB9">
              <w:rPr>
                <w:color w:val="000000"/>
                <w:sz w:val="22"/>
                <w:szCs w:val="22"/>
              </w:rPr>
              <w:t>0.104</w:t>
            </w:r>
          </w:p>
        </w:tc>
        <w:tc>
          <w:tcPr>
            <w:tcW w:w="992" w:type="dxa"/>
            <w:tcBorders>
              <w:bottom w:val="single" w:sz="4" w:space="0" w:color="auto"/>
            </w:tcBorders>
            <w:vAlign w:val="bottom"/>
          </w:tcPr>
          <w:p w:rsidR="00605BB7" w:rsidRPr="00EF4EB9" w:rsidRDefault="00605BB7" w:rsidP="00B325C3">
            <w:pPr>
              <w:jc w:val="right"/>
              <w:rPr>
                <w:color w:val="000000"/>
                <w:sz w:val="22"/>
                <w:szCs w:val="22"/>
              </w:rPr>
            </w:pPr>
            <w:r w:rsidRPr="00EF4EB9">
              <w:rPr>
                <w:color w:val="000000"/>
                <w:sz w:val="22"/>
                <w:szCs w:val="22"/>
              </w:rPr>
              <w:t>0.235</w:t>
            </w:r>
          </w:p>
        </w:tc>
        <w:tc>
          <w:tcPr>
            <w:tcW w:w="851" w:type="dxa"/>
            <w:tcBorders>
              <w:bottom w:val="single" w:sz="4" w:space="0" w:color="auto"/>
            </w:tcBorders>
            <w:vAlign w:val="bottom"/>
          </w:tcPr>
          <w:p w:rsidR="00605BB7" w:rsidRPr="00EF4EB9" w:rsidRDefault="00605BB7" w:rsidP="00B325C3">
            <w:pPr>
              <w:jc w:val="right"/>
              <w:rPr>
                <w:color w:val="000000"/>
                <w:sz w:val="22"/>
                <w:szCs w:val="22"/>
              </w:rPr>
            </w:pPr>
            <w:r w:rsidRPr="00EF4EB9">
              <w:rPr>
                <w:color w:val="000000"/>
                <w:sz w:val="22"/>
                <w:szCs w:val="22"/>
              </w:rPr>
              <w:t>0.014</w:t>
            </w:r>
          </w:p>
        </w:tc>
        <w:tc>
          <w:tcPr>
            <w:tcW w:w="850" w:type="dxa"/>
            <w:tcBorders>
              <w:bottom w:val="single" w:sz="4" w:space="0" w:color="auto"/>
            </w:tcBorders>
            <w:vAlign w:val="bottom"/>
          </w:tcPr>
          <w:p w:rsidR="00605BB7" w:rsidRPr="00EF4EB9" w:rsidRDefault="00605BB7" w:rsidP="00605BB7">
            <w:pPr>
              <w:jc w:val="right"/>
              <w:rPr>
                <w:color w:val="000000"/>
                <w:sz w:val="22"/>
                <w:szCs w:val="22"/>
              </w:rPr>
            </w:pPr>
            <w:r w:rsidRPr="00EF4EB9">
              <w:rPr>
                <w:color w:val="000000"/>
                <w:sz w:val="22"/>
                <w:szCs w:val="22"/>
              </w:rPr>
              <w:t>0.109</w:t>
            </w:r>
          </w:p>
        </w:tc>
      </w:tr>
      <w:tr w:rsidR="00B325C3" w:rsidRPr="00EF4EB9" w:rsidTr="000F1109">
        <w:trPr>
          <w:cantSplit/>
          <w:trHeight w:val="535"/>
        </w:trPr>
        <w:tc>
          <w:tcPr>
            <w:tcW w:w="675" w:type="dxa"/>
            <w:vMerge w:val="restart"/>
            <w:textDirection w:val="btLr"/>
          </w:tcPr>
          <w:p w:rsidR="00605BB7" w:rsidRPr="00EF4EB9" w:rsidRDefault="00605BB7" w:rsidP="00605BB7">
            <w:pPr>
              <w:ind w:left="113" w:right="113"/>
            </w:pPr>
            <w:r>
              <w:t>CHADS2-VASc</w:t>
            </w:r>
          </w:p>
        </w:tc>
        <w:tc>
          <w:tcPr>
            <w:tcW w:w="1985" w:type="dxa"/>
            <w:tcBorders>
              <w:bottom w:val="single" w:sz="4" w:space="0" w:color="auto"/>
            </w:tcBorders>
          </w:tcPr>
          <w:p w:rsidR="00605BB7" w:rsidRPr="00EF4EB9" w:rsidRDefault="00605BB7" w:rsidP="00605BB7">
            <w:r w:rsidRPr="00EF4EB9">
              <w:rPr>
                <w:sz w:val="22"/>
                <w:szCs w:val="22"/>
              </w:rPr>
              <w:t>No initial treatment</w:t>
            </w:r>
          </w:p>
        </w:tc>
        <w:tc>
          <w:tcPr>
            <w:tcW w:w="850" w:type="dxa"/>
            <w:tcBorders>
              <w:bottom w:val="single" w:sz="4" w:space="0" w:color="auto"/>
            </w:tcBorders>
          </w:tcPr>
          <w:p w:rsidR="00605BB7" w:rsidRPr="00EF4EB9" w:rsidRDefault="00605BB7" w:rsidP="00605BB7">
            <w:pPr>
              <w:spacing w:line="360" w:lineRule="auto"/>
              <w:jc w:val="right"/>
              <w:rPr>
                <w:sz w:val="22"/>
                <w:szCs w:val="22"/>
              </w:rPr>
            </w:pPr>
            <w:r w:rsidRPr="00EF4EB9">
              <w:rPr>
                <w:sz w:val="22"/>
                <w:szCs w:val="22"/>
              </w:rPr>
              <w:t>19.777</w:t>
            </w:r>
          </w:p>
        </w:tc>
        <w:tc>
          <w:tcPr>
            <w:tcW w:w="851" w:type="dxa"/>
            <w:tcBorders>
              <w:bottom w:val="single" w:sz="4" w:space="0" w:color="auto"/>
            </w:tcBorders>
          </w:tcPr>
          <w:p w:rsidR="00605BB7" w:rsidRPr="00EF4EB9" w:rsidRDefault="00605BB7" w:rsidP="00605BB7">
            <w:pPr>
              <w:spacing w:line="360" w:lineRule="auto"/>
              <w:jc w:val="right"/>
              <w:rPr>
                <w:sz w:val="22"/>
                <w:szCs w:val="22"/>
              </w:rPr>
            </w:pPr>
            <w:r w:rsidRPr="00EF4EB9">
              <w:rPr>
                <w:sz w:val="22"/>
                <w:szCs w:val="22"/>
              </w:rPr>
              <w:t>14.6</w:t>
            </w:r>
          </w:p>
        </w:tc>
        <w:tc>
          <w:tcPr>
            <w:tcW w:w="992" w:type="dxa"/>
            <w:tcBorders>
              <w:bottom w:val="single" w:sz="4" w:space="0" w:color="auto"/>
            </w:tcBorders>
          </w:tcPr>
          <w:p w:rsidR="00605BB7" w:rsidRPr="00EF4EB9" w:rsidRDefault="00605BB7" w:rsidP="00605BB7">
            <w:pPr>
              <w:spacing w:line="360" w:lineRule="auto"/>
              <w:jc w:val="right"/>
              <w:rPr>
                <w:sz w:val="22"/>
                <w:szCs w:val="22"/>
              </w:rPr>
            </w:pPr>
            <w:r w:rsidRPr="00EF4EB9">
              <w:rPr>
                <w:sz w:val="22"/>
                <w:szCs w:val="22"/>
              </w:rPr>
              <w:t>1.6</w:t>
            </w:r>
          </w:p>
        </w:tc>
        <w:tc>
          <w:tcPr>
            <w:tcW w:w="851" w:type="dxa"/>
            <w:tcBorders>
              <w:bottom w:val="single" w:sz="4" w:space="0" w:color="auto"/>
            </w:tcBorders>
          </w:tcPr>
          <w:p w:rsidR="00605BB7" w:rsidRPr="00EF4EB9" w:rsidRDefault="00605BB7" w:rsidP="00605BB7">
            <w:pPr>
              <w:spacing w:line="360" w:lineRule="auto"/>
              <w:jc w:val="right"/>
              <w:rPr>
                <w:sz w:val="22"/>
                <w:szCs w:val="22"/>
              </w:rPr>
            </w:pPr>
            <w:r w:rsidRPr="00EF4EB9">
              <w:rPr>
                <w:sz w:val="22"/>
                <w:szCs w:val="22"/>
              </w:rPr>
              <w:t>83.9</w:t>
            </w:r>
          </w:p>
        </w:tc>
        <w:tc>
          <w:tcPr>
            <w:tcW w:w="992" w:type="dxa"/>
            <w:tcBorders>
              <w:bottom w:val="single" w:sz="4" w:space="0" w:color="auto"/>
            </w:tcBorders>
          </w:tcPr>
          <w:p w:rsidR="00605BB7" w:rsidRPr="00EF4EB9" w:rsidRDefault="00605BB7" w:rsidP="00605BB7">
            <w:pPr>
              <w:spacing w:line="360" w:lineRule="auto"/>
              <w:jc w:val="right"/>
              <w:rPr>
                <w:sz w:val="22"/>
                <w:szCs w:val="22"/>
              </w:rPr>
            </w:pPr>
            <w:r w:rsidRPr="00EF4EB9">
              <w:rPr>
                <w:sz w:val="22"/>
                <w:szCs w:val="22"/>
              </w:rPr>
              <w:t>0.140</w:t>
            </w:r>
          </w:p>
        </w:tc>
        <w:tc>
          <w:tcPr>
            <w:tcW w:w="992" w:type="dxa"/>
            <w:tcBorders>
              <w:bottom w:val="single" w:sz="4" w:space="0" w:color="auto"/>
            </w:tcBorders>
          </w:tcPr>
          <w:p w:rsidR="00605BB7" w:rsidRPr="00EF4EB9" w:rsidRDefault="00605BB7" w:rsidP="00605BB7">
            <w:pPr>
              <w:spacing w:line="360" w:lineRule="auto"/>
              <w:jc w:val="right"/>
              <w:rPr>
                <w:sz w:val="22"/>
                <w:szCs w:val="22"/>
              </w:rPr>
            </w:pPr>
            <w:r w:rsidRPr="00EF4EB9">
              <w:rPr>
                <w:sz w:val="22"/>
                <w:szCs w:val="22"/>
              </w:rPr>
              <w:t>0.311</w:t>
            </w:r>
          </w:p>
        </w:tc>
        <w:tc>
          <w:tcPr>
            <w:tcW w:w="851" w:type="dxa"/>
            <w:tcBorders>
              <w:bottom w:val="single" w:sz="4" w:space="0" w:color="auto"/>
            </w:tcBorders>
          </w:tcPr>
          <w:p w:rsidR="00605BB7" w:rsidRPr="00EF4EB9" w:rsidRDefault="00605BB7" w:rsidP="00605BB7">
            <w:pPr>
              <w:spacing w:line="360" w:lineRule="auto"/>
              <w:jc w:val="right"/>
              <w:rPr>
                <w:sz w:val="22"/>
                <w:szCs w:val="22"/>
              </w:rPr>
            </w:pPr>
            <w:r w:rsidRPr="00EF4EB9">
              <w:rPr>
                <w:sz w:val="22"/>
                <w:szCs w:val="22"/>
              </w:rPr>
              <w:t>0.012</w:t>
            </w:r>
          </w:p>
        </w:tc>
        <w:tc>
          <w:tcPr>
            <w:tcW w:w="850" w:type="dxa"/>
            <w:tcBorders>
              <w:bottom w:val="single" w:sz="4" w:space="0" w:color="auto"/>
            </w:tcBorders>
          </w:tcPr>
          <w:p w:rsidR="00605BB7" w:rsidRPr="00EF4EB9" w:rsidRDefault="00605BB7" w:rsidP="00605BB7">
            <w:pPr>
              <w:spacing w:line="360" w:lineRule="auto"/>
              <w:jc w:val="right"/>
              <w:rPr>
                <w:sz w:val="22"/>
                <w:szCs w:val="22"/>
              </w:rPr>
            </w:pPr>
            <w:r w:rsidRPr="00EF4EB9">
              <w:rPr>
                <w:sz w:val="22"/>
                <w:szCs w:val="22"/>
              </w:rPr>
              <w:t>0.092</w:t>
            </w:r>
          </w:p>
        </w:tc>
      </w:tr>
      <w:tr w:rsidR="00B325C3" w:rsidRPr="00EF4EB9" w:rsidTr="000F1109">
        <w:trPr>
          <w:trHeight w:val="135"/>
        </w:trPr>
        <w:tc>
          <w:tcPr>
            <w:tcW w:w="675" w:type="dxa"/>
            <w:vMerge/>
            <w:tcBorders>
              <w:bottom w:val="single" w:sz="4" w:space="0" w:color="auto"/>
            </w:tcBorders>
          </w:tcPr>
          <w:p w:rsidR="00605BB7" w:rsidRPr="00EF4EB9" w:rsidRDefault="00605BB7" w:rsidP="00605BB7"/>
        </w:tc>
        <w:tc>
          <w:tcPr>
            <w:tcW w:w="1985" w:type="dxa"/>
            <w:tcBorders>
              <w:bottom w:val="single" w:sz="4" w:space="0" w:color="auto"/>
            </w:tcBorders>
          </w:tcPr>
          <w:p w:rsidR="00605BB7" w:rsidRDefault="00605BB7" w:rsidP="00605BB7">
            <w:pPr>
              <w:rPr>
                <w:sz w:val="22"/>
                <w:szCs w:val="22"/>
              </w:rPr>
            </w:pPr>
            <w:r w:rsidRPr="00EF4EB9">
              <w:rPr>
                <w:sz w:val="22"/>
                <w:szCs w:val="22"/>
              </w:rPr>
              <w:t>TTE with those diagnosed with LA ABN</w:t>
            </w:r>
          </w:p>
          <w:p w:rsidR="00605BB7" w:rsidRPr="00EF4EB9" w:rsidRDefault="00605BB7" w:rsidP="00605BB7">
            <w:r w:rsidRPr="00EF4EB9">
              <w:rPr>
                <w:sz w:val="22"/>
                <w:szCs w:val="22"/>
              </w:rPr>
              <w:t>treated</w:t>
            </w:r>
          </w:p>
        </w:tc>
        <w:tc>
          <w:tcPr>
            <w:tcW w:w="850" w:type="dxa"/>
            <w:tcBorders>
              <w:bottom w:val="single" w:sz="4" w:space="0" w:color="auto"/>
            </w:tcBorders>
            <w:vAlign w:val="bottom"/>
          </w:tcPr>
          <w:p w:rsidR="00605BB7" w:rsidRPr="00EF4EB9" w:rsidRDefault="00605BB7" w:rsidP="00605BB7">
            <w:pPr>
              <w:spacing w:line="360" w:lineRule="auto"/>
              <w:jc w:val="right"/>
              <w:rPr>
                <w:color w:val="000000"/>
                <w:sz w:val="22"/>
                <w:szCs w:val="22"/>
              </w:rPr>
            </w:pPr>
            <w:r w:rsidRPr="00EF4EB9">
              <w:rPr>
                <w:color w:val="000000"/>
                <w:sz w:val="22"/>
                <w:szCs w:val="22"/>
              </w:rPr>
              <w:t>19.823</w:t>
            </w:r>
          </w:p>
        </w:tc>
        <w:tc>
          <w:tcPr>
            <w:tcW w:w="851" w:type="dxa"/>
            <w:tcBorders>
              <w:bottom w:val="single" w:sz="4" w:space="0" w:color="auto"/>
            </w:tcBorders>
            <w:vAlign w:val="bottom"/>
          </w:tcPr>
          <w:p w:rsidR="00605BB7" w:rsidRPr="00EF4EB9" w:rsidRDefault="00605BB7" w:rsidP="00605BB7">
            <w:pPr>
              <w:spacing w:line="360" w:lineRule="auto"/>
              <w:jc w:val="right"/>
              <w:rPr>
                <w:color w:val="000000"/>
                <w:sz w:val="22"/>
                <w:szCs w:val="22"/>
              </w:rPr>
            </w:pPr>
            <w:r w:rsidRPr="00EF4EB9">
              <w:rPr>
                <w:color w:val="000000"/>
                <w:sz w:val="22"/>
                <w:szCs w:val="22"/>
              </w:rPr>
              <w:t>14.0</w:t>
            </w:r>
          </w:p>
        </w:tc>
        <w:tc>
          <w:tcPr>
            <w:tcW w:w="992" w:type="dxa"/>
            <w:tcBorders>
              <w:bottom w:val="single" w:sz="4" w:space="0" w:color="auto"/>
            </w:tcBorders>
            <w:vAlign w:val="bottom"/>
          </w:tcPr>
          <w:p w:rsidR="00605BB7" w:rsidRPr="00EF4EB9" w:rsidRDefault="00605BB7" w:rsidP="00605BB7">
            <w:pPr>
              <w:spacing w:line="360" w:lineRule="auto"/>
              <w:jc w:val="right"/>
              <w:rPr>
                <w:color w:val="000000"/>
                <w:sz w:val="22"/>
                <w:szCs w:val="22"/>
              </w:rPr>
            </w:pPr>
            <w:r w:rsidRPr="00EF4EB9">
              <w:rPr>
                <w:color w:val="000000"/>
                <w:sz w:val="22"/>
                <w:szCs w:val="22"/>
              </w:rPr>
              <w:t>1.9</w:t>
            </w:r>
          </w:p>
        </w:tc>
        <w:tc>
          <w:tcPr>
            <w:tcW w:w="851" w:type="dxa"/>
            <w:tcBorders>
              <w:bottom w:val="single" w:sz="4" w:space="0" w:color="auto"/>
            </w:tcBorders>
            <w:vAlign w:val="bottom"/>
          </w:tcPr>
          <w:p w:rsidR="00605BB7" w:rsidRPr="00EF4EB9" w:rsidRDefault="00605BB7" w:rsidP="00605BB7">
            <w:pPr>
              <w:spacing w:line="360" w:lineRule="auto"/>
              <w:jc w:val="right"/>
              <w:rPr>
                <w:color w:val="000000"/>
                <w:sz w:val="22"/>
                <w:szCs w:val="22"/>
              </w:rPr>
            </w:pPr>
            <w:r w:rsidRPr="00EF4EB9">
              <w:rPr>
                <w:color w:val="000000"/>
                <w:sz w:val="22"/>
                <w:szCs w:val="22"/>
              </w:rPr>
              <w:t>84.1</w:t>
            </w:r>
          </w:p>
        </w:tc>
        <w:tc>
          <w:tcPr>
            <w:tcW w:w="992" w:type="dxa"/>
            <w:tcBorders>
              <w:bottom w:val="single" w:sz="4" w:space="0" w:color="auto"/>
            </w:tcBorders>
            <w:vAlign w:val="bottom"/>
          </w:tcPr>
          <w:p w:rsidR="00605BB7" w:rsidRPr="00EF4EB9" w:rsidRDefault="00605BB7" w:rsidP="00605BB7">
            <w:pPr>
              <w:spacing w:line="360" w:lineRule="auto"/>
              <w:jc w:val="right"/>
              <w:rPr>
                <w:color w:val="000000"/>
                <w:sz w:val="22"/>
                <w:szCs w:val="22"/>
              </w:rPr>
            </w:pPr>
            <w:r w:rsidRPr="00EF4EB9">
              <w:rPr>
                <w:color w:val="000000"/>
                <w:sz w:val="22"/>
                <w:szCs w:val="22"/>
              </w:rPr>
              <w:t>0.136</w:t>
            </w:r>
          </w:p>
        </w:tc>
        <w:tc>
          <w:tcPr>
            <w:tcW w:w="992" w:type="dxa"/>
            <w:tcBorders>
              <w:bottom w:val="single" w:sz="4" w:space="0" w:color="auto"/>
            </w:tcBorders>
            <w:vAlign w:val="bottom"/>
          </w:tcPr>
          <w:p w:rsidR="00605BB7" w:rsidRPr="00EF4EB9" w:rsidRDefault="00605BB7" w:rsidP="00605BB7">
            <w:pPr>
              <w:spacing w:line="360" w:lineRule="auto"/>
              <w:jc w:val="right"/>
              <w:rPr>
                <w:color w:val="000000"/>
                <w:sz w:val="22"/>
                <w:szCs w:val="22"/>
              </w:rPr>
            </w:pPr>
            <w:r w:rsidRPr="00EF4EB9">
              <w:rPr>
                <w:color w:val="000000"/>
                <w:sz w:val="22"/>
                <w:szCs w:val="22"/>
              </w:rPr>
              <w:t>0.298</w:t>
            </w:r>
          </w:p>
        </w:tc>
        <w:tc>
          <w:tcPr>
            <w:tcW w:w="851" w:type="dxa"/>
            <w:tcBorders>
              <w:bottom w:val="single" w:sz="4" w:space="0" w:color="auto"/>
            </w:tcBorders>
            <w:vAlign w:val="bottom"/>
          </w:tcPr>
          <w:p w:rsidR="00605BB7" w:rsidRPr="00EF4EB9" w:rsidRDefault="00605BB7" w:rsidP="00605BB7">
            <w:pPr>
              <w:spacing w:line="360" w:lineRule="auto"/>
              <w:jc w:val="right"/>
              <w:rPr>
                <w:color w:val="000000"/>
                <w:sz w:val="22"/>
                <w:szCs w:val="22"/>
              </w:rPr>
            </w:pPr>
            <w:r w:rsidRPr="00EF4EB9">
              <w:rPr>
                <w:color w:val="000000"/>
                <w:sz w:val="22"/>
                <w:szCs w:val="22"/>
              </w:rPr>
              <w:t>0.014</w:t>
            </w:r>
          </w:p>
        </w:tc>
        <w:tc>
          <w:tcPr>
            <w:tcW w:w="850" w:type="dxa"/>
            <w:tcBorders>
              <w:bottom w:val="single" w:sz="4" w:space="0" w:color="auto"/>
            </w:tcBorders>
            <w:vAlign w:val="bottom"/>
          </w:tcPr>
          <w:p w:rsidR="00605BB7" w:rsidRPr="00EF4EB9" w:rsidRDefault="00605BB7" w:rsidP="00605BB7">
            <w:pPr>
              <w:spacing w:line="360" w:lineRule="auto"/>
              <w:jc w:val="right"/>
              <w:rPr>
                <w:color w:val="000000"/>
                <w:sz w:val="22"/>
                <w:szCs w:val="22"/>
              </w:rPr>
            </w:pPr>
            <w:r w:rsidRPr="00EF4EB9">
              <w:rPr>
                <w:color w:val="000000"/>
                <w:sz w:val="22"/>
                <w:szCs w:val="22"/>
              </w:rPr>
              <w:t>0.111</w:t>
            </w:r>
          </w:p>
        </w:tc>
      </w:tr>
      <w:tr w:rsidR="00605BB7" w:rsidRPr="00EF4EB9" w:rsidTr="00605BB7">
        <w:tc>
          <w:tcPr>
            <w:tcW w:w="9889" w:type="dxa"/>
            <w:gridSpan w:val="10"/>
            <w:tcBorders>
              <w:top w:val="nil"/>
              <w:left w:val="nil"/>
              <w:bottom w:val="nil"/>
              <w:right w:val="nil"/>
            </w:tcBorders>
          </w:tcPr>
          <w:p w:rsidR="00605BB7" w:rsidRPr="00EF4EB9" w:rsidRDefault="00605BB7" w:rsidP="00605BB7">
            <w:pPr>
              <w:rPr>
                <w:sz w:val="22"/>
                <w:szCs w:val="22"/>
              </w:rPr>
            </w:pPr>
            <w:r w:rsidRPr="00EF4EB9">
              <w:rPr>
                <w:sz w:val="22"/>
                <w:szCs w:val="22"/>
              </w:rPr>
              <w:t xml:space="preserve">TTE = </w:t>
            </w:r>
            <w:proofErr w:type="spellStart"/>
            <w:r w:rsidRPr="00EF4EB9">
              <w:rPr>
                <w:sz w:val="22"/>
                <w:szCs w:val="22"/>
              </w:rPr>
              <w:t>Transthoracic</w:t>
            </w:r>
            <w:proofErr w:type="spellEnd"/>
            <w:r w:rsidRPr="00EF4EB9">
              <w:rPr>
                <w:sz w:val="22"/>
                <w:szCs w:val="22"/>
              </w:rPr>
              <w:t xml:space="preserve"> Echocardiography; LA ABN = Left </w:t>
            </w:r>
            <w:proofErr w:type="spellStart"/>
            <w:r w:rsidRPr="00EF4EB9">
              <w:rPr>
                <w:sz w:val="22"/>
                <w:szCs w:val="22"/>
              </w:rPr>
              <w:t>Atrial</w:t>
            </w:r>
            <w:proofErr w:type="spellEnd"/>
            <w:r w:rsidRPr="00EF4EB9">
              <w:rPr>
                <w:sz w:val="22"/>
                <w:szCs w:val="22"/>
              </w:rPr>
              <w:t xml:space="preserve"> Abnormality; ICH = Intracranial </w:t>
            </w:r>
            <w:proofErr w:type="spellStart"/>
            <w:r w:rsidRPr="00EF4EB9">
              <w:rPr>
                <w:sz w:val="22"/>
                <w:szCs w:val="22"/>
              </w:rPr>
              <w:t>haemorrhage</w:t>
            </w:r>
            <w:proofErr w:type="spellEnd"/>
            <w:r w:rsidRPr="00EF4EB9">
              <w:rPr>
                <w:sz w:val="22"/>
                <w:szCs w:val="22"/>
              </w:rPr>
              <w:t xml:space="preserve">;  NICH = Non- intracranial </w:t>
            </w:r>
            <w:proofErr w:type="spellStart"/>
            <w:r w:rsidRPr="00EF4EB9">
              <w:rPr>
                <w:sz w:val="22"/>
                <w:szCs w:val="22"/>
              </w:rPr>
              <w:t>haemorrhage</w:t>
            </w:r>
            <w:proofErr w:type="spellEnd"/>
            <w:r w:rsidRPr="00EF4EB9">
              <w:rPr>
                <w:sz w:val="22"/>
                <w:szCs w:val="22"/>
              </w:rPr>
              <w:t xml:space="preserve"> </w:t>
            </w:r>
          </w:p>
        </w:tc>
      </w:tr>
    </w:tbl>
    <w:p w:rsidR="00DF4463" w:rsidRDefault="00DF4463" w:rsidP="000F1109">
      <w:pPr>
        <w:spacing w:line="360" w:lineRule="auto"/>
        <w:jc w:val="both"/>
      </w:pPr>
    </w:p>
    <w:p w:rsidR="000F1109" w:rsidRDefault="000F1109" w:rsidP="000F1109">
      <w:pPr>
        <w:spacing w:line="360" w:lineRule="auto"/>
        <w:jc w:val="both"/>
      </w:pPr>
      <w:r>
        <w:t>Table 5 shows the costs, QALYs, and ICERs associated with the simulated patient experiences presented in table 4. For CHADS2, t</w:t>
      </w:r>
      <w:r w:rsidRPr="00EF4EB9">
        <w:t>he mean cost per QALY of below £6000 indicates that TTE is likely to be</w:t>
      </w:r>
      <w:r>
        <w:t xml:space="preserve"> a</w:t>
      </w:r>
      <w:r w:rsidRPr="00EF4EB9">
        <w:t xml:space="preserve"> cost effective use of resources</w:t>
      </w:r>
      <w:r>
        <w:t>. For CHADS2-VASc, the mean cost per QALY of almost £50,000 suggests TTE is not likely to be cost-effective in this context.</w:t>
      </w:r>
      <w:r w:rsidR="000C54E6">
        <w:t xml:space="preserve"> Our 95% credible intervals for the ICERs range from dominating to almost £30,000 per QALY for CHADS2, and from less than £6,000 to dominated for CHADS2-VASc. These correspond directly to the joint estimation of costs and QALYs resulting from the PSA, as shown in figure 2(a) and figure 2(b). For figure 2(a) (CHADS2), a significant proportion of the estimates are in the south east quadrant, indicating simple dominance over the baseline strategy. For figure 2(b) (CHADS2-VAsc), a significant proportion of the estimates are in the north-west quadrant, indicating that the comparator strategy (CHADS2-VASc with TTE) is dominated by the baseline strategy (CHADS2-VASc alone). </w:t>
      </w:r>
    </w:p>
    <w:p w:rsidR="000F1109" w:rsidRPr="00EF4EB9" w:rsidRDefault="00DF4463" w:rsidP="000F1109">
      <w:pPr>
        <w:spacing w:line="360" w:lineRule="auto"/>
        <w:ind w:left="1440" w:hanging="1440"/>
        <w:jc w:val="both"/>
        <w:rPr>
          <w:b/>
        </w:rPr>
      </w:pPr>
      <w:r>
        <w:rPr>
          <w:b/>
        </w:rPr>
        <w:t>Table 5</w:t>
      </w:r>
      <w:r w:rsidR="000F1109" w:rsidRPr="00EF4EB9">
        <w:rPr>
          <w:b/>
        </w:rPr>
        <w:t>:</w:t>
      </w:r>
      <w:r w:rsidR="000F1109" w:rsidRPr="00EF4EB9">
        <w:rPr>
          <w:b/>
        </w:rPr>
        <w:tab/>
        <w:t>Cost effectiveness analysis of the use of TTE in patients with a CHADS</w:t>
      </w:r>
      <w:r w:rsidR="000F1109" w:rsidRPr="00EF4EB9">
        <w:rPr>
          <w:b/>
          <w:vertAlign w:val="subscript"/>
        </w:rPr>
        <w:t>2</w:t>
      </w:r>
      <w:r w:rsidR="000F1109" w:rsidRPr="00EF4EB9">
        <w:rPr>
          <w:b/>
        </w:rPr>
        <w:t xml:space="preserve"> </w:t>
      </w:r>
      <w:r w:rsidR="000F1109">
        <w:rPr>
          <w:b/>
        </w:rPr>
        <w:t xml:space="preserve">or CHADS2-VASc </w:t>
      </w:r>
      <w:r w:rsidR="000F1109" w:rsidRPr="00EF4EB9">
        <w:rPr>
          <w:b/>
        </w:rPr>
        <w:t xml:space="preserve">score of 0 </w:t>
      </w:r>
    </w:p>
    <w:tbl>
      <w:tblPr>
        <w:tblStyle w:val="TableGrid"/>
        <w:tblW w:w="9251" w:type="dxa"/>
        <w:tblLook w:val="04A0"/>
      </w:tblPr>
      <w:tblGrid>
        <w:gridCol w:w="673"/>
        <w:gridCol w:w="1857"/>
        <w:gridCol w:w="974"/>
        <w:gridCol w:w="832"/>
        <w:gridCol w:w="1297"/>
        <w:gridCol w:w="1297"/>
        <w:gridCol w:w="2270"/>
        <w:gridCol w:w="51"/>
      </w:tblGrid>
      <w:tr w:rsidR="000F1109" w:rsidRPr="00EF4EB9" w:rsidTr="00A974C0">
        <w:trPr>
          <w:gridAfter w:val="1"/>
          <w:wAfter w:w="51" w:type="dxa"/>
        </w:trPr>
        <w:tc>
          <w:tcPr>
            <w:tcW w:w="2530" w:type="dxa"/>
            <w:gridSpan w:val="2"/>
          </w:tcPr>
          <w:p w:rsidR="000F1109" w:rsidRPr="00EF4EB9" w:rsidRDefault="000F1109" w:rsidP="00A974C0">
            <w:pPr>
              <w:rPr>
                <w:sz w:val="22"/>
                <w:szCs w:val="22"/>
              </w:rPr>
            </w:pPr>
            <w:r w:rsidRPr="00EF4EB9">
              <w:rPr>
                <w:sz w:val="22"/>
                <w:szCs w:val="22"/>
              </w:rPr>
              <w:t>Strategy</w:t>
            </w:r>
          </w:p>
        </w:tc>
        <w:tc>
          <w:tcPr>
            <w:tcW w:w="974" w:type="dxa"/>
          </w:tcPr>
          <w:p w:rsidR="000F1109" w:rsidRPr="00EF4EB9" w:rsidRDefault="000F1109" w:rsidP="00A974C0">
            <w:pPr>
              <w:rPr>
                <w:sz w:val="22"/>
                <w:szCs w:val="22"/>
              </w:rPr>
            </w:pPr>
            <w:r w:rsidRPr="00EF4EB9">
              <w:rPr>
                <w:sz w:val="22"/>
                <w:szCs w:val="22"/>
              </w:rPr>
              <w:t>Cost</w:t>
            </w:r>
          </w:p>
        </w:tc>
        <w:tc>
          <w:tcPr>
            <w:tcW w:w="832" w:type="dxa"/>
          </w:tcPr>
          <w:p w:rsidR="000F1109" w:rsidRPr="00EF4EB9" w:rsidRDefault="000F1109" w:rsidP="00A974C0">
            <w:pPr>
              <w:rPr>
                <w:sz w:val="22"/>
                <w:szCs w:val="22"/>
              </w:rPr>
            </w:pPr>
            <w:r w:rsidRPr="00EF4EB9">
              <w:rPr>
                <w:sz w:val="22"/>
                <w:szCs w:val="22"/>
              </w:rPr>
              <w:t>QALYs</w:t>
            </w:r>
          </w:p>
        </w:tc>
        <w:tc>
          <w:tcPr>
            <w:tcW w:w="1297" w:type="dxa"/>
            <w:tcBorders>
              <w:bottom w:val="single" w:sz="4" w:space="0" w:color="auto"/>
            </w:tcBorders>
          </w:tcPr>
          <w:p w:rsidR="000F1109" w:rsidRPr="00EF4EB9" w:rsidRDefault="000F1109" w:rsidP="00A974C0">
            <w:pPr>
              <w:rPr>
                <w:sz w:val="22"/>
                <w:szCs w:val="22"/>
              </w:rPr>
            </w:pPr>
            <w:r w:rsidRPr="00EF4EB9">
              <w:rPr>
                <w:sz w:val="22"/>
                <w:szCs w:val="22"/>
              </w:rPr>
              <w:t xml:space="preserve">Incremental Cost </w:t>
            </w:r>
          </w:p>
        </w:tc>
        <w:tc>
          <w:tcPr>
            <w:tcW w:w="1297" w:type="dxa"/>
            <w:tcBorders>
              <w:bottom w:val="single" w:sz="4" w:space="0" w:color="auto"/>
            </w:tcBorders>
          </w:tcPr>
          <w:p w:rsidR="000F1109" w:rsidRPr="00EF4EB9" w:rsidRDefault="000F1109" w:rsidP="00A974C0">
            <w:pPr>
              <w:rPr>
                <w:sz w:val="22"/>
                <w:szCs w:val="22"/>
              </w:rPr>
            </w:pPr>
            <w:r w:rsidRPr="00EF4EB9">
              <w:rPr>
                <w:sz w:val="22"/>
                <w:szCs w:val="22"/>
              </w:rPr>
              <w:t>Incremental QALYs</w:t>
            </w:r>
          </w:p>
        </w:tc>
        <w:tc>
          <w:tcPr>
            <w:tcW w:w="2270" w:type="dxa"/>
            <w:tcBorders>
              <w:bottom w:val="single" w:sz="4" w:space="0" w:color="auto"/>
            </w:tcBorders>
          </w:tcPr>
          <w:p w:rsidR="000F1109" w:rsidRPr="00EF4EB9" w:rsidRDefault="000F1109" w:rsidP="00A974C0">
            <w:pPr>
              <w:rPr>
                <w:sz w:val="22"/>
                <w:szCs w:val="22"/>
              </w:rPr>
            </w:pPr>
            <w:r w:rsidRPr="00EF4EB9">
              <w:rPr>
                <w:sz w:val="22"/>
                <w:szCs w:val="22"/>
              </w:rPr>
              <w:t>Cost per QALY</w:t>
            </w:r>
          </w:p>
          <w:p w:rsidR="000F1109" w:rsidRPr="00EF4EB9" w:rsidRDefault="000F1109" w:rsidP="00A974C0">
            <w:pPr>
              <w:rPr>
                <w:sz w:val="22"/>
                <w:szCs w:val="22"/>
              </w:rPr>
            </w:pPr>
            <w:r w:rsidRPr="00EF4EB9">
              <w:rPr>
                <w:sz w:val="22"/>
                <w:szCs w:val="22"/>
              </w:rPr>
              <w:t>(2.5</w:t>
            </w:r>
            <w:r w:rsidRPr="00EF4EB9">
              <w:rPr>
                <w:sz w:val="22"/>
                <w:szCs w:val="22"/>
                <w:vertAlign w:val="superscript"/>
              </w:rPr>
              <w:t>th</w:t>
            </w:r>
            <w:r w:rsidRPr="00EF4EB9">
              <w:rPr>
                <w:sz w:val="22"/>
                <w:szCs w:val="22"/>
              </w:rPr>
              <w:t xml:space="preserve"> and 97.5</w:t>
            </w:r>
            <w:r w:rsidRPr="00EF4EB9">
              <w:rPr>
                <w:sz w:val="22"/>
                <w:szCs w:val="22"/>
                <w:vertAlign w:val="superscript"/>
              </w:rPr>
              <w:t>th</w:t>
            </w:r>
            <w:r w:rsidRPr="00EF4EB9">
              <w:rPr>
                <w:sz w:val="22"/>
                <w:szCs w:val="22"/>
              </w:rPr>
              <w:t xml:space="preserve"> percentiles)</w:t>
            </w:r>
          </w:p>
        </w:tc>
      </w:tr>
      <w:tr w:rsidR="000F1109" w:rsidRPr="00EF4EB9" w:rsidTr="00A974C0">
        <w:tc>
          <w:tcPr>
            <w:tcW w:w="673" w:type="dxa"/>
            <w:vMerge w:val="restart"/>
            <w:textDirection w:val="btLr"/>
          </w:tcPr>
          <w:p w:rsidR="000F1109" w:rsidRPr="00EF4EB9" w:rsidRDefault="000F1109" w:rsidP="00A974C0">
            <w:pPr>
              <w:ind w:left="113" w:right="113"/>
              <w:rPr>
                <w:sz w:val="22"/>
                <w:szCs w:val="22"/>
              </w:rPr>
            </w:pPr>
            <w:r>
              <w:rPr>
                <w:sz w:val="22"/>
                <w:szCs w:val="22"/>
              </w:rPr>
              <w:t>CHADS2</w:t>
            </w:r>
          </w:p>
        </w:tc>
        <w:tc>
          <w:tcPr>
            <w:tcW w:w="1857" w:type="dxa"/>
          </w:tcPr>
          <w:p w:rsidR="000F1109" w:rsidRPr="00EF4EB9" w:rsidRDefault="000F1109" w:rsidP="00A974C0">
            <w:pPr>
              <w:rPr>
                <w:sz w:val="22"/>
                <w:szCs w:val="22"/>
              </w:rPr>
            </w:pPr>
            <w:r w:rsidRPr="00EF4EB9">
              <w:rPr>
                <w:sz w:val="22"/>
                <w:szCs w:val="22"/>
              </w:rPr>
              <w:t>No initial treatment</w:t>
            </w:r>
          </w:p>
        </w:tc>
        <w:tc>
          <w:tcPr>
            <w:tcW w:w="974" w:type="dxa"/>
            <w:vAlign w:val="bottom"/>
          </w:tcPr>
          <w:p w:rsidR="000F1109" w:rsidRPr="00EF4EB9" w:rsidRDefault="000F1109" w:rsidP="00A974C0">
            <w:pPr>
              <w:jc w:val="right"/>
              <w:rPr>
                <w:color w:val="000000"/>
                <w:sz w:val="22"/>
                <w:szCs w:val="22"/>
              </w:rPr>
            </w:pPr>
            <w:r w:rsidRPr="00EF4EB9">
              <w:rPr>
                <w:color w:val="000000"/>
                <w:sz w:val="22"/>
                <w:szCs w:val="22"/>
              </w:rPr>
              <w:t>£13,792</w:t>
            </w:r>
          </w:p>
        </w:tc>
        <w:tc>
          <w:tcPr>
            <w:tcW w:w="832" w:type="dxa"/>
            <w:vAlign w:val="bottom"/>
          </w:tcPr>
          <w:p w:rsidR="000F1109" w:rsidRPr="00EF4EB9" w:rsidRDefault="000F1109" w:rsidP="00A974C0">
            <w:pPr>
              <w:jc w:val="right"/>
              <w:rPr>
                <w:color w:val="000000"/>
                <w:sz w:val="22"/>
                <w:szCs w:val="22"/>
              </w:rPr>
            </w:pPr>
            <w:r w:rsidRPr="00EF4EB9">
              <w:rPr>
                <w:color w:val="000000"/>
                <w:sz w:val="22"/>
                <w:szCs w:val="22"/>
              </w:rPr>
              <w:t>10.185</w:t>
            </w:r>
          </w:p>
        </w:tc>
        <w:tc>
          <w:tcPr>
            <w:tcW w:w="1297" w:type="dxa"/>
            <w:tcBorders>
              <w:right w:val="nil"/>
            </w:tcBorders>
            <w:vAlign w:val="bottom"/>
          </w:tcPr>
          <w:p w:rsidR="000F1109" w:rsidRPr="00EF4EB9" w:rsidRDefault="000F1109" w:rsidP="00A974C0">
            <w:pPr>
              <w:jc w:val="right"/>
              <w:rPr>
                <w:color w:val="000000"/>
                <w:sz w:val="22"/>
                <w:szCs w:val="22"/>
              </w:rPr>
            </w:pPr>
          </w:p>
        </w:tc>
        <w:tc>
          <w:tcPr>
            <w:tcW w:w="1297" w:type="dxa"/>
            <w:tcBorders>
              <w:left w:val="nil"/>
              <w:right w:val="nil"/>
            </w:tcBorders>
            <w:vAlign w:val="bottom"/>
          </w:tcPr>
          <w:p w:rsidR="000F1109" w:rsidRPr="00EF4EB9" w:rsidRDefault="000F1109" w:rsidP="00A974C0">
            <w:pPr>
              <w:jc w:val="right"/>
              <w:rPr>
                <w:color w:val="000000"/>
                <w:sz w:val="22"/>
                <w:szCs w:val="22"/>
              </w:rPr>
            </w:pPr>
          </w:p>
        </w:tc>
        <w:tc>
          <w:tcPr>
            <w:tcW w:w="2321" w:type="dxa"/>
            <w:gridSpan w:val="2"/>
            <w:tcBorders>
              <w:top w:val="nil"/>
              <w:left w:val="nil"/>
              <w:right w:val="nil"/>
            </w:tcBorders>
            <w:vAlign w:val="bottom"/>
          </w:tcPr>
          <w:p w:rsidR="000F1109" w:rsidRPr="00EF4EB9" w:rsidRDefault="000F1109" w:rsidP="00A974C0">
            <w:pPr>
              <w:jc w:val="right"/>
              <w:rPr>
                <w:color w:val="000000"/>
                <w:sz w:val="22"/>
                <w:szCs w:val="22"/>
              </w:rPr>
            </w:pPr>
          </w:p>
        </w:tc>
      </w:tr>
      <w:tr w:rsidR="000F1109" w:rsidRPr="00EF4EB9" w:rsidTr="00A974C0">
        <w:trPr>
          <w:trHeight w:val="675"/>
        </w:trPr>
        <w:tc>
          <w:tcPr>
            <w:tcW w:w="673" w:type="dxa"/>
            <w:vMerge/>
            <w:tcBorders>
              <w:bottom w:val="single" w:sz="4" w:space="0" w:color="auto"/>
            </w:tcBorders>
            <w:textDirection w:val="btLr"/>
          </w:tcPr>
          <w:p w:rsidR="000F1109" w:rsidRPr="00EF4EB9" w:rsidRDefault="000F1109" w:rsidP="00A974C0">
            <w:pPr>
              <w:ind w:left="113" w:right="113"/>
              <w:rPr>
                <w:sz w:val="22"/>
                <w:szCs w:val="22"/>
              </w:rPr>
            </w:pPr>
          </w:p>
        </w:tc>
        <w:tc>
          <w:tcPr>
            <w:tcW w:w="1857" w:type="dxa"/>
            <w:tcBorders>
              <w:bottom w:val="single" w:sz="4" w:space="0" w:color="auto"/>
            </w:tcBorders>
          </w:tcPr>
          <w:p w:rsidR="000F1109" w:rsidRPr="00EF4EB9" w:rsidRDefault="000F1109" w:rsidP="00A974C0">
            <w:pPr>
              <w:rPr>
                <w:sz w:val="22"/>
                <w:szCs w:val="22"/>
              </w:rPr>
            </w:pPr>
            <w:r w:rsidRPr="00EF4EB9">
              <w:rPr>
                <w:sz w:val="22"/>
                <w:szCs w:val="22"/>
              </w:rPr>
              <w:t>TTE with those diagnosed with LA ABN treated</w:t>
            </w:r>
          </w:p>
        </w:tc>
        <w:tc>
          <w:tcPr>
            <w:tcW w:w="974" w:type="dxa"/>
            <w:tcBorders>
              <w:bottom w:val="single" w:sz="4" w:space="0" w:color="auto"/>
            </w:tcBorders>
            <w:vAlign w:val="bottom"/>
          </w:tcPr>
          <w:p w:rsidR="000F1109" w:rsidRPr="00EF4EB9" w:rsidRDefault="000F1109" w:rsidP="00A974C0">
            <w:pPr>
              <w:jc w:val="right"/>
              <w:rPr>
                <w:color w:val="000000"/>
                <w:sz w:val="22"/>
                <w:szCs w:val="22"/>
              </w:rPr>
            </w:pPr>
            <w:r w:rsidRPr="00EF4EB9">
              <w:rPr>
                <w:color w:val="000000"/>
                <w:sz w:val="22"/>
                <w:szCs w:val="22"/>
              </w:rPr>
              <w:t>£15,646</w:t>
            </w:r>
          </w:p>
        </w:tc>
        <w:tc>
          <w:tcPr>
            <w:tcW w:w="832" w:type="dxa"/>
            <w:tcBorders>
              <w:bottom w:val="single" w:sz="4" w:space="0" w:color="auto"/>
            </w:tcBorders>
            <w:vAlign w:val="bottom"/>
          </w:tcPr>
          <w:p w:rsidR="000F1109" w:rsidRPr="00EF4EB9" w:rsidRDefault="000F1109" w:rsidP="00A974C0">
            <w:pPr>
              <w:jc w:val="right"/>
              <w:rPr>
                <w:color w:val="000000"/>
                <w:sz w:val="22"/>
                <w:szCs w:val="22"/>
              </w:rPr>
            </w:pPr>
            <w:r w:rsidRPr="00EF4EB9">
              <w:rPr>
                <w:color w:val="000000"/>
                <w:sz w:val="22"/>
                <w:szCs w:val="22"/>
              </w:rPr>
              <w:t>10.502</w:t>
            </w:r>
          </w:p>
        </w:tc>
        <w:tc>
          <w:tcPr>
            <w:tcW w:w="1297" w:type="dxa"/>
            <w:tcBorders>
              <w:bottom w:val="single" w:sz="4" w:space="0" w:color="auto"/>
            </w:tcBorders>
            <w:vAlign w:val="bottom"/>
          </w:tcPr>
          <w:p w:rsidR="000F1109" w:rsidRPr="00EF4EB9" w:rsidRDefault="000F1109" w:rsidP="00A974C0">
            <w:pPr>
              <w:jc w:val="right"/>
              <w:rPr>
                <w:color w:val="000000"/>
                <w:sz w:val="22"/>
                <w:szCs w:val="22"/>
              </w:rPr>
            </w:pPr>
            <w:r w:rsidRPr="00EF4EB9">
              <w:rPr>
                <w:color w:val="000000"/>
                <w:sz w:val="22"/>
                <w:szCs w:val="22"/>
              </w:rPr>
              <w:t>£1,854</w:t>
            </w:r>
          </w:p>
        </w:tc>
        <w:tc>
          <w:tcPr>
            <w:tcW w:w="1297" w:type="dxa"/>
            <w:tcBorders>
              <w:bottom w:val="single" w:sz="4" w:space="0" w:color="auto"/>
            </w:tcBorders>
            <w:vAlign w:val="bottom"/>
          </w:tcPr>
          <w:p w:rsidR="000F1109" w:rsidRPr="00EF4EB9" w:rsidRDefault="000F1109" w:rsidP="00A974C0">
            <w:pPr>
              <w:jc w:val="right"/>
              <w:rPr>
                <w:color w:val="000000"/>
                <w:sz w:val="22"/>
                <w:szCs w:val="22"/>
              </w:rPr>
            </w:pPr>
            <w:r w:rsidRPr="00EF4EB9">
              <w:rPr>
                <w:color w:val="000000"/>
                <w:sz w:val="22"/>
                <w:szCs w:val="22"/>
              </w:rPr>
              <w:t>0.317</w:t>
            </w:r>
          </w:p>
        </w:tc>
        <w:tc>
          <w:tcPr>
            <w:tcW w:w="2321" w:type="dxa"/>
            <w:gridSpan w:val="2"/>
            <w:tcBorders>
              <w:bottom w:val="single" w:sz="4" w:space="0" w:color="auto"/>
            </w:tcBorders>
            <w:vAlign w:val="bottom"/>
          </w:tcPr>
          <w:p w:rsidR="000F1109" w:rsidRPr="00EF4EB9" w:rsidRDefault="000F1109" w:rsidP="00A974C0">
            <w:pPr>
              <w:jc w:val="right"/>
              <w:rPr>
                <w:color w:val="000000"/>
                <w:sz w:val="22"/>
                <w:szCs w:val="22"/>
              </w:rPr>
            </w:pPr>
            <w:r w:rsidRPr="00EF4EB9">
              <w:rPr>
                <w:color w:val="000000"/>
                <w:sz w:val="22"/>
                <w:szCs w:val="22"/>
              </w:rPr>
              <w:t xml:space="preserve">£5847 </w:t>
            </w:r>
          </w:p>
          <w:p w:rsidR="000F1109" w:rsidRPr="00EF4EB9" w:rsidRDefault="000F1109" w:rsidP="00A974C0">
            <w:pPr>
              <w:jc w:val="right"/>
              <w:rPr>
                <w:color w:val="000000"/>
                <w:sz w:val="22"/>
                <w:szCs w:val="22"/>
              </w:rPr>
            </w:pPr>
            <w:r w:rsidRPr="00EF4EB9">
              <w:rPr>
                <w:color w:val="000000"/>
                <w:sz w:val="22"/>
                <w:szCs w:val="22"/>
              </w:rPr>
              <w:t>(Dominating -£28,939)</w:t>
            </w:r>
          </w:p>
        </w:tc>
      </w:tr>
      <w:tr w:rsidR="000F1109" w:rsidRPr="00EF4EB9" w:rsidTr="00A974C0">
        <w:trPr>
          <w:trHeight w:val="700"/>
        </w:trPr>
        <w:tc>
          <w:tcPr>
            <w:tcW w:w="673" w:type="dxa"/>
            <w:vMerge w:val="restart"/>
            <w:textDirection w:val="btLr"/>
          </w:tcPr>
          <w:p w:rsidR="000F1109" w:rsidRPr="00EF4EB9" w:rsidRDefault="000F1109" w:rsidP="00A974C0">
            <w:pPr>
              <w:spacing w:line="360" w:lineRule="auto"/>
              <w:ind w:left="113" w:right="113"/>
              <w:rPr>
                <w:sz w:val="22"/>
                <w:szCs w:val="22"/>
              </w:rPr>
            </w:pPr>
            <w:r>
              <w:rPr>
                <w:sz w:val="22"/>
                <w:szCs w:val="22"/>
              </w:rPr>
              <w:t>CHADS2-VASc</w:t>
            </w:r>
          </w:p>
        </w:tc>
        <w:tc>
          <w:tcPr>
            <w:tcW w:w="1857" w:type="dxa"/>
            <w:tcBorders>
              <w:bottom w:val="single" w:sz="4" w:space="0" w:color="auto"/>
            </w:tcBorders>
          </w:tcPr>
          <w:p w:rsidR="000F1109" w:rsidRPr="00EF4EB9" w:rsidRDefault="000F1109" w:rsidP="00A974C0">
            <w:pPr>
              <w:spacing w:line="360" w:lineRule="auto"/>
              <w:rPr>
                <w:sz w:val="22"/>
                <w:szCs w:val="22"/>
              </w:rPr>
            </w:pPr>
            <w:r w:rsidRPr="00EF4EB9">
              <w:rPr>
                <w:sz w:val="22"/>
                <w:szCs w:val="22"/>
              </w:rPr>
              <w:t>No initial treatment</w:t>
            </w:r>
          </w:p>
        </w:tc>
        <w:tc>
          <w:tcPr>
            <w:tcW w:w="974" w:type="dxa"/>
            <w:tcBorders>
              <w:bottom w:val="single" w:sz="4" w:space="0" w:color="auto"/>
            </w:tcBorders>
            <w:vAlign w:val="bottom"/>
          </w:tcPr>
          <w:p w:rsidR="000F1109" w:rsidRPr="00EF4EB9" w:rsidRDefault="000F1109" w:rsidP="00A974C0">
            <w:pPr>
              <w:spacing w:line="360" w:lineRule="auto"/>
              <w:jc w:val="right"/>
              <w:rPr>
                <w:color w:val="000000"/>
                <w:sz w:val="22"/>
                <w:szCs w:val="22"/>
              </w:rPr>
            </w:pPr>
            <w:r w:rsidRPr="00EF4EB9">
              <w:rPr>
                <w:color w:val="000000"/>
                <w:sz w:val="22"/>
                <w:szCs w:val="22"/>
              </w:rPr>
              <w:t>£15,249</w:t>
            </w:r>
          </w:p>
        </w:tc>
        <w:tc>
          <w:tcPr>
            <w:tcW w:w="832" w:type="dxa"/>
            <w:tcBorders>
              <w:bottom w:val="single" w:sz="4" w:space="0" w:color="auto"/>
            </w:tcBorders>
            <w:vAlign w:val="bottom"/>
          </w:tcPr>
          <w:p w:rsidR="000F1109" w:rsidRPr="00EF4EB9" w:rsidRDefault="000F1109" w:rsidP="00A974C0">
            <w:pPr>
              <w:spacing w:line="360" w:lineRule="auto"/>
              <w:jc w:val="right"/>
              <w:rPr>
                <w:color w:val="000000"/>
                <w:sz w:val="22"/>
                <w:szCs w:val="22"/>
              </w:rPr>
            </w:pPr>
            <w:r w:rsidRPr="00EF4EB9">
              <w:rPr>
                <w:color w:val="000000"/>
                <w:sz w:val="22"/>
                <w:szCs w:val="22"/>
              </w:rPr>
              <w:t>10.077</w:t>
            </w:r>
          </w:p>
        </w:tc>
        <w:tc>
          <w:tcPr>
            <w:tcW w:w="4915" w:type="dxa"/>
            <w:gridSpan w:val="4"/>
            <w:tcBorders>
              <w:bottom w:val="single" w:sz="4" w:space="0" w:color="auto"/>
              <w:right w:val="nil"/>
            </w:tcBorders>
            <w:vAlign w:val="bottom"/>
          </w:tcPr>
          <w:p w:rsidR="000F1109" w:rsidRPr="00EF4EB9" w:rsidRDefault="000F1109" w:rsidP="00A974C0">
            <w:pPr>
              <w:jc w:val="right"/>
              <w:rPr>
                <w:color w:val="000000"/>
              </w:rPr>
            </w:pPr>
          </w:p>
        </w:tc>
      </w:tr>
      <w:tr w:rsidR="000F1109" w:rsidRPr="00EF4EB9" w:rsidTr="00A974C0">
        <w:trPr>
          <w:trHeight w:val="94"/>
        </w:trPr>
        <w:tc>
          <w:tcPr>
            <w:tcW w:w="673" w:type="dxa"/>
            <w:vMerge/>
            <w:tcBorders>
              <w:bottom w:val="single" w:sz="4" w:space="0" w:color="auto"/>
            </w:tcBorders>
          </w:tcPr>
          <w:p w:rsidR="000F1109" w:rsidRPr="00EF4EB9" w:rsidRDefault="000F1109" w:rsidP="00A974C0">
            <w:pPr>
              <w:spacing w:line="360" w:lineRule="auto"/>
              <w:rPr>
                <w:sz w:val="22"/>
                <w:szCs w:val="22"/>
              </w:rPr>
            </w:pPr>
          </w:p>
        </w:tc>
        <w:tc>
          <w:tcPr>
            <w:tcW w:w="1857" w:type="dxa"/>
            <w:tcBorders>
              <w:bottom w:val="single" w:sz="4" w:space="0" w:color="auto"/>
            </w:tcBorders>
          </w:tcPr>
          <w:p w:rsidR="000F1109" w:rsidRPr="00EF4EB9" w:rsidRDefault="000F1109" w:rsidP="00A974C0">
            <w:pPr>
              <w:spacing w:line="360" w:lineRule="auto"/>
              <w:rPr>
                <w:sz w:val="22"/>
                <w:szCs w:val="22"/>
              </w:rPr>
            </w:pPr>
            <w:r w:rsidRPr="00EF4EB9">
              <w:rPr>
                <w:sz w:val="22"/>
                <w:szCs w:val="22"/>
              </w:rPr>
              <w:t>TTE with those diagnosed with LA ABN treated</w:t>
            </w:r>
          </w:p>
        </w:tc>
        <w:tc>
          <w:tcPr>
            <w:tcW w:w="974" w:type="dxa"/>
            <w:tcBorders>
              <w:bottom w:val="single" w:sz="4" w:space="0" w:color="auto"/>
            </w:tcBorders>
            <w:vAlign w:val="bottom"/>
          </w:tcPr>
          <w:p w:rsidR="000F1109" w:rsidRPr="00EF4EB9" w:rsidRDefault="000F1109" w:rsidP="00A974C0">
            <w:pPr>
              <w:spacing w:line="360" w:lineRule="auto"/>
              <w:rPr>
                <w:color w:val="000000"/>
                <w:sz w:val="22"/>
                <w:szCs w:val="22"/>
              </w:rPr>
            </w:pPr>
            <w:r w:rsidRPr="00EF4EB9">
              <w:rPr>
                <w:color w:val="000000"/>
                <w:sz w:val="22"/>
                <w:szCs w:val="22"/>
              </w:rPr>
              <w:t>£19,729</w:t>
            </w:r>
          </w:p>
        </w:tc>
        <w:tc>
          <w:tcPr>
            <w:tcW w:w="832" w:type="dxa"/>
            <w:tcBorders>
              <w:bottom w:val="single" w:sz="4" w:space="0" w:color="auto"/>
            </w:tcBorders>
            <w:vAlign w:val="bottom"/>
          </w:tcPr>
          <w:p w:rsidR="000F1109" w:rsidRPr="00EF4EB9" w:rsidRDefault="000F1109" w:rsidP="00A974C0">
            <w:pPr>
              <w:spacing w:line="360" w:lineRule="auto"/>
              <w:rPr>
                <w:color w:val="000000"/>
                <w:sz w:val="22"/>
                <w:szCs w:val="22"/>
              </w:rPr>
            </w:pPr>
            <w:r w:rsidRPr="00EF4EB9">
              <w:rPr>
                <w:color w:val="000000"/>
                <w:sz w:val="22"/>
                <w:szCs w:val="22"/>
              </w:rPr>
              <w:t>10.168</w:t>
            </w:r>
          </w:p>
        </w:tc>
        <w:tc>
          <w:tcPr>
            <w:tcW w:w="1297" w:type="dxa"/>
            <w:tcBorders>
              <w:bottom w:val="single" w:sz="4" w:space="0" w:color="auto"/>
            </w:tcBorders>
            <w:vAlign w:val="bottom"/>
          </w:tcPr>
          <w:p w:rsidR="000F1109" w:rsidRPr="00EF4EB9" w:rsidRDefault="000F1109" w:rsidP="00A974C0">
            <w:pPr>
              <w:spacing w:line="360" w:lineRule="auto"/>
              <w:jc w:val="right"/>
              <w:rPr>
                <w:color w:val="000000"/>
                <w:sz w:val="22"/>
                <w:szCs w:val="22"/>
              </w:rPr>
            </w:pPr>
            <w:r w:rsidRPr="00EF4EB9">
              <w:rPr>
                <w:color w:val="000000"/>
                <w:sz w:val="22"/>
                <w:szCs w:val="22"/>
              </w:rPr>
              <w:t>£4480</w:t>
            </w:r>
          </w:p>
        </w:tc>
        <w:tc>
          <w:tcPr>
            <w:tcW w:w="1297" w:type="dxa"/>
            <w:tcBorders>
              <w:bottom w:val="single" w:sz="4" w:space="0" w:color="auto"/>
            </w:tcBorders>
            <w:vAlign w:val="bottom"/>
          </w:tcPr>
          <w:p w:rsidR="000F1109" w:rsidRPr="00EF4EB9" w:rsidRDefault="000F1109" w:rsidP="00A974C0">
            <w:pPr>
              <w:spacing w:line="360" w:lineRule="auto"/>
              <w:jc w:val="right"/>
              <w:rPr>
                <w:color w:val="000000"/>
                <w:sz w:val="22"/>
                <w:szCs w:val="22"/>
              </w:rPr>
            </w:pPr>
            <w:r w:rsidRPr="00EF4EB9">
              <w:rPr>
                <w:color w:val="000000"/>
                <w:sz w:val="22"/>
                <w:szCs w:val="22"/>
              </w:rPr>
              <w:t>0.091</w:t>
            </w:r>
          </w:p>
        </w:tc>
        <w:tc>
          <w:tcPr>
            <w:tcW w:w="2321" w:type="dxa"/>
            <w:gridSpan w:val="2"/>
            <w:tcBorders>
              <w:bottom w:val="single" w:sz="4" w:space="0" w:color="auto"/>
            </w:tcBorders>
            <w:vAlign w:val="bottom"/>
          </w:tcPr>
          <w:p w:rsidR="000F1109" w:rsidRPr="00EF4EB9" w:rsidRDefault="000F1109" w:rsidP="00A974C0">
            <w:pPr>
              <w:spacing w:line="360" w:lineRule="auto"/>
              <w:jc w:val="right"/>
              <w:rPr>
                <w:color w:val="000000"/>
                <w:sz w:val="22"/>
                <w:szCs w:val="22"/>
              </w:rPr>
            </w:pPr>
            <w:r w:rsidRPr="00EF4EB9">
              <w:rPr>
                <w:color w:val="000000"/>
                <w:sz w:val="22"/>
                <w:szCs w:val="22"/>
              </w:rPr>
              <w:t xml:space="preserve">£49,491 </w:t>
            </w:r>
          </w:p>
          <w:p w:rsidR="000F1109" w:rsidRPr="00EF4EB9" w:rsidRDefault="000F1109" w:rsidP="00A974C0">
            <w:pPr>
              <w:spacing w:line="360" w:lineRule="auto"/>
              <w:jc w:val="right"/>
              <w:rPr>
                <w:color w:val="000000"/>
                <w:sz w:val="22"/>
                <w:szCs w:val="22"/>
              </w:rPr>
            </w:pPr>
            <w:r w:rsidRPr="00EF4EB9">
              <w:rPr>
                <w:color w:val="000000"/>
                <w:sz w:val="22"/>
                <w:szCs w:val="22"/>
              </w:rPr>
              <w:t>(£5604</w:t>
            </w:r>
            <w:r>
              <w:rPr>
                <w:color w:val="000000"/>
                <w:sz w:val="22"/>
                <w:szCs w:val="22"/>
              </w:rPr>
              <w:t xml:space="preserve"> - </w:t>
            </w:r>
            <w:r w:rsidRPr="00EF4EB9">
              <w:rPr>
                <w:color w:val="000000"/>
                <w:sz w:val="22"/>
                <w:szCs w:val="22"/>
              </w:rPr>
              <w:t xml:space="preserve"> Dominated)</w:t>
            </w:r>
          </w:p>
        </w:tc>
      </w:tr>
      <w:tr w:rsidR="000F1109" w:rsidRPr="00EF4EB9" w:rsidTr="00A974C0">
        <w:trPr>
          <w:gridAfter w:val="1"/>
          <w:wAfter w:w="51" w:type="dxa"/>
        </w:trPr>
        <w:tc>
          <w:tcPr>
            <w:tcW w:w="9200" w:type="dxa"/>
            <w:gridSpan w:val="7"/>
            <w:tcBorders>
              <w:left w:val="nil"/>
              <w:bottom w:val="nil"/>
              <w:right w:val="nil"/>
            </w:tcBorders>
          </w:tcPr>
          <w:p w:rsidR="000F1109" w:rsidRPr="00EF4EB9" w:rsidRDefault="000F1109" w:rsidP="00A974C0">
            <w:pPr>
              <w:rPr>
                <w:sz w:val="22"/>
                <w:szCs w:val="22"/>
              </w:rPr>
            </w:pPr>
            <w:r w:rsidRPr="00EF4EB9">
              <w:rPr>
                <w:sz w:val="22"/>
                <w:szCs w:val="22"/>
              </w:rPr>
              <w:lastRenderedPageBreak/>
              <w:t xml:space="preserve">TTE = </w:t>
            </w:r>
            <w:proofErr w:type="spellStart"/>
            <w:r w:rsidRPr="00EF4EB9">
              <w:rPr>
                <w:sz w:val="22"/>
                <w:szCs w:val="22"/>
              </w:rPr>
              <w:t>Transthoracic</w:t>
            </w:r>
            <w:proofErr w:type="spellEnd"/>
            <w:r w:rsidRPr="00EF4EB9">
              <w:rPr>
                <w:sz w:val="22"/>
                <w:szCs w:val="22"/>
              </w:rPr>
              <w:t xml:space="preserve"> Echocardiography; LA ABN = Left </w:t>
            </w:r>
            <w:proofErr w:type="spellStart"/>
            <w:r w:rsidRPr="00EF4EB9">
              <w:rPr>
                <w:sz w:val="22"/>
                <w:szCs w:val="22"/>
              </w:rPr>
              <w:t>Atrial</w:t>
            </w:r>
            <w:proofErr w:type="spellEnd"/>
            <w:r w:rsidRPr="00EF4EB9">
              <w:rPr>
                <w:sz w:val="22"/>
                <w:szCs w:val="22"/>
              </w:rPr>
              <w:t xml:space="preserve"> Abnormality</w:t>
            </w:r>
          </w:p>
        </w:tc>
      </w:tr>
    </w:tbl>
    <w:p w:rsidR="000F1109" w:rsidRPr="00EF4EB9" w:rsidRDefault="000F1109" w:rsidP="000F1109">
      <w:pPr>
        <w:spacing w:line="360" w:lineRule="auto"/>
        <w:jc w:val="both"/>
      </w:pPr>
    </w:p>
    <w:p w:rsidR="008D613B" w:rsidRPr="00EF4EB9" w:rsidRDefault="000C54E6" w:rsidP="008D613B">
      <w:pPr>
        <w:spacing w:line="360" w:lineRule="auto"/>
        <w:rPr>
          <w:b/>
        </w:rPr>
      </w:pPr>
      <w:r>
        <w:rPr>
          <w:b/>
        </w:rPr>
        <w:t>Figure 2a</w:t>
      </w:r>
      <w:r w:rsidR="008D613B" w:rsidRPr="00EF4EB9">
        <w:rPr>
          <w:b/>
        </w:rPr>
        <w:t>:</w:t>
      </w:r>
      <w:r w:rsidR="008D613B" w:rsidRPr="00EF4EB9">
        <w:rPr>
          <w:b/>
        </w:rPr>
        <w:tab/>
        <w:t xml:space="preserve">PSA </w:t>
      </w:r>
      <w:proofErr w:type="spellStart"/>
      <w:r w:rsidR="008D613B" w:rsidRPr="00EF4EB9">
        <w:rPr>
          <w:b/>
        </w:rPr>
        <w:t>scatterplot</w:t>
      </w:r>
      <w:proofErr w:type="spellEnd"/>
      <w:r w:rsidR="008D613B" w:rsidRPr="00EF4EB9">
        <w:rPr>
          <w:b/>
        </w:rPr>
        <w:t xml:space="preserve"> for </w:t>
      </w:r>
      <w:proofErr w:type="spellStart"/>
      <w:r w:rsidR="008D613B" w:rsidRPr="00EF4EB9">
        <w:rPr>
          <w:b/>
        </w:rPr>
        <w:t>dabigatran</w:t>
      </w:r>
      <w:proofErr w:type="spellEnd"/>
      <w:r w:rsidR="008D613B" w:rsidRPr="00EF4EB9">
        <w:rPr>
          <w:b/>
        </w:rPr>
        <w:t xml:space="preserve"> in a population with a CHADS</w:t>
      </w:r>
      <w:r w:rsidR="008D613B" w:rsidRPr="00EF4EB9">
        <w:rPr>
          <w:b/>
          <w:vertAlign w:val="subscript"/>
        </w:rPr>
        <w:t>2</w:t>
      </w:r>
      <w:r w:rsidR="008D613B" w:rsidRPr="00EF4EB9">
        <w:rPr>
          <w:b/>
        </w:rPr>
        <w:t xml:space="preserve"> score of 0</w:t>
      </w:r>
    </w:p>
    <w:p w:rsidR="008D613B" w:rsidRDefault="008D613B" w:rsidP="00436D67"/>
    <w:p w:rsidR="008D613B" w:rsidRDefault="008D613B" w:rsidP="00436D67">
      <w:r w:rsidRPr="00EF4EB9">
        <w:rPr>
          <w:noProof/>
          <w:lang w:val="en-GB" w:eastAsia="en-GB" w:bidi="ar-SA"/>
        </w:rPr>
        <w:drawing>
          <wp:inline distT="0" distB="0" distL="0" distR="0">
            <wp:extent cx="2890537" cy="2657475"/>
            <wp:effectExtent l="0" t="0" r="0" b="0"/>
            <wp:docPr id="105" name="Picture 47" descr="Dab_C0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PSA.jpeg"/>
                    <pic:cNvPicPr/>
                  </pic:nvPicPr>
                  <pic:blipFill>
                    <a:blip r:embed="rId8" cstate="print"/>
                    <a:srcRect t="7965"/>
                    <a:stretch>
                      <a:fillRect/>
                    </a:stretch>
                  </pic:blipFill>
                  <pic:spPr>
                    <a:xfrm>
                      <a:off x="0" y="0"/>
                      <a:ext cx="2891495" cy="2658356"/>
                    </a:xfrm>
                    <a:prstGeom prst="rect">
                      <a:avLst/>
                    </a:prstGeom>
                  </pic:spPr>
                </pic:pic>
              </a:graphicData>
            </a:graphic>
          </wp:inline>
        </w:drawing>
      </w:r>
    </w:p>
    <w:p w:rsidR="008D613B" w:rsidRDefault="008D613B" w:rsidP="00436D67"/>
    <w:p w:rsidR="008D613B" w:rsidRPr="00EF4EB9" w:rsidRDefault="008D613B" w:rsidP="008D613B">
      <w:pPr>
        <w:spacing w:line="360" w:lineRule="auto"/>
        <w:ind w:left="1440" w:hanging="1440"/>
        <w:rPr>
          <w:b/>
        </w:rPr>
      </w:pPr>
      <w:r w:rsidRPr="00EF4EB9">
        <w:rPr>
          <w:b/>
        </w:rPr>
        <w:t>Figure</w:t>
      </w:r>
      <w:r w:rsidR="000C54E6">
        <w:rPr>
          <w:b/>
        </w:rPr>
        <w:t>2b</w:t>
      </w:r>
      <w:r w:rsidRPr="00EF4EB9">
        <w:rPr>
          <w:b/>
        </w:rPr>
        <w:t>:</w:t>
      </w:r>
      <w:r w:rsidRPr="00EF4EB9">
        <w:rPr>
          <w:b/>
        </w:rPr>
        <w:tab/>
        <w:t xml:space="preserve">PSA </w:t>
      </w:r>
      <w:proofErr w:type="spellStart"/>
      <w:r w:rsidRPr="00EF4EB9">
        <w:rPr>
          <w:b/>
        </w:rPr>
        <w:t>scatterplot</w:t>
      </w:r>
      <w:proofErr w:type="spellEnd"/>
      <w:r w:rsidRPr="00EF4EB9">
        <w:rPr>
          <w:b/>
        </w:rPr>
        <w:t xml:space="preserve"> for </w:t>
      </w:r>
      <w:proofErr w:type="spellStart"/>
      <w:r w:rsidRPr="00EF4EB9">
        <w:rPr>
          <w:b/>
        </w:rPr>
        <w:t>dabigatran</w:t>
      </w:r>
      <w:proofErr w:type="spellEnd"/>
      <w:r w:rsidRPr="00EF4EB9">
        <w:rPr>
          <w:b/>
        </w:rPr>
        <w:t xml:space="preserve"> in a population with a CHA</w:t>
      </w:r>
      <w:r w:rsidRPr="00EF4EB9">
        <w:rPr>
          <w:b/>
          <w:vertAlign w:val="subscript"/>
        </w:rPr>
        <w:t>2</w:t>
      </w:r>
      <w:r w:rsidRPr="00EF4EB9">
        <w:rPr>
          <w:b/>
        </w:rPr>
        <w:t>DS</w:t>
      </w:r>
      <w:r w:rsidRPr="00EF4EB9">
        <w:rPr>
          <w:b/>
          <w:vertAlign w:val="subscript"/>
        </w:rPr>
        <w:t>2</w:t>
      </w:r>
      <w:r w:rsidRPr="00EF4EB9">
        <w:rPr>
          <w:b/>
        </w:rPr>
        <w:t>-VASc score of 0</w:t>
      </w:r>
    </w:p>
    <w:p w:rsidR="008D613B" w:rsidRPr="00EF4EB9" w:rsidRDefault="008D613B" w:rsidP="008D613B">
      <w:pPr>
        <w:spacing w:line="360" w:lineRule="auto"/>
      </w:pPr>
      <w:r w:rsidRPr="00EF4EB9">
        <w:rPr>
          <w:noProof/>
          <w:lang w:val="en-GB" w:eastAsia="en-GB" w:bidi="ar-SA"/>
        </w:rPr>
        <w:drawing>
          <wp:inline distT="0" distB="0" distL="0" distR="0">
            <wp:extent cx="2856776" cy="2647950"/>
            <wp:effectExtent l="0" t="0" r="0" b="0"/>
            <wp:docPr id="110" name="Picture 48" descr="Dab_CV0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PSA.jpeg"/>
                    <pic:cNvPicPr/>
                  </pic:nvPicPr>
                  <pic:blipFill>
                    <a:blip r:embed="rId9" cstate="print"/>
                    <a:srcRect t="7414"/>
                    <a:stretch>
                      <a:fillRect/>
                    </a:stretch>
                  </pic:blipFill>
                  <pic:spPr>
                    <a:xfrm>
                      <a:off x="0" y="0"/>
                      <a:ext cx="2854173" cy="2645537"/>
                    </a:xfrm>
                    <a:prstGeom prst="rect">
                      <a:avLst/>
                    </a:prstGeom>
                  </pic:spPr>
                </pic:pic>
              </a:graphicData>
            </a:graphic>
          </wp:inline>
        </w:drawing>
      </w:r>
    </w:p>
    <w:p w:rsidR="008D613B" w:rsidRDefault="008D613B" w:rsidP="00436D67"/>
    <w:p w:rsidR="0005390C" w:rsidRDefault="008D613B" w:rsidP="0005390C">
      <w:pPr>
        <w:pStyle w:val="Heading3"/>
      </w:pPr>
      <w:r>
        <w:t>CEACs and CEAFs</w:t>
      </w:r>
    </w:p>
    <w:p w:rsidR="008D613B" w:rsidRDefault="008D613B" w:rsidP="00436D67"/>
    <w:p w:rsidR="00436D67" w:rsidRDefault="00440383" w:rsidP="00023D5D">
      <w:pPr>
        <w:spacing w:line="360" w:lineRule="auto"/>
        <w:jc w:val="both"/>
      </w:pPr>
      <w:r>
        <w:lastRenderedPageBreak/>
        <w:t xml:space="preserve">Figures 3a and 3b show the cost-effectiveness acceptability curves (CEACs) associated with TTE when compared with CHADS2 and CHADS2-VASc respectively. These show that, at the commonly quoted threshold of £20,000 per QALY, TTE has a high probability of being cost effective [Find number] when compared to CHADS2 alone; at this same threshold, however, TTE has only a low probability [find number] of being cost-effective when compared with CHADS2-VASc alone. </w:t>
      </w:r>
    </w:p>
    <w:p w:rsidR="007B765A" w:rsidRPr="00EF4EB9" w:rsidRDefault="007B765A" w:rsidP="007B765A">
      <w:pPr>
        <w:spacing w:line="360" w:lineRule="auto"/>
        <w:ind w:left="1440" w:hanging="1440"/>
        <w:rPr>
          <w:b/>
        </w:rPr>
      </w:pPr>
      <w:r w:rsidRPr="00EF4EB9">
        <w:rPr>
          <w:b/>
        </w:rPr>
        <w:t xml:space="preserve">Figure </w:t>
      </w:r>
      <w:r w:rsidR="00440383">
        <w:rPr>
          <w:b/>
        </w:rPr>
        <w:t>3a</w:t>
      </w:r>
      <w:r w:rsidRPr="00EF4EB9">
        <w:rPr>
          <w:b/>
        </w:rPr>
        <w:t>:</w:t>
      </w:r>
      <w:r w:rsidRPr="00EF4EB9">
        <w:rPr>
          <w:b/>
        </w:rPr>
        <w:tab/>
        <w:t xml:space="preserve">The CEAC for the use of TTE for </w:t>
      </w:r>
      <w:proofErr w:type="spellStart"/>
      <w:r w:rsidRPr="00EF4EB9">
        <w:rPr>
          <w:b/>
        </w:rPr>
        <w:t>dabigatran</w:t>
      </w:r>
      <w:proofErr w:type="spellEnd"/>
      <w:r w:rsidRPr="00EF4EB9">
        <w:rPr>
          <w:b/>
        </w:rPr>
        <w:t xml:space="preserve"> in patients with a CHADS</w:t>
      </w:r>
      <w:r w:rsidRPr="00EF4EB9">
        <w:rPr>
          <w:b/>
          <w:vertAlign w:val="subscript"/>
        </w:rPr>
        <w:t>2</w:t>
      </w:r>
      <w:r w:rsidRPr="00EF4EB9">
        <w:rPr>
          <w:b/>
        </w:rPr>
        <w:t xml:space="preserve"> score of 0</w:t>
      </w:r>
    </w:p>
    <w:p w:rsidR="007B765A" w:rsidRPr="00EF4EB9" w:rsidRDefault="007B765A" w:rsidP="007B765A">
      <w:pPr>
        <w:spacing w:line="360" w:lineRule="auto"/>
      </w:pPr>
      <w:r w:rsidRPr="00EF4EB9">
        <w:rPr>
          <w:noProof/>
          <w:lang w:val="en-GB" w:eastAsia="en-GB" w:bidi="ar-SA"/>
        </w:rPr>
        <w:drawing>
          <wp:inline distT="0" distB="0" distL="0" distR="0">
            <wp:extent cx="3288323" cy="3019425"/>
            <wp:effectExtent l="0" t="0" r="0" b="0"/>
            <wp:docPr id="106" name="Picture 44" descr="Dab_C0_ce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ceac.jpeg"/>
                    <pic:cNvPicPr/>
                  </pic:nvPicPr>
                  <pic:blipFill>
                    <a:blip r:embed="rId10" cstate="print"/>
                    <a:srcRect t="8086"/>
                    <a:stretch>
                      <a:fillRect/>
                    </a:stretch>
                  </pic:blipFill>
                  <pic:spPr>
                    <a:xfrm>
                      <a:off x="0" y="0"/>
                      <a:ext cx="3290809" cy="3021708"/>
                    </a:xfrm>
                    <a:prstGeom prst="rect">
                      <a:avLst/>
                    </a:prstGeom>
                  </pic:spPr>
                </pic:pic>
              </a:graphicData>
            </a:graphic>
          </wp:inline>
        </w:drawing>
      </w:r>
    </w:p>
    <w:p w:rsidR="00D67B2F" w:rsidRPr="00EF4EB9" w:rsidRDefault="00D67B2F" w:rsidP="00D67B2F">
      <w:pPr>
        <w:spacing w:line="360" w:lineRule="auto"/>
        <w:ind w:left="1440" w:hanging="1440"/>
        <w:rPr>
          <w:b/>
        </w:rPr>
      </w:pPr>
      <w:r w:rsidRPr="00EF4EB9">
        <w:rPr>
          <w:b/>
        </w:rPr>
        <w:t xml:space="preserve">Figure </w:t>
      </w:r>
      <w:r>
        <w:rPr>
          <w:b/>
        </w:rPr>
        <w:t>3b</w:t>
      </w:r>
      <w:r w:rsidRPr="00EF4EB9">
        <w:rPr>
          <w:b/>
        </w:rPr>
        <w:t xml:space="preserve">: </w:t>
      </w:r>
      <w:r w:rsidRPr="00EF4EB9">
        <w:rPr>
          <w:b/>
        </w:rPr>
        <w:tab/>
        <w:t xml:space="preserve">The CEAC for the use of TTE for </w:t>
      </w:r>
      <w:proofErr w:type="spellStart"/>
      <w:r w:rsidRPr="00EF4EB9">
        <w:rPr>
          <w:b/>
        </w:rPr>
        <w:t>dabigatran</w:t>
      </w:r>
      <w:proofErr w:type="spellEnd"/>
      <w:r w:rsidRPr="00EF4EB9">
        <w:rPr>
          <w:b/>
        </w:rPr>
        <w:t xml:space="preserve"> in patients with a CHA</w:t>
      </w:r>
      <w:r w:rsidRPr="00EF4EB9">
        <w:rPr>
          <w:b/>
          <w:vertAlign w:val="subscript"/>
        </w:rPr>
        <w:t>2</w:t>
      </w:r>
      <w:r w:rsidRPr="00EF4EB9">
        <w:rPr>
          <w:b/>
        </w:rPr>
        <w:t>DS</w:t>
      </w:r>
      <w:r w:rsidRPr="00EF4EB9">
        <w:rPr>
          <w:b/>
          <w:vertAlign w:val="subscript"/>
        </w:rPr>
        <w:t>2</w:t>
      </w:r>
      <w:r w:rsidRPr="00EF4EB9">
        <w:rPr>
          <w:b/>
        </w:rPr>
        <w:t>-VASc score of 0</w:t>
      </w:r>
    </w:p>
    <w:p w:rsidR="00D67B2F" w:rsidRPr="00EF4EB9" w:rsidRDefault="00D67B2F" w:rsidP="00D67B2F">
      <w:pPr>
        <w:spacing w:line="360" w:lineRule="auto"/>
      </w:pPr>
      <w:r w:rsidRPr="00EF4EB9">
        <w:rPr>
          <w:noProof/>
          <w:lang w:val="en-GB" w:eastAsia="en-GB" w:bidi="ar-SA"/>
        </w:rPr>
        <w:drawing>
          <wp:inline distT="0" distB="0" distL="0" distR="0">
            <wp:extent cx="3286125" cy="3062408"/>
            <wp:effectExtent l="0" t="0" r="0" b="0"/>
            <wp:docPr id="6" name="Picture 49" descr="Dab_CV0_ce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ceac.jpeg"/>
                    <pic:cNvPicPr/>
                  </pic:nvPicPr>
                  <pic:blipFill>
                    <a:blip r:embed="rId11" cstate="print"/>
                    <a:srcRect t="6883"/>
                    <a:stretch>
                      <a:fillRect/>
                    </a:stretch>
                  </pic:blipFill>
                  <pic:spPr>
                    <a:xfrm>
                      <a:off x="0" y="0"/>
                      <a:ext cx="3297307" cy="3072829"/>
                    </a:xfrm>
                    <a:prstGeom prst="rect">
                      <a:avLst/>
                    </a:prstGeom>
                  </pic:spPr>
                </pic:pic>
              </a:graphicData>
            </a:graphic>
          </wp:inline>
        </w:drawing>
      </w:r>
    </w:p>
    <w:p w:rsidR="00D67B2F" w:rsidRPr="00EF4EB9" w:rsidRDefault="00D67B2F" w:rsidP="00023D5D">
      <w:pPr>
        <w:spacing w:line="360" w:lineRule="auto"/>
        <w:jc w:val="both"/>
      </w:pPr>
      <w:r>
        <w:lastRenderedPageBreak/>
        <w:t xml:space="preserve">Figures 4a and 4b shows the cost-effectiveness acceptability frontiers (CEAFs) associated with CHADS2 and CHADS2-VASc respectively. Figure 4a indicates that the comparator strategy (CHADS2 + TTE, shown as a solid line) becomes the optimal strategy, compared with CHADS2 alone (the dashed line) at a wiliness to pay threshold of £5847 or more per QALY gained. Conversely, figure 4b indicates that the comparator strategy (CHADS2-VASc +TTE) has </w:t>
      </w:r>
      <w:r w:rsidRPr="00EF4EB9">
        <w:t>a low likelihood of</w:t>
      </w:r>
      <w:r>
        <w:t xml:space="preserve"> </w:t>
      </w:r>
      <w:r w:rsidRPr="00EF4EB9">
        <w:t>being the optimal decision at threshold of lower than £50,000 per QALY gained</w:t>
      </w:r>
      <w:r>
        <w:t>, compared with CHADS2-VASc alone (the dashed line).</w:t>
      </w:r>
    </w:p>
    <w:p w:rsidR="00D67B2F" w:rsidRPr="00EF4EB9" w:rsidRDefault="00D67B2F" w:rsidP="007B765A">
      <w:pPr>
        <w:spacing w:line="360" w:lineRule="auto"/>
      </w:pPr>
    </w:p>
    <w:p w:rsidR="007B765A" w:rsidRPr="00EF4EB9" w:rsidRDefault="007B765A" w:rsidP="007B765A">
      <w:pPr>
        <w:spacing w:line="360" w:lineRule="auto"/>
        <w:ind w:left="1440" w:hanging="1440"/>
        <w:rPr>
          <w:b/>
        </w:rPr>
      </w:pPr>
      <w:r w:rsidRPr="00EF4EB9">
        <w:rPr>
          <w:b/>
        </w:rPr>
        <w:t xml:space="preserve">Figure </w:t>
      </w:r>
      <w:r w:rsidR="00D67B2F">
        <w:rPr>
          <w:b/>
        </w:rPr>
        <w:t>4a</w:t>
      </w:r>
      <w:r w:rsidRPr="00EF4EB9">
        <w:rPr>
          <w:b/>
        </w:rPr>
        <w:t>:</w:t>
      </w:r>
      <w:r w:rsidRPr="00EF4EB9">
        <w:rPr>
          <w:b/>
        </w:rPr>
        <w:tab/>
        <w:t xml:space="preserve">The CEAF for the use of TTE for </w:t>
      </w:r>
      <w:proofErr w:type="spellStart"/>
      <w:r w:rsidRPr="00EF4EB9">
        <w:rPr>
          <w:b/>
        </w:rPr>
        <w:t>dabigatran</w:t>
      </w:r>
      <w:proofErr w:type="spellEnd"/>
      <w:r w:rsidRPr="00EF4EB9">
        <w:rPr>
          <w:b/>
        </w:rPr>
        <w:t xml:space="preserve"> in patients with a CHADS</w:t>
      </w:r>
      <w:r w:rsidRPr="00EF4EB9">
        <w:rPr>
          <w:b/>
          <w:vertAlign w:val="subscript"/>
        </w:rPr>
        <w:t>2</w:t>
      </w:r>
      <w:r w:rsidRPr="00EF4EB9">
        <w:rPr>
          <w:b/>
        </w:rPr>
        <w:t xml:space="preserve"> score of 0.</w:t>
      </w:r>
    </w:p>
    <w:p w:rsidR="007B765A" w:rsidRPr="00EF4EB9" w:rsidRDefault="007B765A" w:rsidP="007B765A">
      <w:pPr>
        <w:spacing w:line="360" w:lineRule="auto"/>
      </w:pPr>
      <w:r w:rsidRPr="00EF4EB9">
        <w:rPr>
          <w:noProof/>
          <w:lang w:val="en-GB" w:eastAsia="en-GB" w:bidi="ar-SA"/>
        </w:rPr>
        <w:drawing>
          <wp:inline distT="0" distB="0" distL="0" distR="0">
            <wp:extent cx="2832785" cy="2628900"/>
            <wp:effectExtent l="0" t="0" r="0" b="0"/>
            <wp:docPr id="107" name="Picture 45" descr="Dab_C0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ceaf.jpeg"/>
                    <pic:cNvPicPr/>
                  </pic:nvPicPr>
                  <pic:blipFill>
                    <a:blip r:embed="rId12" cstate="print"/>
                    <a:srcRect t="7295"/>
                    <a:stretch>
                      <a:fillRect/>
                    </a:stretch>
                  </pic:blipFill>
                  <pic:spPr>
                    <a:xfrm>
                      <a:off x="0" y="0"/>
                      <a:ext cx="2832276" cy="2628427"/>
                    </a:xfrm>
                    <a:prstGeom prst="rect">
                      <a:avLst/>
                    </a:prstGeom>
                  </pic:spPr>
                </pic:pic>
              </a:graphicData>
            </a:graphic>
          </wp:inline>
        </w:drawing>
      </w:r>
    </w:p>
    <w:p w:rsidR="007B765A" w:rsidRPr="00EF4EB9" w:rsidRDefault="007B765A" w:rsidP="007B765A">
      <w:pPr>
        <w:spacing w:line="360" w:lineRule="auto"/>
        <w:ind w:left="1440" w:hanging="1440"/>
        <w:rPr>
          <w:b/>
        </w:rPr>
      </w:pPr>
      <w:r w:rsidRPr="00EF4EB9">
        <w:rPr>
          <w:b/>
        </w:rPr>
        <w:t xml:space="preserve">Figure </w:t>
      </w:r>
      <w:r w:rsidR="00D67B2F">
        <w:rPr>
          <w:b/>
        </w:rPr>
        <w:t>4b</w:t>
      </w:r>
      <w:r w:rsidRPr="00EF4EB9">
        <w:rPr>
          <w:b/>
        </w:rPr>
        <w:t xml:space="preserve">: </w:t>
      </w:r>
      <w:r w:rsidRPr="00EF4EB9">
        <w:rPr>
          <w:b/>
        </w:rPr>
        <w:tab/>
        <w:t xml:space="preserve">The CEAF for the use of TTE for </w:t>
      </w:r>
      <w:proofErr w:type="spellStart"/>
      <w:r w:rsidRPr="00EF4EB9">
        <w:rPr>
          <w:b/>
        </w:rPr>
        <w:t>dabigatran</w:t>
      </w:r>
      <w:proofErr w:type="spellEnd"/>
      <w:r w:rsidRPr="00EF4EB9">
        <w:rPr>
          <w:b/>
        </w:rPr>
        <w:t xml:space="preserve"> in patients with a CHA</w:t>
      </w:r>
      <w:r w:rsidRPr="00EF4EB9">
        <w:rPr>
          <w:b/>
          <w:vertAlign w:val="subscript"/>
        </w:rPr>
        <w:t>2</w:t>
      </w:r>
      <w:r w:rsidRPr="00EF4EB9">
        <w:rPr>
          <w:b/>
        </w:rPr>
        <w:t>DS</w:t>
      </w:r>
      <w:r w:rsidRPr="00EF4EB9">
        <w:rPr>
          <w:b/>
          <w:vertAlign w:val="subscript"/>
        </w:rPr>
        <w:t>2</w:t>
      </w:r>
      <w:r w:rsidRPr="00EF4EB9">
        <w:rPr>
          <w:b/>
        </w:rPr>
        <w:t>-VASc score of 0</w:t>
      </w:r>
    </w:p>
    <w:p w:rsidR="007B765A" w:rsidRPr="00EF4EB9" w:rsidRDefault="007B765A" w:rsidP="007B765A">
      <w:pPr>
        <w:spacing w:line="360" w:lineRule="auto"/>
      </w:pPr>
      <w:r w:rsidRPr="00EF4EB9">
        <w:rPr>
          <w:noProof/>
          <w:lang w:val="en-GB" w:eastAsia="en-GB" w:bidi="ar-SA"/>
        </w:rPr>
        <w:lastRenderedPageBreak/>
        <w:drawing>
          <wp:inline distT="0" distB="0" distL="0" distR="0">
            <wp:extent cx="3009900" cy="2762507"/>
            <wp:effectExtent l="0" t="0" r="0" b="0"/>
            <wp:docPr id="112" name="Picture 50" descr="Dab_CV0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ceaf.jpeg"/>
                    <pic:cNvPicPr/>
                  </pic:nvPicPr>
                  <pic:blipFill>
                    <a:blip r:embed="rId13" cstate="print"/>
                    <a:srcRect t="8183"/>
                    <a:stretch>
                      <a:fillRect/>
                    </a:stretch>
                  </pic:blipFill>
                  <pic:spPr>
                    <a:xfrm>
                      <a:off x="0" y="0"/>
                      <a:ext cx="3010480" cy="2763039"/>
                    </a:xfrm>
                    <a:prstGeom prst="rect">
                      <a:avLst/>
                    </a:prstGeom>
                  </pic:spPr>
                </pic:pic>
              </a:graphicData>
            </a:graphic>
          </wp:inline>
        </w:drawing>
      </w:r>
    </w:p>
    <w:p w:rsidR="0005390C" w:rsidRDefault="008D613B" w:rsidP="0005390C">
      <w:pPr>
        <w:pStyle w:val="Heading3"/>
      </w:pPr>
      <w:r>
        <w:t>EVPI</w:t>
      </w:r>
    </w:p>
    <w:p w:rsidR="007B765A" w:rsidRPr="00EF4EB9" w:rsidRDefault="00D67B2F" w:rsidP="00023D5D">
      <w:pPr>
        <w:spacing w:line="360" w:lineRule="auto"/>
        <w:jc w:val="both"/>
      </w:pPr>
      <w:r>
        <w:t xml:space="preserve">Figures 5a and 5b show, respectively, </w:t>
      </w:r>
      <w:proofErr w:type="gramStart"/>
      <w:r>
        <w:t>the per</w:t>
      </w:r>
      <w:proofErr w:type="gramEnd"/>
      <w:r>
        <w:t xml:space="preserve"> patient EVPI of TTE compared with CHADS2 alone and CHADS2-VASc alone. </w:t>
      </w:r>
      <w:r w:rsidR="00161B1F" w:rsidRPr="00EF4EB9">
        <w:t>It is seen that there is most uncertainty at maximum acceptable incremental cost effectiveness ratios (MAICERs) close to the value at which TTE becomes cost effective. As the MAICER increases the value of EVPI falls substantially.</w:t>
      </w:r>
      <w:r w:rsidR="00161B1F">
        <w:t xml:space="preserve"> </w:t>
      </w:r>
      <w:r w:rsidR="00161B1F" w:rsidRPr="00EF4EB9">
        <w:t>Assuming that there are 70,000 people who would benefit from no uncertainty in the decision problem</w:t>
      </w:r>
      <w:r w:rsidR="00161B1F">
        <w:t>,</w:t>
      </w:r>
      <w:r w:rsidR="00161B1F" w:rsidRPr="00EF4EB9">
        <w:t xml:space="preserve"> the expected value of perfect information would be in the region of £5 million assuming a MAICER of £20,000 per QALY</w:t>
      </w:r>
      <w:r w:rsidR="00161B1F">
        <w:t xml:space="preserve"> </w:t>
      </w:r>
      <w:r w:rsidR="00161B1F" w:rsidRPr="00EF4EB9">
        <w:t>when using CHADS</w:t>
      </w:r>
      <w:r w:rsidR="00161B1F" w:rsidRPr="00023D5D">
        <w:t>2</w:t>
      </w:r>
      <w:r w:rsidR="00161B1F" w:rsidRPr="00EF4EB9">
        <w:t xml:space="preserve"> </w:t>
      </w:r>
      <w:r w:rsidR="00161B1F">
        <w:t>alone; the equivalent figure for CHADS2-VASc is in the region of £28 million.</w:t>
      </w:r>
    </w:p>
    <w:p w:rsidR="007B765A" w:rsidRPr="00EF4EB9" w:rsidRDefault="00D67B2F" w:rsidP="007B765A">
      <w:pPr>
        <w:spacing w:line="360" w:lineRule="auto"/>
        <w:ind w:left="1440" w:hanging="1440"/>
        <w:rPr>
          <w:b/>
        </w:rPr>
      </w:pPr>
      <w:r>
        <w:rPr>
          <w:b/>
        </w:rPr>
        <w:t>Figure 5a</w:t>
      </w:r>
      <w:r w:rsidR="007B765A" w:rsidRPr="00EF4EB9">
        <w:rPr>
          <w:b/>
        </w:rPr>
        <w:t>:</w:t>
      </w:r>
      <w:r w:rsidR="007B765A" w:rsidRPr="00EF4EB9">
        <w:rPr>
          <w:b/>
        </w:rPr>
        <w:tab/>
        <w:t xml:space="preserve">The estimated per patient EVPI for </w:t>
      </w:r>
      <w:proofErr w:type="spellStart"/>
      <w:r w:rsidR="007B765A" w:rsidRPr="00EF4EB9">
        <w:rPr>
          <w:b/>
        </w:rPr>
        <w:t>dabigatran</w:t>
      </w:r>
      <w:proofErr w:type="spellEnd"/>
      <w:r w:rsidR="007B765A" w:rsidRPr="00EF4EB9">
        <w:rPr>
          <w:b/>
        </w:rPr>
        <w:t xml:space="preserve"> in patients with a CHADS</w:t>
      </w:r>
      <w:r w:rsidR="007B765A" w:rsidRPr="00EF4EB9">
        <w:rPr>
          <w:b/>
          <w:vertAlign w:val="subscript"/>
        </w:rPr>
        <w:t>2</w:t>
      </w:r>
      <w:r w:rsidR="007B765A" w:rsidRPr="00EF4EB9">
        <w:rPr>
          <w:b/>
        </w:rPr>
        <w:t xml:space="preserve"> score of 0.</w:t>
      </w:r>
    </w:p>
    <w:p w:rsidR="007B765A" w:rsidRPr="00EF4EB9" w:rsidRDefault="007B765A" w:rsidP="007B765A">
      <w:pPr>
        <w:spacing w:line="360" w:lineRule="auto"/>
      </w:pPr>
      <w:r w:rsidRPr="00EF4EB9">
        <w:rPr>
          <w:noProof/>
          <w:lang w:val="en-GB" w:eastAsia="en-GB" w:bidi="ar-SA"/>
        </w:rPr>
        <w:lastRenderedPageBreak/>
        <w:drawing>
          <wp:inline distT="0" distB="0" distL="0" distR="0">
            <wp:extent cx="4918710" cy="4572000"/>
            <wp:effectExtent l="19050" t="0" r="0" b="0"/>
            <wp:docPr id="108" name="Picture 46" descr="Dab_C0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evpi.jpeg"/>
                    <pic:cNvPicPr/>
                  </pic:nvPicPr>
                  <pic:blipFill>
                    <a:blip r:embed="rId14" cstate="print"/>
                    <a:srcRect t="6958"/>
                    <a:stretch>
                      <a:fillRect/>
                    </a:stretch>
                  </pic:blipFill>
                  <pic:spPr>
                    <a:xfrm>
                      <a:off x="0" y="0"/>
                      <a:ext cx="4918710" cy="4572000"/>
                    </a:xfrm>
                    <a:prstGeom prst="rect">
                      <a:avLst/>
                    </a:prstGeom>
                  </pic:spPr>
                </pic:pic>
              </a:graphicData>
            </a:graphic>
          </wp:inline>
        </w:drawing>
      </w:r>
    </w:p>
    <w:p w:rsidR="007B765A" w:rsidRPr="00EF4EB9" w:rsidRDefault="007B765A" w:rsidP="007B765A">
      <w:pPr>
        <w:spacing w:line="360" w:lineRule="auto"/>
        <w:ind w:left="1440" w:hanging="1440"/>
        <w:rPr>
          <w:b/>
        </w:rPr>
      </w:pPr>
      <w:r w:rsidRPr="00EF4EB9">
        <w:rPr>
          <w:b/>
        </w:rPr>
        <w:t>Figure</w:t>
      </w:r>
      <w:r w:rsidR="00161B1F">
        <w:rPr>
          <w:b/>
        </w:rPr>
        <w:t>5b</w:t>
      </w:r>
      <w:r w:rsidRPr="00EF4EB9">
        <w:rPr>
          <w:b/>
        </w:rPr>
        <w:t>:</w:t>
      </w:r>
      <w:r w:rsidRPr="00EF4EB9">
        <w:rPr>
          <w:b/>
        </w:rPr>
        <w:tab/>
        <w:t xml:space="preserve">The estimated per patient EVPI for </w:t>
      </w:r>
      <w:proofErr w:type="spellStart"/>
      <w:r w:rsidRPr="00EF4EB9">
        <w:rPr>
          <w:b/>
        </w:rPr>
        <w:t>dabigatran</w:t>
      </w:r>
      <w:proofErr w:type="spellEnd"/>
      <w:r w:rsidRPr="00EF4EB9">
        <w:rPr>
          <w:b/>
        </w:rPr>
        <w:t xml:space="preserve"> in patients with a CHA</w:t>
      </w:r>
      <w:r w:rsidRPr="00EF4EB9">
        <w:rPr>
          <w:b/>
          <w:vertAlign w:val="subscript"/>
        </w:rPr>
        <w:t>2</w:t>
      </w:r>
      <w:r w:rsidRPr="00EF4EB9">
        <w:rPr>
          <w:b/>
        </w:rPr>
        <w:t>DS</w:t>
      </w:r>
      <w:r w:rsidRPr="00EF4EB9">
        <w:rPr>
          <w:b/>
          <w:vertAlign w:val="subscript"/>
        </w:rPr>
        <w:t>2</w:t>
      </w:r>
      <w:r w:rsidRPr="00EF4EB9">
        <w:rPr>
          <w:b/>
        </w:rPr>
        <w:t>-VASc score of 0</w:t>
      </w:r>
    </w:p>
    <w:p w:rsidR="007B765A" w:rsidRPr="00EF4EB9" w:rsidRDefault="007B765A" w:rsidP="007B765A">
      <w:pPr>
        <w:spacing w:line="360" w:lineRule="auto"/>
      </w:pPr>
      <w:r w:rsidRPr="00EF4EB9">
        <w:rPr>
          <w:noProof/>
          <w:lang w:val="en-GB" w:eastAsia="en-GB" w:bidi="ar-SA"/>
        </w:rPr>
        <w:lastRenderedPageBreak/>
        <w:drawing>
          <wp:inline distT="0" distB="0" distL="0" distR="0">
            <wp:extent cx="4568853" cy="4182386"/>
            <wp:effectExtent l="19050" t="0" r="3147" b="0"/>
            <wp:docPr id="4" name="Picture 51" descr="Dab_CV0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evpi.jpeg"/>
                    <pic:cNvPicPr/>
                  </pic:nvPicPr>
                  <pic:blipFill>
                    <a:blip r:embed="rId15" cstate="print"/>
                    <a:srcRect t="8522"/>
                    <a:stretch>
                      <a:fillRect/>
                    </a:stretch>
                  </pic:blipFill>
                  <pic:spPr>
                    <a:xfrm>
                      <a:off x="0" y="0"/>
                      <a:ext cx="4568853" cy="4182386"/>
                    </a:xfrm>
                    <a:prstGeom prst="rect">
                      <a:avLst/>
                    </a:prstGeom>
                  </pic:spPr>
                </pic:pic>
              </a:graphicData>
            </a:graphic>
          </wp:inline>
        </w:drawing>
      </w:r>
    </w:p>
    <w:p w:rsidR="0005390C" w:rsidRDefault="008D613B" w:rsidP="0005390C">
      <w:pPr>
        <w:pStyle w:val="Heading3"/>
      </w:pPr>
      <w:r>
        <w:t>Partial EVPPI</w:t>
      </w:r>
    </w:p>
    <w:p w:rsidR="007B765A" w:rsidRDefault="007B765A" w:rsidP="007B765A">
      <w:pPr>
        <w:pStyle w:val="Heading4"/>
      </w:pPr>
      <w:r>
        <w:t>True HR Proportion</w:t>
      </w:r>
    </w:p>
    <w:p w:rsidR="00161B1F" w:rsidRDefault="007B765A" w:rsidP="00023D5D">
      <w:pPr>
        <w:spacing w:line="360" w:lineRule="auto"/>
        <w:jc w:val="both"/>
      </w:pPr>
      <w:r w:rsidRPr="00EF4EB9">
        <w:t xml:space="preserve">Figure </w:t>
      </w:r>
      <w:r w:rsidR="00161B1F">
        <w:t>6a and 6b indicate the effect that different assumptions about the TPHR within the subgroup of the population with CHADS2 scores of zero and CHADS2-VASc scores of zero, respectively. For CHADS2 (Figure 6a) i</w:t>
      </w:r>
      <w:r w:rsidR="00161B1F" w:rsidRPr="00EF4EB9">
        <w:t>t is seen that at low proportions of patients with LA</w:t>
      </w:r>
      <w:r w:rsidR="00161B1F">
        <w:t xml:space="preserve"> ABN that TTE is cost effective; e</w:t>
      </w:r>
      <w:r w:rsidR="00161B1F" w:rsidRPr="00EF4EB9">
        <w:t>ven at zero percent TTE is cost effective indicating that there is an apparent benefit in treating those with a CHADS</w:t>
      </w:r>
      <w:r w:rsidR="00161B1F" w:rsidRPr="00023D5D">
        <w:t>2</w:t>
      </w:r>
      <w:r w:rsidR="00161B1F" w:rsidRPr="00EF4EB9">
        <w:t xml:space="preserve"> score of zero even when the patient does not have LA ABN.</w:t>
      </w:r>
      <w:r w:rsidR="00161B1F">
        <w:t xml:space="preserve"> Conversely, for CHADS2-VASc (Figure 6b)</w:t>
      </w:r>
      <w:r w:rsidR="00023D5D" w:rsidRPr="00023D5D">
        <w:t xml:space="preserve"> </w:t>
      </w:r>
      <w:r w:rsidR="00023D5D">
        <w:t>i</w:t>
      </w:r>
      <w:r w:rsidR="00023D5D" w:rsidRPr="00EF4EB9">
        <w:t>t is seen that the proportion of patients with LA ABN needs to be close to 12.5% in order for the cost per QALY of TTE to be near £20,000. At present there are very little data on this parameter with 0 of 11 patients with a CHA</w:t>
      </w:r>
      <w:r w:rsidR="00023D5D" w:rsidRPr="00023D5D">
        <w:t>2</w:t>
      </w:r>
      <w:r w:rsidR="00023D5D" w:rsidRPr="00EF4EB9">
        <w:t>DS</w:t>
      </w:r>
      <w:r w:rsidR="00023D5D" w:rsidRPr="00023D5D">
        <w:t>2</w:t>
      </w:r>
      <w:r w:rsidR="00023D5D" w:rsidRPr="00EF4EB9">
        <w:t>-VASc score of 0 having LA ABN.</w:t>
      </w:r>
    </w:p>
    <w:p w:rsidR="007B765A" w:rsidRPr="00EF4EB9" w:rsidRDefault="007B765A" w:rsidP="007B765A">
      <w:pPr>
        <w:spacing w:line="360" w:lineRule="auto"/>
      </w:pPr>
    </w:p>
    <w:p w:rsidR="007B765A" w:rsidRPr="00EF4EB9" w:rsidRDefault="007B765A" w:rsidP="007B765A">
      <w:pPr>
        <w:spacing w:line="360" w:lineRule="auto"/>
        <w:ind w:left="1440" w:hanging="1440"/>
      </w:pPr>
      <w:r w:rsidRPr="00EF4EB9">
        <w:rPr>
          <w:b/>
        </w:rPr>
        <w:t xml:space="preserve">Figure </w:t>
      </w:r>
      <w:r w:rsidR="00161B1F">
        <w:rPr>
          <w:b/>
        </w:rPr>
        <w:t>6a</w:t>
      </w:r>
      <w:r w:rsidRPr="00EF4EB9">
        <w:rPr>
          <w:b/>
        </w:rPr>
        <w:t>:</w:t>
      </w:r>
      <w:r w:rsidRPr="00EF4EB9">
        <w:rPr>
          <w:b/>
        </w:rPr>
        <w:tab/>
        <w:t>The change in the cost per QALY when different assumptions are made regarding the proportion of patients with a CHADS</w:t>
      </w:r>
      <w:r w:rsidRPr="00EF4EB9">
        <w:rPr>
          <w:b/>
          <w:vertAlign w:val="subscript"/>
        </w:rPr>
        <w:t>2</w:t>
      </w:r>
      <w:r w:rsidRPr="00EF4EB9">
        <w:rPr>
          <w:b/>
        </w:rPr>
        <w:t xml:space="preserve"> score of 0 who have LA ABN with </w:t>
      </w:r>
      <w:proofErr w:type="spellStart"/>
      <w:r w:rsidRPr="00EF4EB9">
        <w:rPr>
          <w:b/>
        </w:rPr>
        <w:t>dabigatran</w:t>
      </w:r>
      <w:proofErr w:type="spellEnd"/>
      <w:r w:rsidRPr="00EF4EB9">
        <w:rPr>
          <w:b/>
        </w:rPr>
        <w:t xml:space="preserve"> as OAC.</w:t>
      </w:r>
    </w:p>
    <w:p w:rsidR="007B765A" w:rsidRPr="00EF4EB9" w:rsidRDefault="007B765A" w:rsidP="007B765A">
      <w:pPr>
        <w:spacing w:line="360" w:lineRule="auto"/>
      </w:pPr>
      <w:r w:rsidRPr="00EF4EB9">
        <w:rPr>
          <w:noProof/>
          <w:lang w:val="en-GB" w:eastAsia="en-GB" w:bidi="ar-SA"/>
        </w:rPr>
        <w:lastRenderedPageBreak/>
        <w:drawing>
          <wp:inline distT="0" distB="0" distL="0" distR="0">
            <wp:extent cx="3299791" cy="3069204"/>
            <wp:effectExtent l="19050" t="0" r="0" b="0"/>
            <wp:docPr id="109" name="Picture 9" descr="C:\Users\User\AppData\Local\Temp\HR_Dab_C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HR_Dab_C0.jpe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6988"/>
                    <a:stretch>
                      <a:fillRect/>
                    </a:stretch>
                  </pic:blipFill>
                  <pic:spPr bwMode="auto">
                    <a:xfrm>
                      <a:off x="0" y="0"/>
                      <a:ext cx="3299791" cy="3069204"/>
                    </a:xfrm>
                    <a:prstGeom prst="rect">
                      <a:avLst/>
                    </a:prstGeom>
                    <a:noFill/>
                    <a:ln>
                      <a:noFill/>
                    </a:ln>
                  </pic:spPr>
                </pic:pic>
              </a:graphicData>
            </a:graphic>
          </wp:inline>
        </w:drawing>
      </w:r>
    </w:p>
    <w:p w:rsidR="007B765A" w:rsidRPr="00EF4EB9" w:rsidRDefault="007B765A" w:rsidP="007B765A">
      <w:pPr>
        <w:spacing w:line="360" w:lineRule="auto"/>
      </w:pPr>
      <w:r w:rsidRPr="00EF4EB9">
        <w:t>Figure 20 provides an indication of the change in the cost per QALY when different assumptions are made regarding the proportion of patients with a CHA</w:t>
      </w:r>
      <w:r w:rsidRPr="00EF4EB9">
        <w:rPr>
          <w:vertAlign w:val="subscript"/>
        </w:rPr>
        <w:t>2</w:t>
      </w:r>
      <w:r w:rsidRPr="00EF4EB9">
        <w:t>DS</w:t>
      </w:r>
      <w:r w:rsidRPr="00EF4EB9">
        <w:rPr>
          <w:vertAlign w:val="subscript"/>
        </w:rPr>
        <w:t>2</w:t>
      </w:r>
      <w:r w:rsidRPr="00EF4EB9">
        <w:t>-VASc score of 0 who have LA ABN.</w:t>
      </w:r>
    </w:p>
    <w:p w:rsidR="007B765A" w:rsidRPr="00EF4EB9" w:rsidRDefault="007B765A" w:rsidP="007B765A">
      <w:pPr>
        <w:spacing w:line="360" w:lineRule="auto"/>
        <w:ind w:left="1440" w:hanging="1440"/>
      </w:pPr>
      <w:r w:rsidRPr="00EF4EB9">
        <w:rPr>
          <w:b/>
        </w:rPr>
        <w:t xml:space="preserve">Figure </w:t>
      </w:r>
      <w:r w:rsidR="00161B1F">
        <w:rPr>
          <w:b/>
        </w:rPr>
        <w:t>6b</w:t>
      </w:r>
      <w:r w:rsidRPr="00EF4EB9">
        <w:rPr>
          <w:b/>
        </w:rPr>
        <w:t>:</w:t>
      </w:r>
      <w:r w:rsidRPr="00EF4EB9">
        <w:rPr>
          <w:b/>
        </w:rPr>
        <w:tab/>
        <w:t>The change in the cost per QALY when different assumptions are made regarding the proportion of patients with a CHA2DS</w:t>
      </w:r>
      <w:r w:rsidRPr="00EF4EB9">
        <w:rPr>
          <w:b/>
          <w:vertAlign w:val="subscript"/>
        </w:rPr>
        <w:t>2</w:t>
      </w:r>
      <w:r w:rsidRPr="00EF4EB9">
        <w:rPr>
          <w:b/>
        </w:rPr>
        <w:t xml:space="preserve">-VASc score of 0 who have LA ABN with </w:t>
      </w:r>
      <w:proofErr w:type="spellStart"/>
      <w:r w:rsidRPr="00EF4EB9">
        <w:rPr>
          <w:b/>
        </w:rPr>
        <w:t>dabigatran</w:t>
      </w:r>
      <w:proofErr w:type="spellEnd"/>
      <w:r w:rsidRPr="00EF4EB9">
        <w:rPr>
          <w:b/>
        </w:rPr>
        <w:t xml:space="preserve"> as OAC</w:t>
      </w:r>
    </w:p>
    <w:p w:rsidR="007B765A" w:rsidRPr="00EF4EB9" w:rsidRDefault="007B765A" w:rsidP="007B765A">
      <w:pPr>
        <w:spacing w:line="360" w:lineRule="auto"/>
      </w:pPr>
      <w:r w:rsidRPr="00EF4EB9">
        <w:rPr>
          <w:noProof/>
          <w:lang w:val="en-GB" w:eastAsia="en-GB" w:bidi="ar-SA"/>
        </w:rPr>
        <w:drawing>
          <wp:inline distT="0" distB="0" distL="0" distR="0">
            <wp:extent cx="4468633" cy="3665551"/>
            <wp:effectExtent l="19050" t="0" r="8117" b="0"/>
            <wp:docPr id="114" name="Picture 12" descr="C:\Users\User\AppData\Local\Temp\HR_Dab_CV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HR_Dab_CV0.jpe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8532"/>
                    <a:stretch>
                      <a:fillRect/>
                    </a:stretch>
                  </pic:blipFill>
                  <pic:spPr bwMode="auto">
                    <a:xfrm>
                      <a:off x="0" y="0"/>
                      <a:ext cx="4468633" cy="3665551"/>
                    </a:xfrm>
                    <a:prstGeom prst="rect">
                      <a:avLst/>
                    </a:prstGeom>
                    <a:noFill/>
                    <a:ln>
                      <a:noFill/>
                    </a:ln>
                  </pic:spPr>
                </pic:pic>
              </a:graphicData>
            </a:graphic>
          </wp:inline>
        </w:drawing>
      </w:r>
    </w:p>
    <w:p w:rsidR="007B765A" w:rsidRPr="00EF4EB9" w:rsidRDefault="007B765A" w:rsidP="007B765A">
      <w:pPr>
        <w:spacing w:line="360" w:lineRule="auto"/>
        <w:jc w:val="both"/>
      </w:pPr>
    </w:p>
    <w:p w:rsidR="007B765A" w:rsidRPr="007B765A" w:rsidRDefault="007B765A" w:rsidP="007B765A"/>
    <w:p w:rsidR="007B765A" w:rsidRDefault="007B765A" w:rsidP="007B765A">
      <w:pPr>
        <w:pStyle w:val="Heading4"/>
      </w:pPr>
      <w:r>
        <w:t>Sensitivity and specificity</w:t>
      </w:r>
    </w:p>
    <w:p w:rsidR="00023D5D" w:rsidRPr="00EF4EB9" w:rsidRDefault="00023D5D" w:rsidP="00023D5D">
      <w:pPr>
        <w:spacing w:line="360" w:lineRule="auto"/>
        <w:jc w:val="both"/>
      </w:pPr>
      <w:r>
        <w:t>The estimated expected ICERs also depend to a large extend on the sensitivity and specificity of TTE in identifying TPHR. Tables 6a and 6b show how the expected ICER changes as sensitivity and specificity are varied between zero and one, for CHADS2 and CHADS2-VASc respectively. Table 6a shows that, for CHADS2, b</w:t>
      </w:r>
      <w:r w:rsidRPr="00EF4EB9">
        <w:t>arring a scenario where sensitivity equals 0 and specificity equals 1, which is identical to the non-TTE strategy</w:t>
      </w:r>
      <w:r>
        <w:t xml:space="preserve">, </w:t>
      </w:r>
      <w:r w:rsidRPr="00EF4EB9">
        <w:t>the cost per QALY is always under £20,000.</w:t>
      </w:r>
      <w:r>
        <w:t xml:space="preserve"> Conversely, table 6b shows that, for CHADS2-VASc, </w:t>
      </w:r>
      <w:r w:rsidRPr="00EF4EB9">
        <w:t>the cost per QALY falls below £20,000 only when both sensitivity and specificity are relatively high. Whilst the specificity of TTE is estimated to be high (at approximately 0.95) the specificity is low (at approximately 0.34). The cost per QALY falls between £20,000 and £30,000, a range that may be considered cost effective</w:t>
      </w:r>
      <w:r w:rsidR="000B7214" w:rsidRPr="00EF4EB9">
        <w:fldChar w:fldCharType="begin"/>
      </w:r>
      <w:r w:rsidRPr="00EF4EB9">
        <w:instrText xml:space="preserve"> ADDIN REFMGR.CITE &lt;Refman&gt;&lt;Cite&gt;&lt;Year&gt;2008&lt;/Year&gt;&lt;RecNum&gt;19892&lt;/RecNum&gt;&lt;IDText&gt;Guide to the methods of technology appraisals. &lt;/IDText&gt;&lt;MDL Ref_Type="Journal"&gt;&lt;Ref_Type&gt;Journal&lt;/Ref_Type&gt;&lt;Ref_ID&gt;19892&lt;/Ref_ID&gt;&lt;Title_Primary&gt;&lt;f name="Calibri"&gt;Guide to the methods of technology appraisals. &lt;/f&gt;&lt;/Title_Primary&gt;&lt;Date_Primary&gt;2008&lt;/Date_Primary&gt;&lt;Keywords&gt;Methods&lt;/Keywords&gt;&lt;Reprint&gt;Not in File&lt;/Reprint&gt;&lt;Periodical&gt;NICE&lt;/Periodical&gt;&lt;Web_URL&gt;&lt;f name="Calibri"&gt;&lt;u&gt;http://www.nice.org.uk/media/B52/A7/TAMethodsGuideUpdatedJune2008.pdf&lt;/u&gt;&lt;/f&gt;&lt;/Web_URL&gt;&lt;ZZ_JournalFull&gt;&lt;f name="System"&gt;NICE&lt;/f&gt;&lt;/ZZ_JournalFull&gt;&lt;ZZ_WorkformID&gt;1&lt;/ZZ_WorkformID&gt;&lt;/MDL&gt;&lt;/Cite&gt;&lt;/Refman&gt;</w:instrText>
      </w:r>
      <w:r w:rsidR="000B7214" w:rsidRPr="00EF4EB9">
        <w:fldChar w:fldCharType="separate"/>
      </w:r>
      <w:r w:rsidRPr="00EF4EB9">
        <w:rPr>
          <w:noProof/>
          <w:vertAlign w:val="superscript"/>
        </w:rPr>
        <w:t>158</w:t>
      </w:r>
      <w:r w:rsidR="000B7214" w:rsidRPr="00EF4EB9">
        <w:fldChar w:fldCharType="end"/>
      </w:r>
      <w:r w:rsidRPr="00EF4EB9">
        <w:t xml:space="preserve"> on a small number of occasions.</w:t>
      </w:r>
    </w:p>
    <w:p w:rsidR="007B765A" w:rsidRPr="00EF4EB9" w:rsidRDefault="00023D5D" w:rsidP="007B765A">
      <w:pPr>
        <w:spacing w:line="360" w:lineRule="auto"/>
      </w:pPr>
      <w:r>
        <w:t xml:space="preserve"> </w:t>
      </w:r>
      <w:r w:rsidR="007B765A" w:rsidRPr="00EF4EB9">
        <w:rPr>
          <w:b/>
        </w:rPr>
        <w:t xml:space="preserve">Table </w:t>
      </w:r>
      <w:r>
        <w:rPr>
          <w:b/>
        </w:rPr>
        <w:t>6a</w:t>
      </w:r>
      <w:r w:rsidR="007B765A" w:rsidRPr="00EF4EB9">
        <w:rPr>
          <w:b/>
        </w:rPr>
        <w:t xml:space="preserve"> </w:t>
      </w:r>
      <w:r w:rsidR="007B765A" w:rsidRPr="00EF4EB9">
        <w:rPr>
          <w:b/>
        </w:rPr>
        <w:tab/>
        <w:t>An indication of the change in the cost per QALY when different assumptions are made regarding the sensitivity and specificity of TTE in identifying LA ABN</w:t>
      </w:r>
      <w:proofErr w:type="gramStart"/>
      <w:r w:rsidR="007B765A" w:rsidRPr="00EF4EB9">
        <w:t>.</w:t>
      </w:r>
      <w:ins w:id="41" w:author="user" w:date="2012-02-29T13:17:00Z">
        <w:r w:rsidR="00CF3193">
          <w:t>[</w:t>
        </w:r>
        <w:proofErr w:type="gramEnd"/>
        <w:r w:rsidR="00CF3193">
          <w:t>NICE…</w:t>
        </w:r>
        <w:bookmarkStart w:id="42" w:name="_GoBack"/>
        <w:bookmarkEnd w:id="42"/>
        <w:r w:rsidR="00CF3193">
          <w:t>]</w:t>
        </w:r>
      </w:ins>
    </w:p>
    <w:tbl>
      <w:tblPr>
        <w:tblW w:w="13196" w:type="dxa"/>
        <w:tblInd w:w="-21" w:type="dxa"/>
        <w:tblLook w:val="04A0"/>
      </w:tblPr>
      <w:tblGrid>
        <w:gridCol w:w="836"/>
        <w:gridCol w:w="540"/>
        <w:gridCol w:w="1108"/>
        <w:gridCol w:w="1109"/>
        <w:gridCol w:w="1109"/>
        <w:gridCol w:w="1108"/>
        <w:gridCol w:w="1109"/>
        <w:gridCol w:w="1109"/>
        <w:gridCol w:w="1109"/>
        <w:gridCol w:w="1108"/>
        <w:gridCol w:w="1109"/>
        <w:gridCol w:w="1258"/>
        <w:gridCol w:w="1258"/>
      </w:tblGrid>
      <w:tr w:rsidR="007B765A" w:rsidRPr="00EF4EB9" w:rsidTr="00A974C0">
        <w:trPr>
          <w:gridBefore w:val="2"/>
          <w:wBefore w:w="1000" w:type="dxa"/>
          <w:trHeight w:val="300"/>
        </w:trPr>
        <w:tc>
          <w:tcPr>
            <w:tcW w:w="12196" w:type="dxa"/>
            <w:gridSpan w:val="11"/>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765A" w:rsidRPr="00EF4EB9" w:rsidRDefault="007B765A" w:rsidP="00A974C0">
            <w:pPr>
              <w:jc w:val="center"/>
              <w:rPr>
                <w:b/>
                <w:bCs/>
                <w:color w:val="000000"/>
              </w:rPr>
            </w:pPr>
            <w:r w:rsidRPr="00EF4EB9">
              <w:rPr>
                <w:b/>
                <w:bCs/>
                <w:color w:val="000000"/>
              </w:rPr>
              <w:t>Specificity</w:t>
            </w:r>
          </w:p>
        </w:tc>
      </w:tr>
      <w:tr w:rsidR="007B765A" w:rsidRPr="00EF4EB9" w:rsidTr="00A974C0">
        <w:trPr>
          <w:gridBefore w:val="2"/>
          <w:wBefore w:w="1000" w:type="dxa"/>
          <w:trHeight w:val="300"/>
        </w:trPr>
        <w:tc>
          <w:tcPr>
            <w:tcW w:w="1108" w:type="dxa"/>
            <w:tcBorders>
              <w:top w:val="nil"/>
              <w:left w:val="single" w:sz="4" w:space="0" w:color="auto"/>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0.1</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0.2</w:t>
            </w:r>
          </w:p>
        </w:tc>
        <w:tc>
          <w:tcPr>
            <w:tcW w:w="1108"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0.3</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0.4</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0.5</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0.6</w:t>
            </w:r>
          </w:p>
        </w:tc>
        <w:tc>
          <w:tcPr>
            <w:tcW w:w="1108"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0.7</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0.8</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0.9</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1</w:t>
            </w:r>
          </w:p>
        </w:tc>
      </w:tr>
      <w:tr w:rsidR="007B765A" w:rsidRPr="00EF4EB9" w:rsidTr="00A974C0">
        <w:trPr>
          <w:trHeight w:val="300"/>
        </w:trPr>
        <w:tc>
          <w:tcPr>
            <w:tcW w:w="46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7B765A" w:rsidRPr="00EF4EB9" w:rsidRDefault="007B765A" w:rsidP="00A974C0">
            <w:pPr>
              <w:spacing w:line="360" w:lineRule="auto"/>
              <w:jc w:val="center"/>
              <w:rPr>
                <w:b/>
                <w:bCs/>
                <w:color w:val="000000"/>
              </w:rPr>
            </w:pPr>
            <w:r w:rsidRPr="00EF4EB9">
              <w:rPr>
                <w:b/>
                <w:bCs/>
                <w:color w:val="000000"/>
              </w:rPr>
              <w:t>Sensitivity</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A974C0">
            <w:pPr>
              <w:spacing w:line="360" w:lineRule="auto"/>
              <w:jc w:val="right"/>
              <w:rPr>
                <w:color w:val="000000"/>
              </w:rPr>
            </w:pPr>
            <w:r w:rsidRPr="00EF4EB9">
              <w:rPr>
                <w:color w:val="000000"/>
              </w:rPr>
              <w:t>0</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£13,211 </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£13,236 </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£13,267 </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£13,307 </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£13,360 </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£13,434 </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£13,545 </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£13,730 </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£14,101 </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£15,213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Infinite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spacing w:line="360" w:lineRule="auto"/>
              <w:jc w:val="right"/>
              <w:rPr>
                <w:color w:val="000000"/>
              </w:rPr>
            </w:pPr>
            <w:r w:rsidRPr="00EF4EB9">
              <w:rPr>
                <w:color w:val="000000"/>
              </w:rPr>
              <w:t>0.1</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£12,411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£12,349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£12,273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£12,177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£12,051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£11,878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£11,627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£11,230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£10,507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£8,774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spacing w:line="360" w:lineRule="auto"/>
              <w:jc w:val="right"/>
              <w:rPr>
                <w:color w:val="000000"/>
              </w:rPr>
            </w:pPr>
            <w:r w:rsidRPr="00EF4EB9">
              <w:rPr>
                <w:color w:val="000000"/>
              </w:rPr>
              <w:t>0.2</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£11,673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£11,540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£11,376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£11,171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£10,906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£10,551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£10,050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£9,289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£7,997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£5,317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spacing w:line="360" w:lineRule="auto"/>
              <w:jc w:val="right"/>
              <w:rPr>
                <w:color w:val="000000"/>
              </w:rPr>
            </w:pPr>
            <w:r w:rsidRPr="00EF4EB9">
              <w:rPr>
                <w:color w:val="000000"/>
              </w:rPr>
              <w:t>0.3</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£10,992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£10,798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£10,563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£10,270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£9,897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£9,406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£8,729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£7,738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£6,144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£3,160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spacing w:line="360" w:lineRule="auto"/>
              <w:jc w:val="right"/>
              <w:rPr>
                <w:color w:val="000000"/>
              </w:rPr>
            </w:pPr>
            <w:r w:rsidRPr="00EF4EB9">
              <w:rPr>
                <w:color w:val="000000"/>
              </w:rPr>
              <w:t>0.4</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£10,361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£10,116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£9,821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£9,458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£9,001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£8,408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£7,608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£6,470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£4,720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£1,686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spacing w:line="360" w:lineRule="auto"/>
              <w:jc w:val="right"/>
              <w:rPr>
                <w:color w:val="000000"/>
              </w:rPr>
            </w:pPr>
            <w:r w:rsidRPr="00EF4EB9">
              <w:rPr>
                <w:color w:val="000000"/>
              </w:rPr>
              <w:t>0.5</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£9,775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£9,487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£9,143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£8,723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£8,200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£7,530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£6,644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£5,414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£3,591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£615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spacing w:line="360" w:lineRule="auto"/>
              <w:jc w:val="right"/>
              <w:rPr>
                <w:color w:val="000000"/>
              </w:rPr>
            </w:pPr>
            <w:r w:rsidRPr="00EF4EB9">
              <w:rPr>
                <w:color w:val="000000"/>
              </w:rPr>
              <w:t>0.6</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£9,230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£8,905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£8,519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£8,053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£7,479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£6,753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£5,806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£4,521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£2,675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spacing w:line="360" w:lineRule="auto"/>
              <w:jc w:val="right"/>
              <w:rPr>
                <w:color w:val="000000"/>
              </w:rPr>
            </w:pPr>
            <w:r w:rsidRPr="00EF4EB9">
              <w:rPr>
                <w:color w:val="000000"/>
              </w:rPr>
              <w:t>0.7</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£8,720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£8,365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£7,945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£7,442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£6,827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£6,058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£5,071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£3,756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£1,917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spacing w:line="360" w:lineRule="auto"/>
              <w:jc w:val="right"/>
              <w:rPr>
                <w:color w:val="000000"/>
              </w:rPr>
            </w:pPr>
            <w:r w:rsidRPr="00EF4EB9">
              <w:rPr>
                <w:color w:val="000000"/>
              </w:rPr>
              <w:t>0.8</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£8,243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£7,862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£7,414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£6,880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£6,234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£5,435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£4,421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£3,093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£1,278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w:t>
            </w:r>
            <w:r w:rsidRPr="00EF4EB9">
              <w:rPr>
                <w:color w:val="000000"/>
              </w:rPr>
              <w:lastRenderedPageBreak/>
              <w:t xml:space="preserve">Dominating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lastRenderedPageBreak/>
              <w:t xml:space="preserve"> </w:t>
            </w:r>
            <w:r w:rsidRPr="00EF4EB9">
              <w:rPr>
                <w:color w:val="000000"/>
              </w:rPr>
              <w:lastRenderedPageBreak/>
              <w:t xml:space="preserve">Dominating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spacing w:line="360" w:lineRule="auto"/>
              <w:jc w:val="right"/>
              <w:rPr>
                <w:color w:val="000000"/>
              </w:rPr>
            </w:pPr>
            <w:r w:rsidRPr="00EF4EB9">
              <w:rPr>
                <w:color w:val="000000"/>
              </w:rPr>
              <w:t>0.9</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£7,795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£7,392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£6,921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£6,364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£5,693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£4,872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£3,843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£2,514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£733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spacing w:line="360" w:lineRule="auto"/>
              <w:jc w:val="right"/>
              <w:rPr>
                <w:color w:val="000000"/>
              </w:rPr>
            </w:pPr>
            <w:r w:rsidRPr="00EF4EB9">
              <w:rPr>
                <w:color w:val="000000"/>
              </w:rPr>
              <w:t>1</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£7,375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£6,953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£6,463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£5,887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£5,198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£4,362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£3,324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£2,003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£263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r>
    </w:tbl>
    <w:p w:rsidR="007B765A" w:rsidRPr="00EF4EB9" w:rsidRDefault="007B765A" w:rsidP="007B765A">
      <w:pPr>
        <w:spacing w:line="360" w:lineRule="auto"/>
        <w:jc w:val="both"/>
      </w:pPr>
    </w:p>
    <w:p w:rsidR="008D613B" w:rsidRDefault="008D613B" w:rsidP="00436D67"/>
    <w:p w:rsidR="007B765A" w:rsidRDefault="007B765A" w:rsidP="00436D67"/>
    <w:p w:rsidR="007B765A" w:rsidRPr="00EF4EB9" w:rsidRDefault="007B765A" w:rsidP="007B765A">
      <w:pPr>
        <w:spacing w:line="360" w:lineRule="auto"/>
        <w:rPr>
          <w:b/>
        </w:rPr>
      </w:pPr>
      <w:r w:rsidRPr="00EF4EB9">
        <w:rPr>
          <w:b/>
        </w:rPr>
        <w:t xml:space="preserve">Table </w:t>
      </w:r>
      <w:r w:rsidR="00023D5D">
        <w:rPr>
          <w:b/>
        </w:rPr>
        <w:t>6b</w:t>
      </w:r>
      <w:r w:rsidRPr="00EF4EB9">
        <w:rPr>
          <w:b/>
        </w:rPr>
        <w:t xml:space="preserve"> </w:t>
      </w:r>
      <w:r w:rsidRPr="00EF4EB9">
        <w:rPr>
          <w:b/>
        </w:rPr>
        <w:tab/>
      </w:r>
      <w:proofErr w:type="gramStart"/>
      <w:r w:rsidRPr="00EF4EB9">
        <w:rPr>
          <w:b/>
        </w:rPr>
        <w:t>An</w:t>
      </w:r>
      <w:proofErr w:type="gramEnd"/>
      <w:r w:rsidRPr="00EF4EB9">
        <w:rPr>
          <w:b/>
        </w:rPr>
        <w:t xml:space="preserve"> indication of the change in the cost per QALY when different assumptions are made regarding the sensitivity and specificity of TTE in identifying LA ABN.</w:t>
      </w:r>
    </w:p>
    <w:tbl>
      <w:tblPr>
        <w:tblW w:w="13196" w:type="dxa"/>
        <w:tblInd w:w="-21" w:type="dxa"/>
        <w:tblLook w:val="04A0"/>
      </w:tblPr>
      <w:tblGrid>
        <w:gridCol w:w="739"/>
        <w:gridCol w:w="540"/>
        <w:gridCol w:w="1108"/>
        <w:gridCol w:w="1109"/>
        <w:gridCol w:w="1109"/>
        <w:gridCol w:w="1108"/>
        <w:gridCol w:w="1109"/>
        <w:gridCol w:w="1109"/>
        <w:gridCol w:w="1109"/>
        <w:gridCol w:w="1108"/>
        <w:gridCol w:w="1109"/>
        <w:gridCol w:w="1109"/>
        <w:gridCol w:w="1258"/>
      </w:tblGrid>
      <w:tr w:rsidR="007B765A" w:rsidRPr="00EF4EB9" w:rsidTr="00A974C0">
        <w:trPr>
          <w:gridBefore w:val="2"/>
          <w:wBefore w:w="1000" w:type="dxa"/>
          <w:trHeight w:val="300"/>
        </w:trPr>
        <w:tc>
          <w:tcPr>
            <w:tcW w:w="12196" w:type="dxa"/>
            <w:gridSpan w:val="11"/>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765A" w:rsidRPr="00EF4EB9" w:rsidRDefault="007B765A" w:rsidP="00A974C0">
            <w:pPr>
              <w:jc w:val="center"/>
              <w:rPr>
                <w:b/>
                <w:bCs/>
                <w:color w:val="000000"/>
              </w:rPr>
            </w:pPr>
            <w:r w:rsidRPr="00EF4EB9">
              <w:rPr>
                <w:b/>
                <w:bCs/>
                <w:color w:val="000000"/>
              </w:rPr>
              <w:t>Specificity</w:t>
            </w:r>
          </w:p>
        </w:tc>
      </w:tr>
      <w:tr w:rsidR="007B765A" w:rsidRPr="00EF4EB9" w:rsidTr="00A974C0">
        <w:trPr>
          <w:gridBefore w:val="2"/>
          <w:wBefore w:w="1000" w:type="dxa"/>
          <w:trHeight w:val="300"/>
        </w:trPr>
        <w:tc>
          <w:tcPr>
            <w:tcW w:w="1108" w:type="dxa"/>
            <w:tcBorders>
              <w:top w:val="nil"/>
              <w:left w:val="single" w:sz="4" w:space="0" w:color="auto"/>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0.1</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0.2</w:t>
            </w:r>
          </w:p>
        </w:tc>
        <w:tc>
          <w:tcPr>
            <w:tcW w:w="1108"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0.3</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0.4</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0.5</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0.6</w:t>
            </w:r>
          </w:p>
        </w:tc>
        <w:tc>
          <w:tcPr>
            <w:tcW w:w="1108"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0.7</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0.8</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0.9</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1</w:t>
            </w:r>
          </w:p>
        </w:tc>
      </w:tr>
      <w:tr w:rsidR="007B765A" w:rsidRPr="00EF4EB9" w:rsidTr="00A974C0">
        <w:trPr>
          <w:trHeight w:val="300"/>
        </w:trPr>
        <w:tc>
          <w:tcPr>
            <w:tcW w:w="46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7B765A" w:rsidRPr="00EF4EB9" w:rsidRDefault="007B765A" w:rsidP="00A974C0">
            <w:pPr>
              <w:jc w:val="center"/>
              <w:rPr>
                <w:b/>
                <w:bCs/>
                <w:color w:val="000000"/>
              </w:rPr>
            </w:pPr>
            <w:r w:rsidRPr="00EF4EB9">
              <w:rPr>
                <w:b/>
                <w:bCs/>
                <w:color w:val="000000"/>
              </w:rPr>
              <w:t>Sensitivity</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w:t>
            </w:r>
          </w:p>
        </w:tc>
        <w:tc>
          <w:tcPr>
            <w:tcW w:w="1108"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£125,321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£125,447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£125,605 </w:t>
            </w:r>
          </w:p>
        </w:tc>
        <w:tc>
          <w:tcPr>
            <w:tcW w:w="1108"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£125,809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£126,079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£126,459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£127,028 </w:t>
            </w:r>
          </w:p>
        </w:tc>
        <w:tc>
          <w:tcPr>
            <w:tcW w:w="1108"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£127,976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£129,873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£135,562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A974C0">
            <w:r w:rsidRPr="00EF4EB9">
              <w:t xml:space="preserve"> Infinite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0.1</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£114,248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£113,246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£112,020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£110,484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£108,504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£105,856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£102,131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£96,505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£87,025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£67,669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£6,221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0.2</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£104,895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£103,115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£100,974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£98,348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£95,053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£90,794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£85,076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£76,995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£64,705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£43,758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£35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0.3</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£96,890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£94,569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£91,817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£88,500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£84,426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£79,303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£72,663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£63,717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£51,012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£31,547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0.4</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£89,962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£87,263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£84,102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£80,348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£75,819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£70,247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£63,223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£54,096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£41,754 </w:t>
            </w:r>
          </w:p>
        </w:tc>
        <w:tc>
          <w:tcPr>
            <w:tcW w:w="1109" w:type="dxa"/>
            <w:tcBorders>
              <w:top w:val="nil"/>
              <w:left w:val="nil"/>
              <w:bottom w:val="single" w:sz="4" w:space="0" w:color="auto"/>
              <w:right w:val="single" w:sz="4" w:space="0" w:color="auto"/>
            </w:tcBorders>
            <w:shd w:val="clear" w:color="000000" w:fill="D8D8D8"/>
            <w:noWrap/>
            <w:vAlign w:val="bottom"/>
            <w:hideMark/>
          </w:tcPr>
          <w:p w:rsidR="007B765A" w:rsidRPr="00EF4EB9" w:rsidRDefault="007B765A" w:rsidP="00A974C0">
            <w:pPr>
              <w:rPr>
                <w:color w:val="000000"/>
              </w:rPr>
            </w:pPr>
            <w:r w:rsidRPr="00EF4EB9">
              <w:rPr>
                <w:color w:val="000000"/>
              </w:rPr>
              <w:t xml:space="preserve"> £24,137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0.5</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£83,907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£80,945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£77,513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£73,489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£68,706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£62,927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£55,803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£46,803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£35,077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£19,161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0.6</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£78,569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£75,428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£71,821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£67,638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£62,729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£56,886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£49,816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£41,086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£30,033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£15,589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0.7</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£73,829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£70,568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£66,854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£62,588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£57,636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£51,818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£44,885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£36,483 </w:t>
            </w:r>
          </w:p>
        </w:tc>
        <w:tc>
          <w:tcPr>
            <w:tcW w:w="1109" w:type="dxa"/>
            <w:tcBorders>
              <w:top w:val="nil"/>
              <w:left w:val="nil"/>
              <w:bottom w:val="single" w:sz="4" w:space="0" w:color="auto"/>
              <w:right w:val="single" w:sz="4" w:space="0" w:color="auto"/>
            </w:tcBorders>
            <w:shd w:val="clear" w:color="000000" w:fill="D8D8D8"/>
            <w:noWrap/>
            <w:vAlign w:val="bottom"/>
            <w:hideMark/>
          </w:tcPr>
          <w:p w:rsidR="007B765A" w:rsidRPr="00EF4EB9" w:rsidRDefault="007B765A" w:rsidP="00A974C0">
            <w:pPr>
              <w:rPr>
                <w:color w:val="000000"/>
              </w:rPr>
            </w:pPr>
            <w:r w:rsidRPr="00EF4EB9">
              <w:rPr>
                <w:color w:val="000000"/>
              </w:rPr>
              <w:t xml:space="preserve"> £26,089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£12,901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0.8</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£69,591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£66,254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£62,482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£58,185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£53,244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£47,503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£40,752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£32,697 </w:t>
            </w:r>
          </w:p>
        </w:tc>
        <w:tc>
          <w:tcPr>
            <w:tcW w:w="1109" w:type="dxa"/>
            <w:tcBorders>
              <w:top w:val="nil"/>
              <w:left w:val="nil"/>
              <w:bottom w:val="single" w:sz="4" w:space="0" w:color="auto"/>
              <w:right w:val="single" w:sz="4" w:space="0" w:color="auto"/>
            </w:tcBorders>
            <w:shd w:val="clear" w:color="000000" w:fill="D8D8D8"/>
            <w:noWrap/>
            <w:vAlign w:val="bottom"/>
            <w:hideMark/>
          </w:tcPr>
          <w:p w:rsidR="007B765A" w:rsidRPr="00EF4EB9" w:rsidRDefault="007B765A" w:rsidP="00A974C0">
            <w:pPr>
              <w:rPr>
                <w:color w:val="000000"/>
              </w:rPr>
            </w:pPr>
            <w:r w:rsidRPr="00EF4EB9">
              <w:rPr>
                <w:color w:val="000000"/>
              </w:rPr>
              <w:t xml:space="preserve"> £22,920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£10,804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0.9</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£65,780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£62,400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£58,604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£54,311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£49,418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£43,787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£37,238 </w:t>
            </w:r>
          </w:p>
        </w:tc>
        <w:tc>
          <w:tcPr>
            <w:tcW w:w="1108" w:type="dxa"/>
            <w:tcBorders>
              <w:top w:val="nil"/>
              <w:left w:val="nil"/>
              <w:bottom w:val="single" w:sz="4" w:space="0" w:color="auto"/>
              <w:right w:val="single" w:sz="4" w:space="0" w:color="auto"/>
            </w:tcBorders>
            <w:shd w:val="clear" w:color="000000" w:fill="D8D8D8"/>
            <w:noWrap/>
            <w:vAlign w:val="bottom"/>
            <w:hideMark/>
          </w:tcPr>
          <w:p w:rsidR="007B765A" w:rsidRPr="00EF4EB9" w:rsidRDefault="007B765A" w:rsidP="00A974C0">
            <w:pPr>
              <w:rPr>
                <w:color w:val="000000"/>
              </w:rPr>
            </w:pPr>
            <w:r w:rsidRPr="00EF4EB9">
              <w:rPr>
                <w:color w:val="000000"/>
              </w:rPr>
              <w:t xml:space="preserve"> £29,529 </w:t>
            </w:r>
          </w:p>
        </w:tc>
        <w:tc>
          <w:tcPr>
            <w:tcW w:w="1109" w:type="dxa"/>
            <w:tcBorders>
              <w:top w:val="nil"/>
              <w:left w:val="nil"/>
              <w:bottom w:val="single" w:sz="4" w:space="0" w:color="auto"/>
              <w:right w:val="single" w:sz="4" w:space="0" w:color="auto"/>
            </w:tcBorders>
            <w:shd w:val="clear" w:color="000000" w:fill="D8D8D8"/>
            <w:noWrap/>
            <w:vAlign w:val="bottom"/>
            <w:hideMark/>
          </w:tcPr>
          <w:p w:rsidR="007B765A" w:rsidRPr="00EF4EB9" w:rsidRDefault="007B765A" w:rsidP="00A974C0">
            <w:pPr>
              <w:rPr>
                <w:color w:val="000000"/>
              </w:rPr>
            </w:pPr>
            <w:r w:rsidRPr="00EF4EB9">
              <w:rPr>
                <w:color w:val="000000"/>
              </w:rPr>
              <w:t xml:space="preserve"> £20,319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£9,123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Dominating </w:t>
            </w:r>
          </w:p>
        </w:tc>
      </w:tr>
      <w:tr w:rsidR="007B765A" w:rsidRPr="00EF4EB9" w:rsidTr="00A974C0">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A974C0">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jc w:val="right"/>
              <w:rPr>
                <w:color w:val="000000"/>
              </w:rPr>
            </w:pPr>
            <w:r w:rsidRPr="00EF4EB9">
              <w:rPr>
                <w:color w:val="000000"/>
              </w:rPr>
              <w:t>1</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£62,334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£58,935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£55,141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£50,878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£46,055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£40,552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A974C0">
            <w:pPr>
              <w:rPr>
                <w:color w:val="000000"/>
              </w:rPr>
            </w:pPr>
            <w:r w:rsidRPr="00EF4EB9">
              <w:rPr>
                <w:color w:val="000000"/>
              </w:rPr>
              <w:t xml:space="preserve"> £34,214 </w:t>
            </w:r>
          </w:p>
        </w:tc>
        <w:tc>
          <w:tcPr>
            <w:tcW w:w="1108" w:type="dxa"/>
            <w:tcBorders>
              <w:top w:val="nil"/>
              <w:left w:val="nil"/>
              <w:bottom w:val="single" w:sz="4" w:space="0" w:color="auto"/>
              <w:right w:val="single" w:sz="4" w:space="0" w:color="auto"/>
            </w:tcBorders>
            <w:shd w:val="clear" w:color="000000" w:fill="D8D8D8"/>
            <w:noWrap/>
            <w:vAlign w:val="bottom"/>
            <w:hideMark/>
          </w:tcPr>
          <w:p w:rsidR="007B765A" w:rsidRPr="00EF4EB9" w:rsidRDefault="007B765A" w:rsidP="00A974C0">
            <w:pPr>
              <w:rPr>
                <w:color w:val="000000"/>
              </w:rPr>
            </w:pPr>
            <w:r w:rsidRPr="00EF4EB9">
              <w:rPr>
                <w:color w:val="000000"/>
              </w:rPr>
              <w:t xml:space="preserve"> £26,838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£18,145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£7,746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A974C0">
            <w:pPr>
              <w:rPr>
                <w:color w:val="000000"/>
              </w:rPr>
            </w:pPr>
            <w:r w:rsidRPr="00EF4EB9">
              <w:rPr>
                <w:color w:val="000000"/>
              </w:rPr>
              <w:t xml:space="preserve"> </w:t>
            </w:r>
            <w:r w:rsidRPr="00EF4EB9">
              <w:rPr>
                <w:color w:val="000000"/>
              </w:rPr>
              <w:lastRenderedPageBreak/>
              <w:t xml:space="preserve">Dominating </w:t>
            </w:r>
          </w:p>
        </w:tc>
      </w:tr>
    </w:tbl>
    <w:p w:rsidR="007B765A" w:rsidRDefault="007B765A" w:rsidP="00436D67"/>
    <w:p w:rsidR="0005390C" w:rsidRDefault="008D613B" w:rsidP="0005390C">
      <w:pPr>
        <w:pStyle w:val="Heading3"/>
      </w:pPr>
      <w:r>
        <w:t>Summary</w:t>
      </w:r>
    </w:p>
    <w:p w:rsidR="00436D67" w:rsidRDefault="00023D5D" w:rsidP="00436D67">
      <w:r>
        <w:t>These results indicate that the cost effectiveness of TTE in this context depends on the baseline strategy assumed, with results indicating TTE is cost effective when compared with CHADS2 alone, but not when compared  with CHADS2-VASc alone.</w:t>
      </w:r>
    </w:p>
    <w:p w:rsidR="008D613B" w:rsidRDefault="008D613B" w:rsidP="00436D67"/>
    <w:p w:rsidR="007B765A" w:rsidRPr="00EF4EB9" w:rsidRDefault="007B765A" w:rsidP="007B765A">
      <w:pPr>
        <w:spacing w:line="360" w:lineRule="auto"/>
      </w:pPr>
      <w:r w:rsidRPr="00EF4EB9">
        <w:t xml:space="preserve"> </w:t>
      </w:r>
    </w:p>
    <w:p w:rsidR="00454436" w:rsidRPr="00EF4EB9" w:rsidRDefault="00454436" w:rsidP="00454436">
      <w:pPr>
        <w:spacing w:line="360" w:lineRule="auto"/>
        <w:jc w:val="both"/>
        <w:sectPr w:rsidR="00454436" w:rsidRPr="00EF4EB9" w:rsidSect="00605BB7">
          <w:footerReference w:type="default" r:id="rId18"/>
          <w:pgSz w:w="11906" w:h="16838"/>
          <w:pgMar w:top="1440" w:right="1440" w:bottom="1440" w:left="1440" w:header="708" w:footer="708" w:gutter="0"/>
          <w:cols w:space="708"/>
          <w:docGrid w:linePitch="360"/>
        </w:sectPr>
      </w:pPr>
    </w:p>
    <w:p w:rsidR="0005390C" w:rsidRDefault="0005390C" w:rsidP="0005390C">
      <w:pPr>
        <w:pStyle w:val="Heading2"/>
      </w:pPr>
      <w:r>
        <w:lastRenderedPageBreak/>
        <w:t xml:space="preserve">Discussion: </w:t>
      </w:r>
    </w:p>
    <w:p w:rsidR="0005390C" w:rsidRDefault="0005390C" w:rsidP="0005390C">
      <w:pPr>
        <w:pStyle w:val="Heading3"/>
      </w:pPr>
      <w:r>
        <w:t>Summary of what found</w:t>
      </w:r>
    </w:p>
    <w:p w:rsidR="00E93B06" w:rsidRPr="00EF4EB9" w:rsidRDefault="00407CD7" w:rsidP="00E93B06">
      <w:pPr>
        <w:spacing w:line="360" w:lineRule="auto"/>
        <w:jc w:val="both"/>
      </w:pPr>
      <w:r>
        <w:t>Our model indicates that, w</w:t>
      </w:r>
      <w:r w:rsidR="00E93B06" w:rsidRPr="00EF4EB9">
        <w:t>hen it was assumed that the CHADS</w:t>
      </w:r>
      <w:r w:rsidR="00E93B06" w:rsidRPr="00EF4EB9">
        <w:rPr>
          <w:vertAlign w:val="subscript"/>
        </w:rPr>
        <w:t>2</w:t>
      </w:r>
      <w:r w:rsidR="00E93B06" w:rsidRPr="00EF4EB9">
        <w:t xml:space="preserve"> tool was used, the addition of TTE with the aim of identifying patients with LA ABN was deemed cost effective with the mean cost per QALY below £20,000 for all analyses and a low probability of the cost per QALY being greater than £20,000.</w:t>
      </w:r>
      <w:r>
        <w:t xml:space="preserve"> </w:t>
      </w:r>
      <w:r w:rsidR="00E93B06" w:rsidRPr="00EF4EB9">
        <w:t>Conversely, when the CHA</w:t>
      </w:r>
      <w:r w:rsidR="00E93B06" w:rsidRPr="00EF4EB9">
        <w:rPr>
          <w:vertAlign w:val="subscript"/>
        </w:rPr>
        <w:t>2</w:t>
      </w:r>
      <w:r w:rsidR="00E93B06" w:rsidRPr="00EF4EB9">
        <w:t>DS</w:t>
      </w:r>
      <w:r w:rsidR="00E93B06" w:rsidRPr="00EF4EB9">
        <w:rPr>
          <w:vertAlign w:val="subscript"/>
        </w:rPr>
        <w:t>2</w:t>
      </w:r>
      <w:r w:rsidR="00E93B06" w:rsidRPr="00EF4EB9">
        <w:t>-VASc tool was used, the addition of a TTE was not considered cost effective with the mean cost per QALY being greater than £30,000 for all analyses, and often considerably higher. However, there is considerable uncertainty in this conclusion due to the dearth of data, particularly in the proportion of patients with LA ABN and a CHA</w:t>
      </w:r>
      <w:r w:rsidR="00E93B06" w:rsidRPr="00EF4EB9">
        <w:rPr>
          <w:vertAlign w:val="subscript"/>
        </w:rPr>
        <w:t>2</w:t>
      </w:r>
      <w:r w:rsidR="00E93B06" w:rsidRPr="00EF4EB9">
        <w:t>DS</w:t>
      </w:r>
      <w:r w:rsidR="00E93B06" w:rsidRPr="00EF4EB9">
        <w:rPr>
          <w:vertAlign w:val="subscript"/>
        </w:rPr>
        <w:t>2</w:t>
      </w:r>
      <w:r w:rsidR="00E93B06" w:rsidRPr="00EF4EB9">
        <w:t>-VASc score of 0, as there were only 11 patients with a CHA</w:t>
      </w:r>
      <w:r w:rsidR="00E93B06" w:rsidRPr="00EF4EB9">
        <w:rPr>
          <w:vertAlign w:val="subscript"/>
        </w:rPr>
        <w:t>2</w:t>
      </w:r>
      <w:r w:rsidR="00E93B06" w:rsidRPr="00EF4EB9">
        <w:t>DS</w:t>
      </w:r>
      <w:r w:rsidR="00E93B06" w:rsidRPr="00EF4EB9">
        <w:rPr>
          <w:vertAlign w:val="subscript"/>
        </w:rPr>
        <w:t>2</w:t>
      </w:r>
      <w:r w:rsidR="00E93B06" w:rsidRPr="00EF4EB9">
        <w:t>-VASc of zero.</w:t>
      </w:r>
    </w:p>
    <w:p w:rsidR="0005390C" w:rsidRDefault="0005390C" w:rsidP="0005390C">
      <w:pPr>
        <w:pStyle w:val="Heading3"/>
      </w:pPr>
      <w:r>
        <w:t>Shortcomings</w:t>
      </w:r>
    </w:p>
    <w:p w:rsidR="00E36870" w:rsidRDefault="00407CD7" w:rsidP="00E36870">
      <w:pPr>
        <w:spacing w:line="360" w:lineRule="auto"/>
        <w:jc w:val="both"/>
      </w:pPr>
      <w:r>
        <w:t xml:space="preserve">Our model has a range of shortcomings and limitations. </w:t>
      </w:r>
      <w:r w:rsidR="00E36870" w:rsidRPr="00EF4EB9">
        <w:t>Assumptions have</w:t>
      </w:r>
      <w:r>
        <w:t xml:space="preserve"> been made within the </w:t>
      </w:r>
      <w:proofErr w:type="spellStart"/>
      <w:r>
        <w:t>modelling</w:t>
      </w:r>
      <w:proofErr w:type="spellEnd"/>
      <w:r>
        <w:t>. For example, t</w:t>
      </w:r>
      <w:r w:rsidR="00E36870" w:rsidRPr="00EF4EB9">
        <w:t>he risk of stroke associated with a CHA</w:t>
      </w:r>
      <w:r w:rsidR="00E36870" w:rsidRPr="00EF4EB9">
        <w:rPr>
          <w:vertAlign w:val="subscript"/>
        </w:rPr>
        <w:t>2</w:t>
      </w:r>
      <w:r w:rsidR="00E36870" w:rsidRPr="00EF4EB9">
        <w:t>DS</w:t>
      </w:r>
      <w:r w:rsidR="00E36870" w:rsidRPr="00EF4EB9">
        <w:rPr>
          <w:vertAlign w:val="subscript"/>
        </w:rPr>
        <w:t>2</w:t>
      </w:r>
      <w:r w:rsidR="00E36870" w:rsidRPr="00EF4EB9">
        <w:t>-VASc score was assumed to be equal to that associated with the identical CHADS</w:t>
      </w:r>
      <w:r w:rsidR="00E36870" w:rsidRPr="00EF4EB9">
        <w:rPr>
          <w:vertAlign w:val="subscript"/>
        </w:rPr>
        <w:t>2</w:t>
      </w:r>
      <w:r>
        <w:t xml:space="preserve"> score, which is incorrect </w:t>
      </w:r>
      <w:r w:rsidR="00E36870" w:rsidRPr="00EF4EB9">
        <w:t>as the CHA</w:t>
      </w:r>
      <w:r w:rsidR="00E36870" w:rsidRPr="00EF4EB9">
        <w:rPr>
          <w:vertAlign w:val="subscript"/>
        </w:rPr>
        <w:t>2</w:t>
      </w:r>
      <w:r w:rsidR="00E36870" w:rsidRPr="00EF4EB9">
        <w:t>DS</w:t>
      </w:r>
      <w:r w:rsidR="00E36870" w:rsidRPr="00EF4EB9">
        <w:rPr>
          <w:vertAlign w:val="subscript"/>
        </w:rPr>
        <w:t>2</w:t>
      </w:r>
      <w:r w:rsidR="00E36870" w:rsidRPr="00EF4EB9">
        <w:t>-VASc is incremented by one when the person is 65 years, with the corresponding age for a unit increment in the CHADS</w:t>
      </w:r>
      <w:r w:rsidR="00E36870" w:rsidRPr="00EF4EB9">
        <w:rPr>
          <w:vertAlign w:val="subscript"/>
        </w:rPr>
        <w:t>2</w:t>
      </w:r>
      <w:r w:rsidR="00E36870" w:rsidRPr="00EF4EB9">
        <w:t xml:space="preserve"> score is 75 years.</w:t>
      </w:r>
      <w:r>
        <w:t xml:space="preserve"> </w:t>
      </w:r>
      <w:r w:rsidR="00E36870" w:rsidRPr="00EF4EB9">
        <w:t xml:space="preserve">The dose of </w:t>
      </w:r>
      <w:proofErr w:type="spellStart"/>
      <w:r w:rsidR="00E36870" w:rsidRPr="00EF4EB9">
        <w:t>dabigatran</w:t>
      </w:r>
      <w:proofErr w:type="spellEnd"/>
      <w:r w:rsidR="00E36870" w:rsidRPr="00EF4EB9">
        <w:t xml:space="preserve"> was set at 150mg twice daily, rather than allowing some patients to receive a lower dose of 110mg twice </w:t>
      </w:r>
      <w:r>
        <w:t>daily; t</w:t>
      </w:r>
      <w:r w:rsidR="00E36870" w:rsidRPr="00EF4EB9">
        <w:t>he model could be adapted to reduce the dose when a p</w:t>
      </w:r>
      <w:r>
        <w:t xml:space="preserve">atient reaches a specified age. </w:t>
      </w:r>
      <w:r w:rsidR="00E36870" w:rsidRPr="00EF4EB9">
        <w:t xml:space="preserve">The stroke risk associated with patients with left </w:t>
      </w:r>
      <w:proofErr w:type="spellStart"/>
      <w:r w:rsidR="00E36870" w:rsidRPr="00EF4EB9">
        <w:t>atrial</w:t>
      </w:r>
      <w:proofErr w:type="spellEnd"/>
      <w:r w:rsidR="00E36870" w:rsidRPr="00EF4EB9">
        <w:t xml:space="preserve"> abnormalities is assumed to be constant at 8.0% (</w:t>
      </w:r>
      <w:r>
        <w:t>95% CI: 7.26 – 8.31) per year; i</w:t>
      </w:r>
      <w:r w:rsidR="00E36870" w:rsidRPr="00EF4EB9">
        <w:t>deally differential rates by age or by the number (and type) of abnormalities would be used but these data were not identified.</w:t>
      </w:r>
    </w:p>
    <w:p w:rsidR="00E36870" w:rsidRPr="00EF4EB9" w:rsidRDefault="00407CD7" w:rsidP="00B24433">
      <w:pPr>
        <w:spacing w:line="360" w:lineRule="auto"/>
        <w:jc w:val="both"/>
      </w:pPr>
      <w:r>
        <w:t xml:space="preserve">Perhaps a stronger assumption made in producing the model is that TOE is a perfect gold standard against which the sensitivity and specificity of TTE should be derived. Using this assumption, TTE was estimated to have a very high sensitivity but a specificity of only around 35%. Within our model, this low specificity corresponds to an increased proportion of ‘false positives’ being included in the patient population mix, and so TTE results in more people effectively experiencing increased risks of OACs in terms of bleed risks without corresponding increased benefits in terms of stroke risk reduction. </w:t>
      </w:r>
      <w:r w:rsidR="00B24433">
        <w:t xml:space="preserve">If TTE were found to be superior to TOE at identifying certain types of LA ABN which expose patients to increased stroke risks, then this modeling assumption may be inaccurate. </w:t>
      </w:r>
      <w:r>
        <w:t xml:space="preserve"> </w:t>
      </w:r>
      <w:r w:rsidR="00B24433">
        <w:t>The key data on which this economic evaluation is based – sensitivity, specificity, and TPHR – is</w:t>
      </w:r>
      <w:r w:rsidR="00E36870" w:rsidRPr="00EF4EB9">
        <w:t xml:space="preserve"> a relatively small study, of fewer than 400 patients, and in the group of interest, those patients who would be given a CHADS</w:t>
      </w:r>
      <w:r w:rsidR="00E36870" w:rsidRPr="00EF4EB9">
        <w:rPr>
          <w:vertAlign w:val="subscript"/>
        </w:rPr>
        <w:t>2</w:t>
      </w:r>
      <w:r w:rsidR="00E36870" w:rsidRPr="00EF4EB9">
        <w:t xml:space="preserve"> or CHA</w:t>
      </w:r>
      <w:r w:rsidR="00E36870" w:rsidRPr="00EF4EB9">
        <w:rPr>
          <w:vertAlign w:val="subscript"/>
        </w:rPr>
        <w:t>2</w:t>
      </w:r>
      <w:r w:rsidR="00E36870" w:rsidRPr="00EF4EB9">
        <w:t>DS</w:t>
      </w:r>
      <w:r w:rsidR="00E36870" w:rsidRPr="00EF4EB9">
        <w:rPr>
          <w:vertAlign w:val="subscript"/>
        </w:rPr>
        <w:t>2</w:t>
      </w:r>
      <w:r w:rsidR="00E36870" w:rsidRPr="00EF4EB9">
        <w:t>-VASc score of 0, fewer than 25 patients, and fewer than 80 patients with a CHADS</w:t>
      </w:r>
      <w:r w:rsidR="00E36870" w:rsidRPr="00EF4EB9">
        <w:rPr>
          <w:vertAlign w:val="subscript"/>
        </w:rPr>
        <w:t>2</w:t>
      </w:r>
      <w:r w:rsidR="00E36870" w:rsidRPr="00EF4EB9">
        <w:t xml:space="preserve"> or CHA</w:t>
      </w:r>
      <w:r w:rsidR="00E36870" w:rsidRPr="00EF4EB9">
        <w:rPr>
          <w:vertAlign w:val="subscript"/>
        </w:rPr>
        <w:t>2</w:t>
      </w:r>
      <w:r w:rsidR="00E36870" w:rsidRPr="00EF4EB9">
        <w:t>DS</w:t>
      </w:r>
      <w:r w:rsidR="00E36870" w:rsidRPr="00EF4EB9">
        <w:rPr>
          <w:vertAlign w:val="subscript"/>
        </w:rPr>
        <w:t>2</w:t>
      </w:r>
      <w:r w:rsidR="00E36870" w:rsidRPr="00EF4EB9">
        <w:t xml:space="preserve">-VASc score of 1. This has made the assessment of the benefits of </w:t>
      </w:r>
      <w:r w:rsidR="00E36870" w:rsidRPr="00EF4EB9">
        <w:lastRenderedPageBreak/>
        <w:t>TTE uncertain, particularly in addition to the use of CHA</w:t>
      </w:r>
      <w:r w:rsidR="00E36870" w:rsidRPr="002857F0">
        <w:t>2</w:t>
      </w:r>
      <w:r w:rsidR="00E36870" w:rsidRPr="00EF4EB9">
        <w:t>DS</w:t>
      </w:r>
      <w:r w:rsidR="00E36870" w:rsidRPr="002857F0">
        <w:t>2</w:t>
      </w:r>
      <w:r w:rsidR="00E36870" w:rsidRPr="00EF4EB9">
        <w:t>-VASc, which had the fewer number of patients.</w:t>
      </w:r>
    </w:p>
    <w:p w:rsidR="00E36870" w:rsidRDefault="00B24433" w:rsidP="002857F0">
      <w:pPr>
        <w:spacing w:line="360" w:lineRule="auto"/>
        <w:jc w:val="both"/>
      </w:pPr>
      <w:r>
        <w:t xml:space="preserve">Other limitations include that there were </w:t>
      </w:r>
      <w:r w:rsidR="00E36870" w:rsidRPr="00EF4EB9">
        <w:t>no data relating the risk of stroke with CHA</w:t>
      </w:r>
      <w:r w:rsidR="00E36870" w:rsidRPr="002857F0">
        <w:t>2</w:t>
      </w:r>
      <w:r w:rsidR="00E36870" w:rsidRPr="00EF4EB9">
        <w:t>DS</w:t>
      </w:r>
      <w:r w:rsidR="00E36870" w:rsidRPr="002857F0">
        <w:t>2</w:t>
      </w:r>
      <w:r w:rsidR="00E36870" w:rsidRPr="00EF4EB9">
        <w:t>-VASc score, and this was approximated using the risk of stroke associated with CHADS</w:t>
      </w:r>
      <w:r w:rsidR="00E36870" w:rsidRPr="002857F0">
        <w:t>2</w:t>
      </w:r>
      <w:r>
        <w:t xml:space="preserve"> score; that t</w:t>
      </w:r>
      <w:r w:rsidR="00E36870" w:rsidRPr="00EF4EB9">
        <w:t xml:space="preserve">he risk of death unrelated to bleeding or stroke events was taken from </w:t>
      </w:r>
      <w:proofErr w:type="spellStart"/>
      <w:r w:rsidR="00E36870" w:rsidRPr="00EF4EB9">
        <w:t>lifetables</w:t>
      </w:r>
      <w:proofErr w:type="spellEnd"/>
      <w:r w:rsidR="00E36870" w:rsidRPr="00EF4EB9">
        <w:t xml:space="preserve"> and were not adjusted for the probability of bleeding or stroke mortality</w:t>
      </w:r>
      <w:r>
        <w:t>; and that t</w:t>
      </w:r>
      <w:r w:rsidR="00E36870" w:rsidRPr="00EF4EB9">
        <w:t xml:space="preserve">he patient groups </w:t>
      </w:r>
      <w:proofErr w:type="spellStart"/>
      <w:r w:rsidR="00E36870" w:rsidRPr="00EF4EB9">
        <w:t>analysed</w:t>
      </w:r>
      <w:proofErr w:type="spellEnd"/>
      <w:r w:rsidR="00E36870" w:rsidRPr="00EF4EB9">
        <w:t xml:space="preserve"> within the model was limited, being males aged 60 with a CHADS</w:t>
      </w:r>
      <w:r w:rsidR="00E36870" w:rsidRPr="002857F0">
        <w:t>2</w:t>
      </w:r>
      <w:r w:rsidR="00E36870" w:rsidRPr="00EF4EB9">
        <w:t xml:space="preserve"> or CHA</w:t>
      </w:r>
      <w:r w:rsidR="00E36870" w:rsidRPr="002857F0">
        <w:t>2</w:t>
      </w:r>
      <w:r w:rsidR="00E36870" w:rsidRPr="00EF4EB9">
        <w:t>DS</w:t>
      </w:r>
      <w:r w:rsidR="00E36870" w:rsidRPr="002857F0">
        <w:t>2</w:t>
      </w:r>
      <w:r w:rsidR="00E36870" w:rsidRPr="00EF4EB9">
        <w:t>-VASc score of 0 or 1.</w:t>
      </w:r>
    </w:p>
    <w:p w:rsidR="0005390C" w:rsidRDefault="0005390C" w:rsidP="0005390C">
      <w:pPr>
        <w:pStyle w:val="Heading3"/>
      </w:pPr>
      <w:r>
        <w:t>How relates to other findings</w:t>
      </w:r>
    </w:p>
    <w:p w:rsidR="00E93B06" w:rsidRDefault="00B24433" w:rsidP="00B24433">
      <w:pPr>
        <w:spacing w:after="120" w:line="360" w:lineRule="auto"/>
        <w:jc w:val="both"/>
      </w:pPr>
      <w:r>
        <w:t xml:space="preserve">Prior to producing this model, a systematic literature review was conducted </w:t>
      </w:r>
      <w:r w:rsidRPr="00EF4EB9">
        <w:t xml:space="preserve">to identify, </w:t>
      </w:r>
      <w:proofErr w:type="spellStart"/>
      <w:r w:rsidRPr="00EF4EB9">
        <w:t>summarise</w:t>
      </w:r>
      <w:proofErr w:type="spellEnd"/>
      <w:r w:rsidRPr="00EF4EB9">
        <w:t xml:space="preserve"> and appraise existing economic studies for evaluating the cost-effectiveness of TTE in patients with AF.</w:t>
      </w:r>
      <w:r>
        <w:t xml:space="preserve"> This review i</w:t>
      </w:r>
      <w:r w:rsidR="00E36870" w:rsidRPr="00EF4EB9">
        <w:t>dentified no economic evaluations of TTE in AF patients</w:t>
      </w:r>
      <w:r>
        <w:t>,</w:t>
      </w:r>
      <w:r w:rsidR="00E36870" w:rsidRPr="00EF4EB9">
        <w:t xml:space="preserve"> so it is believed that this is the first.  </w:t>
      </w:r>
    </w:p>
    <w:p w:rsidR="0005390C" w:rsidRDefault="0005390C" w:rsidP="0005390C">
      <w:pPr>
        <w:pStyle w:val="Heading3"/>
      </w:pPr>
      <w:r>
        <w:t>Implications for Research</w:t>
      </w:r>
    </w:p>
    <w:p w:rsidR="00E36870" w:rsidRDefault="00CB6661" w:rsidP="002857F0">
      <w:pPr>
        <w:spacing w:line="360" w:lineRule="auto"/>
        <w:jc w:val="both"/>
      </w:pPr>
      <w:r>
        <w:t xml:space="preserve">Sensitivity analyses of our model results indicate that our estimates are significantly affected by uncertainty in our knowledge about the sensitivity and specificity of TTE in this context, as well as the proportion of </w:t>
      </w:r>
      <w:r w:rsidR="002857F0">
        <w:t>patients with LA ABN whom CHADS2 and CHADS2-VASc identify as low risk. However, our results also indicate that whether there is significant value in conducting this research depends on whether a reduction in our uncertainty about parameters will lead to a substantial reduction in decision uncertainty. When CHADS2 alone is used as the baseline strategy, the MAICER at which the +TTE strategy becomes cost effective is significantly below the £20,000 threshold; when CHADS2-VASc alone is the baseline strategy the MAICER at which the +TTE strategy becomes cost effective is significantly above the £20,000 threshold. In this sense our estimates suggest reductions in parameter uncertainty may not lead to large reductions in decision uncertainty. However, our model depends strongly on data reported in a single, relatively small study conducted outside of the UK, and so may under-represent the true level of uncertainty we have about sensitivity, specificity and TPHR.</w:t>
      </w:r>
      <w:r w:rsidR="00E36870" w:rsidRPr="00EF4EB9">
        <w:t xml:space="preserve"> These </w:t>
      </w:r>
      <w:r w:rsidR="002857F0">
        <w:t>parameters</w:t>
      </w:r>
      <w:r w:rsidR="00E36870" w:rsidRPr="00EF4EB9">
        <w:t xml:space="preserve"> have been shown to markedly affect the cost per QALY and there are few data available. In obtaining such data more accurate estimates of the sensitivity and specificity of TTE in identifying LA ABN should be collected.</w:t>
      </w:r>
      <w:r w:rsidR="002857F0">
        <w:t xml:space="preserve"> </w:t>
      </w:r>
      <w:r w:rsidR="00E36870" w:rsidRPr="00EF4EB9">
        <w:t>The risks of stroke associated with each CHA</w:t>
      </w:r>
      <w:r w:rsidR="00E36870" w:rsidRPr="002857F0">
        <w:t>2</w:t>
      </w:r>
      <w:r w:rsidR="00E36870" w:rsidRPr="00EF4EB9">
        <w:t>DS</w:t>
      </w:r>
      <w:r w:rsidR="00E36870" w:rsidRPr="002857F0">
        <w:t>2</w:t>
      </w:r>
      <w:r w:rsidR="00E36870" w:rsidRPr="00EF4EB9">
        <w:t>-VASc score also needs to be determined, at present no values have been identified, which may limit the uptake of the CHA</w:t>
      </w:r>
      <w:r w:rsidR="00E36870" w:rsidRPr="002857F0">
        <w:t>2</w:t>
      </w:r>
      <w:r w:rsidR="00E36870" w:rsidRPr="00EF4EB9">
        <w:t>DS</w:t>
      </w:r>
      <w:r w:rsidR="00E36870" w:rsidRPr="002857F0">
        <w:t>2</w:t>
      </w:r>
      <w:r w:rsidR="00E36870" w:rsidRPr="00EF4EB9">
        <w:t>-VASc tool compared with the CHADS</w:t>
      </w:r>
      <w:r w:rsidR="00E36870" w:rsidRPr="002857F0">
        <w:t>2</w:t>
      </w:r>
      <w:r w:rsidR="00E36870" w:rsidRPr="00EF4EB9">
        <w:t xml:space="preserve"> tool.</w:t>
      </w:r>
      <w:r w:rsidR="002857F0">
        <w:t xml:space="preserve"> </w:t>
      </w:r>
      <w:r w:rsidR="00E36870" w:rsidRPr="00EF4EB9">
        <w:t>Any additional benefit of TTE further to those associated with treatment for stroke prevention also needs to be researched. Even small gains would equate to TTE being perceived as cost effective.</w:t>
      </w:r>
    </w:p>
    <w:p w:rsidR="00B325C3" w:rsidRPr="00EF4EB9" w:rsidRDefault="00B325C3" w:rsidP="002857F0">
      <w:pPr>
        <w:spacing w:line="360" w:lineRule="auto"/>
        <w:jc w:val="both"/>
      </w:pPr>
    </w:p>
    <w:p w:rsidR="00E36870" w:rsidRDefault="00E36870" w:rsidP="00E36870"/>
    <w:p w:rsidR="0005390C" w:rsidRDefault="0005390C" w:rsidP="0005390C">
      <w:pPr>
        <w:pStyle w:val="Heading3"/>
      </w:pPr>
      <w:r>
        <w:t>Implications for clinical practice</w:t>
      </w:r>
    </w:p>
    <w:p w:rsidR="00155DF4" w:rsidRDefault="00155DF4" w:rsidP="00EB5B27">
      <w:pPr>
        <w:pStyle w:val="Header"/>
        <w:spacing w:before="60" w:after="60" w:line="360" w:lineRule="auto"/>
        <w:rPr>
          <w:sz w:val="22"/>
          <w:szCs w:val="22"/>
        </w:rPr>
      </w:pPr>
      <w:r>
        <w:rPr>
          <w:sz w:val="22"/>
          <w:szCs w:val="22"/>
        </w:rPr>
        <w:t>[Unclear… need to think about a bit more before writing.]</w:t>
      </w:r>
    </w:p>
    <w:p w:rsidR="00155DF4" w:rsidRPr="00EF4EB9" w:rsidRDefault="00155DF4" w:rsidP="00155DF4">
      <w:pPr>
        <w:pStyle w:val="Header"/>
        <w:tabs>
          <w:tab w:val="clear" w:pos="4153"/>
          <w:tab w:val="clear" w:pos="8306"/>
        </w:tabs>
        <w:spacing w:before="180" w:line="360" w:lineRule="auto"/>
        <w:rPr>
          <w:sz w:val="22"/>
          <w:szCs w:val="22"/>
        </w:rPr>
      </w:pPr>
      <w:r w:rsidRPr="00EF4EB9">
        <w:rPr>
          <w:sz w:val="22"/>
          <w:szCs w:val="22"/>
        </w:rPr>
        <w:t>The assessment of newly diagnosed patients with AF with a TTE is unlikely to cause a significant impact to either the NHS or other parties. TTEs are relatively easily available as well as both safe and non-invasive for patients, with staff trained in their use likely to be already available in hospitals.</w:t>
      </w:r>
    </w:p>
    <w:p w:rsidR="00155DF4" w:rsidRDefault="00155DF4" w:rsidP="00155DF4">
      <w:pPr>
        <w:pStyle w:val="Header"/>
        <w:tabs>
          <w:tab w:val="clear" w:pos="4153"/>
          <w:tab w:val="clear" w:pos="8306"/>
        </w:tabs>
        <w:spacing w:before="180" w:line="360" w:lineRule="auto"/>
        <w:rPr>
          <w:sz w:val="22"/>
          <w:szCs w:val="22"/>
        </w:rPr>
      </w:pPr>
      <w:r w:rsidRPr="00EF4EB9">
        <w:rPr>
          <w:sz w:val="22"/>
          <w:szCs w:val="22"/>
        </w:rPr>
        <w:t>The additional resources required are relatively small, at an estimated £66 per TTE performed.  It is likely that additional bed days are made available due to the reduction in stroke following appropriate management, although there is likely to be an increase in bleed related admissions.</w:t>
      </w:r>
    </w:p>
    <w:p w:rsidR="00EB5B27" w:rsidRDefault="00EB5B27" w:rsidP="00EB5B27">
      <w:pPr>
        <w:pStyle w:val="Header"/>
        <w:spacing w:before="60" w:after="60" w:line="360" w:lineRule="auto"/>
        <w:rPr>
          <w:sz w:val="22"/>
          <w:szCs w:val="22"/>
        </w:rPr>
      </w:pPr>
      <w:r w:rsidRPr="00EF4EB9">
        <w:rPr>
          <w:sz w:val="22"/>
          <w:szCs w:val="22"/>
        </w:rPr>
        <w:t>Our conclusions have little implications for service provision. Should TTE be recommended for those patients with CHADS</w:t>
      </w:r>
      <w:r w:rsidRPr="00EF4EB9">
        <w:rPr>
          <w:sz w:val="22"/>
          <w:szCs w:val="22"/>
          <w:vertAlign w:val="subscript"/>
        </w:rPr>
        <w:t>2</w:t>
      </w:r>
      <w:r w:rsidRPr="00EF4EB9">
        <w:rPr>
          <w:sz w:val="22"/>
          <w:szCs w:val="22"/>
        </w:rPr>
        <w:t xml:space="preserve"> or CHA</w:t>
      </w:r>
      <w:r w:rsidRPr="00EF4EB9">
        <w:rPr>
          <w:sz w:val="22"/>
          <w:szCs w:val="22"/>
          <w:vertAlign w:val="subscript"/>
        </w:rPr>
        <w:t>2</w:t>
      </w:r>
      <w:r w:rsidRPr="00EF4EB9">
        <w:rPr>
          <w:sz w:val="22"/>
          <w:szCs w:val="22"/>
        </w:rPr>
        <w:t>DS</w:t>
      </w:r>
      <w:r w:rsidRPr="00EF4EB9">
        <w:rPr>
          <w:sz w:val="22"/>
          <w:szCs w:val="22"/>
          <w:vertAlign w:val="subscript"/>
        </w:rPr>
        <w:t>2</w:t>
      </w:r>
      <w:r w:rsidRPr="00EF4EB9">
        <w:rPr>
          <w:sz w:val="22"/>
          <w:szCs w:val="22"/>
        </w:rPr>
        <w:t xml:space="preserve">-VASc scores of 0 or 1, this is unlikely to place a great burden on hospitals </w:t>
      </w:r>
      <w:proofErr w:type="gramStart"/>
      <w:r w:rsidRPr="00EF4EB9">
        <w:rPr>
          <w:sz w:val="22"/>
          <w:szCs w:val="22"/>
        </w:rPr>
        <w:t>who</w:t>
      </w:r>
      <w:proofErr w:type="gramEnd"/>
      <w:r w:rsidRPr="00EF4EB9">
        <w:rPr>
          <w:sz w:val="22"/>
          <w:szCs w:val="22"/>
        </w:rPr>
        <w:t xml:space="preserve"> are likely to have staff trained in the use of TTE machines.</w:t>
      </w:r>
    </w:p>
    <w:p w:rsidR="00EB5B27" w:rsidRDefault="00EB5B27" w:rsidP="00EB5B27">
      <w:pPr>
        <w:pStyle w:val="Header"/>
        <w:spacing w:before="60" w:after="60" w:line="360" w:lineRule="auto"/>
        <w:rPr>
          <w:sz w:val="22"/>
          <w:szCs w:val="22"/>
        </w:rPr>
      </w:pPr>
      <w:r w:rsidRPr="00EF4EB9">
        <w:rPr>
          <w:sz w:val="22"/>
          <w:szCs w:val="22"/>
        </w:rPr>
        <w:t xml:space="preserve">A key uncertainty is whether there are other benefits that are accrued from a TTE other than identifying LA ABN. If these exist, and produce even small QALY gains (&gt; 0.0033) then TTE would be cost effective in all scenarios. </w:t>
      </w:r>
    </w:p>
    <w:p w:rsidR="00E93B06" w:rsidRDefault="00E93B06" w:rsidP="00E93B06">
      <w:pPr>
        <w:pStyle w:val="Header"/>
        <w:spacing w:before="180" w:line="360" w:lineRule="auto"/>
        <w:rPr>
          <w:sz w:val="22"/>
          <w:szCs w:val="22"/>
        </w:rPr>
      </w:pPr>
      <w:r w:rsidRPr="00EF4EB9">
        <w:rPr>
          <w:sz w:val="22"/>
          <w:szCs w:val="22"/>
        </w:rPr>
        <w:t>As TTE is relatively easily available and is a safe and non-invasive diagnostic, no other relevant factors were identified.</w:t>
      </w:r>
    </w:p>
    <w:p w:rsidR="00155DF4" w:rsidRDefault="00155DF4" w:rsidP="00155DF4">
      <w:pPr>
        <w:pStyle w:val="Heading3"/>
      </w:pPr>
      <w:r>
        <w:t>Final paragraph</w:t>
      </w:r>
    </w:p>
    <w:p w:rsidR="00155DF4" w:rsidRDefault="00155DF4" w:rsidP="00EB5B27">
      <w:pPr>
        <w:pStyle w:val="Header"/>
        <w:spacing w:before="60" w:after="60" w:line="360" w:lineRule="auto"/>
        <w:rPr>
          <w:sz w:val="22"/>
          <w:szCs w:val="22"/>
        </w:rPr>
      </w:pPr>
      <w:r>
        <w:rPr>
          <w:sz w:val="22"/>
          <w:szCs w:val="22"/>
        </w:rPr>
        <w:t>[Also to think about and discuss before writing]</w:t>
      </w:r>
    </w:p>
    <w:p w:rsidR="00155DF4" w:rsidRDefault="00155DF4" w:rsidP="00EB5B27">
      <w:pPr>
        <w:pStyle w:val="Header"/>
        <w:spacing w:before="60" w:after="60" w:line="360" w:lineRule="auto"/>
        <w:rPr>
          <w:sz w:val="22"/>
          <w:szCs w:val="22"/>
        </w:rPr>
      </w:pPr>
    </w:p>
    <w:p w:rsidR="00E36870" w:rsidRDefault="00E36870" w:rsidP="00E36870"/>
    <w:sectPr w:rsidR="00E36870" w:rsidSect="009B762A">
      <w:foot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211" w:rsidRDefault="00106211" w:rsidP="00155B53">
      <w:pPr>
        <w:spacing w:after="0" w:line="240" w:lineRule="auto"/>
      </w:pPr>
      <w:r>
        <w:separator/>
      </w:r>
    </w:p>
  </w:endnote>
  <w:endnote w:type="continuationSeparator" w:id="0">
    <w:p w:rsidR="00106211" w:rsidRDefault="00106211" w:rsidP="00155B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07050"/>
      <w:docPartObj>
        <w:docPartGallery w:val="Page Numbers (Bottom of Page)"/>
        <w:docPartUnique/>
      </w:docPartObj>
    </w:sdtPr>
    <w:sdtContent>
      <w:p w:rsidR="00A974C0" w:rsidRDefault="000B7214">
        <w:pPr>
          <w:pStyle w:val="Footer"/>
          <w:jc w:val="center"/>
        </w:pPr>
        <w:r>
          <w:fldChar w:fldCharType="begin"/>
        </w:r>
        <w:r w:rsidR="00A974C0">
          <w:instrText xml:space="preserve"> PAGE   \* MERGEFORMAT </w:instrText>
        </w:r>
        <w:r>
          <w:fldChar w:fldCharType="separate"/>
        </w:r>
        <w:r w:rsidR="002808A6">
          <w:rPr>
            <w:noProof/>
          </w:rPr>
          <w:t>1</w:t>
        </w:r>
        <w:r>
          <w:rPr>
            <w:noProof/>
          </w:rPr>
          <w:fldChar w:fldCharType="end"/>
        </w:r>
      </w:p>
    </w:sdtContent>
  </w:sdt>
  <w:p w:rsidR="00A974C0" w:rsidRDefault="00A974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07048"/>
      <w:docPartObj>
        <w:docPartGallery w:val="Page Numbers (Bottom of Page)"/>
        <w:docPartUnique/>
      </w:docPartObj>
    </w:sdtPr>
    <w:sdtContent>
      <w:p w:rsidR="00A974C0" w:rsidRDefault="000B7214">
        <w:pPr>
          <w:pStyle w:val="Footer"/>
          <w:jc w:val="center"/>
        </w:pPr>
        <w:r>
          <w:fldChar w:fldCharType="begin"/>
        </w:r>
        <w:r w:rsidR="00A974C0">
          <w:instrText xml:space="preserve"> PAGE   \* MERGEFORMAT </w:instrText>
        </w:r>
        <w:r>
          <w:fldChar w:fldCharType="separate"/>
        </w:r>
        <w:r w:rsidR="002808A6">
          <w:rPr>
            <w:noProof/>
          </w:rPr>
          <w:t>20</w:t>
        </w:r>
        <w:r>
          <w:rPr>
            <w:noProof/>
          </w:rPr>
          <w:fldChar w:fldCharType="end"/>
        </w:r>
      </w:p>
    </w:sdtContent>
  </w:sdt>
  <w:p w:rsidR="00A974C0" w:rsidRDefault="00A974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211" w:rsidRDefault="00106211" w:rsidP="00155B53">
      <w:pPr>
        <w:spacing w:after="0" w:line="240" w:lineRule="auto"/>
      </w:pPr>
      <w:r>
        <w:separator/>
      </w:r>
    </w:p>
  </w:footnote>
  <w:footnote w:type="continuationSeparator" w:id="0">
    <w:p w:rsidR="00106211" w:rsidRDefault="00106211" w:rsidP="00155B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abstractNumId w:val="0"/>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useFELayout/>
  </w:compat>
  <w:rsids>
    <w:rsidRoot w:val="001259D1"/>
    <w:rsid w:val="00004236"/>
    <w:rsid w:val="00023D5D"/>
    <w:rsid w:val="0005390C"/>
    <w:rsid w:val="000A4ABF"/>
    <w:rsid w:val="000B7214"/>
    <w:rsid w:val="000C54E6"/>
    <w:rsid w:val="000F1109"/>
    <w:rsid w:val="00106211"/>
    <w:rsid w:val="001259D1"/>
    <w:rsid w:val="00155B53"/>
    <w:rsid w:val="00155DF4"/>
    <w:rsid w:val="00161B1F"/>
    <w:rsid w:val="00260232"/>
    <w:rsid w:val="002808A6"/>
    <w:rsid w:val="002857F0"/>
    <w:rsid w:val="002908BA"/>
    <w:rsid w:val="002970B4"/>
    <w:rsid w:val="00307F5F"/>
    <w:rsid w:val="00321AA3"/>
    <w:rsid w:val="00395BE3"/>
    <w:rsid w:val="003C57D9"/>
    <w:rsid w:val="00407CD7"/>
    <w:rsid w:val="00436D67"/>
    <w:rsid w:val="00440383"/>
    <w:rsid w:val="0044580B"/>
    <w:rsid w:val="00454436"/>
    <w:rsid w:val="00512460"/>
    <w:rsid w:val="005A2BAB"/>
    <w:rsid w:val="00604F56"/>
    <w:rsid w:val="00605BB7"/>
    <w:rsid w:val="00657538"/>
    <w:rsid w:val="00670364"/>
    <w:rsid w:val="006B7EC6"/>
    <w:rsid w:val="006E020D"/>
    <w:rsid w:val="00715C19"/>
    <w:rsid w:val="007B765A"/>
    <w:rsid w:val="008539B5"/>
    <w:rsid w:val="00862C39"/>
    <w:rsid w:val="008864FC"/>
    <w:rsid w:val="008C72E4"/>
    <w:rsid w:val="008D613B"/>
    <w:rsid w:val="00930CCB"/>
    <w:rsid w:val="00932F8B"/>
    <w:rsid w:val="0094141C"/>
    <w:rsid w:val="009B513D"/>
    <w:rsid w:val="009B762A"/>
    <w:rsid w:val="00A40066"/>
    <w:rsid w:val="00A8404E"/>
    <w:rsid w:val="00A96DA4"/>
    <w:rsid w:val="00A974C0"/>
    <w:rsid w:val="00AF094E"/>
    <w:rsid w:val="00B14037"/>
    <w:rsid w:val="00B24433"/>
    <w:rsid w:val="00B325C3"/>
    <w:rsid w:val="00B43839"/>
    <w:rsid w:val="00C007A4"/>
    <w:rsid w:val="00C3051A"/>
    <w:rsid w:val="00C6586B"/>
    <w:rsid w:val="00CB6661"/>
    <w:rsid w:val="00CE68A8"/>
    <w:rsid w:val="00CF007B"/>
    <w:rsid w:val="00CF1136"/>
    <w:rsid w:val="00CF3193"/>
    <w:rsid w:val="00D103FA"/>
    <w:rsid w:val="00D200D6"/>
    <w:rsid w:val="00D34DE7"/>
    <w:rsid w:val="00D67B2F"/>
    <w:rsid w:val="00D828F2"/>
    <w:rsid w:val="00DF4463"/>
    <w:rsid w:val="00E13288"/>
    <w:rsid w:val="00E36870"/>
    <w:rsid w:val="00E55C64"/>
    <w:rsid w:val="00E93B06"/>
    <w:rsid w:val="00EB5AE5"/>
    <w:rsid w:val="00EB5B27"/>
    <w:rsid w:val="00F54A94"/>
    <w:rsid w:val="00F91783"/>
    <w:rsid w:val="00FC16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9D1"/>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43839"/>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sz w:val="28"/>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B43839"/>
    <w:rPr>
      <w:rFonts w:asciiTheme="majorHAnsi" w:eastAsiaTheme="majorEastAsia" w:hAnsiTheme="majorHAnsi" w:cstheme="majorBidi"/>
      <w:b/>
      <w:i/>
      <w:sz w:val="32"/>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line="360" w:lineRule="auto"/>
    </w:pPr>
    <w:rPr>
      <w:lang w:val="en-GB"/>
    </w:rPr>
  </w:style>
  <w:style w:type="paragraph" w:styleId="TOC2">
    <w:name w:val="toc 2"/>
    <w:basedOn w:val="Normal"/>
    <w:next w:val="Normal"/>
    <w:autoRedefine/>
    <w:uiPriority w:val="39"/>
    <w:unhideWhenUsed/>
    <w:rsid w:val="00715C19"/>
    <w:pPr>
      <w:spacing w:after="100" w:line="360" w:lineRule="auto"/>
      <w:ind w:left="220"/>
    </w:pPr>
    <w:rPr>
      <w:lang w:val="en-GB"/>
    </w:rPr>
  </w:style>
  <w:style w:type="paragraph" w:styleId="TOC3">
    <w:name w:val="toc 3"/>
    <w:basedOn w:val="Normal"/>
    <w:next w:val="Normal"/>
    <w:autoRedefine/>
    <w:uiPriority w:val="39"/>
    <w:unhideWhenUsed/>
    <w:rsid w:val="00715C19"/>
    <w:pPr>
      <w:spacing w:after="100" w:line="360" w:lineRule="auto"/>
      <w:ind w:left="440"/>
    </w:pPr>
    <w:rPr>
      <w:lang w:val="en-GB"/>
    </w:rPr>
  </w:style>
  <w:style w:type="paragraph" w:styleId="TableofFigures">
    <w:name w:val="table of figures"/>
    <w:basedOn w:val="Normal"/>
    <w:next w:val="Normal"/>
    <w:uiPriority w:val="99"/>
    <w:unhideWhenUsed/>
    <w:rsid w:val="00715C19"/>
    <w:pPr>
      <w:spacing w:after="0" w:line="360" w:lineRule="auto"/>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9D1"/>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43839"/>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sz w:val="28"/>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B43839"/>
    <w:rPr>
      <w:rFonts w:asciiTheme="majorHAnsi" w:eastAsiaTheme="majorEastAsia" w:hAnsiTheme="majorHAnsi" w:cstheme="majorBidi"/>
      <w:b/>
      <w:i/>
      <w:sz w:val="32"/>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line="360" w:lineRule="auto"/>
    </w:pPr>
    <w:rPr>
      <w:lang w:val="en-GB"/>
    </w:rPr>
  </w:style>
  <w:style w:type="paragraph" w:styleId="TOC2">
    <w:name w:val="toc 2"/>
    <w:basedOn w:val="Normal"/>
    <w:next w:val="Normal"/>
    <w:autoRedefine/>
    <w:uiPriority w:val="39"/>
    <w:unhideWhenUsed/>
    <w:rsid w:val="00715C19"/>
    <w:pPr>
      <w:spacing w:after="100" w:line="360" w:lineRule="auto"/>
      <w:ind w:left="220"/>
    </w:pPr>
    <w:rPr>
      <w:lang w:val="en-GB"/>
    </w:rPr>
  </w:style>
  <w:style w:type="paragraph" w:styleId="TOC3">
    <w:name w:val="toc 3"/>
    <w:basedOn w:val="Normal"/>
    <w:next w:val="Normal"/>
    <w:autoRedefine/>
    <w:uiPriority w:val="39"/>
    <w:unhideWhenUsed/>
    <w:rsid w:val="00715C19"/>
    <w:pPr>
      <w:spacing w:after="100" w:line="360" w:lineRule="auto"/>
      <w:ind w:left="440"/>
    </w:pPr>
    <w:rPr>
      <w:lang w:val="en-GB"/>
    </w:rPr>
  </w:style>
  <w:style w:type="paragraph" w:styleId="TableofFigures">
    <w:name w:val="table of figures"/>
    <w:basedOn w:val="Normal"/>
    <w:next w:val="Normal"/>
    <w:uiPriority w:val="99"/>
    <w:unhideWhenUsed/>
    <w:rsid w:val="00715C19"/>
    <w:pPr>
      <w:spacing w:after="0" w:line="360" w:lineRule="auto"/>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22</Pages>
  <Words>7284</Words>
  <Characters>41520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3</cp:revision>
  <dcterms:created xsi:type="dcterms:W3CDTF">2012-04-03T09:50:00Z</dcterms:created>
  <dcterms:modified xsi:type="dcterms:W3CDTF">2012-04-03T10:49:00Z</dcterms:modified>
</cp:coreProperties>
</file>