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62A" w:rsidRDefault="0005390C" w:rsidP="003562A1">
      <w:pPr>
        <w:pStyle w:val="Heading1"/>
        <w:numPr>
          <w:ilvl w:val="0"/>
          <w:numId w:val="0"/>
        </w:numPr>
        <w:rPr>
          <w:lang w:val="en-GB"/>
        </w:rPr>
      </w:pPr>
      <w:r>
        <w:rPr>
          <w:lang w:val="en-GB"/>
        </w:rPr>
        <w:t>Abstract</w:t>
      </w:r>
    </w:p>
    <w:p w:rsidR="00772D0B" w:rsidRDefault="00772D0B" w:rsidP="008D11C1">
      <w:pPr>
        <w:rPr>
          <w:rStyle w:val="apple-converted-space"/>
          <w:rFonts w:ascii="Arial" w:hAnsi="Arial" w:cs="Arial"/>
          <w:color w:val="333333"/>
          <w:sz w:val="20"/>
          <w:szCs w:val="20"/>
          <w:shd w:val="clear" w:color="auto" w:fill="FFFFFF"/>
        </w:rPr>
      </w:pPr>
      <w:proofErr w:type="gramStart"/>
      <w:r>
        <w:rPr>
          <w:b/>
          <w:shd w:val="clear" w:color="auto" w:fill="FFFFFF"/>
        </w:rPr>
        <w:t>Background :</w:t>
      </w:r>
      <w:proofErr w:type="gramEnd"/>
      <w:r>
        <w:rPr>
          <w:b/>
          <w:shd w:val="clear" w:color="auto" w:fill="FFFFFF"/>
        </w:rPr>
        <w:t xml:space="preserve"> </w:t>
      </w:r>
      <w:proofErr w:type="spellStart"/>
      <w:r w:rsidRPr="00772D0B">
        <w:rPr>
          <w:shd w:val="clear" w:color="auto" w:fill="FFFFFF"/>
        </w:rPr>
        <w:t>A</w:t>
      </w:r>
      <w:r>
        <w:rPr>
          <w:shd w:val="clear" w:color="auto" w:fill="FFFFFF"/>
        </w:rPr>
        <w:t>trial</w:t>
      </w:r>
      <w:proofErr w:type="spellEnd"/>
      <w:r>
        <w:rPr>
          <w:shd w:val="clear" w:color="auto" w:fill="FFFFFF"/>
        </w:rPr>
        <w:t xml:space="preserve"> fibrillation is a progressive condition affecting up to</w:t>
      </w:r>
      <w:r w:rsidR="00356EEF">
        <w:rPr>
          <w:shd w:val="clear" w:color="auto" w:fill="FFFFFF"/>
        </w:rPr>
        <w:t xml:space="preserve"> one person in fifty in the UK. It </w:t>
      </w:r>
      <w:r>
        <w:rPr>
          <w:shd w:val="clear" w:color="auto" w:fill="FFFFFF"/>
        </w:rPr>
        <w:t>raises lifetime stroke risk</w:t>
      </w:r>
      <w:r w:rsidR="00356EEF">
        <w:rPr>
          <w:shd w:val="clear" w:color="auto" w:fill="FFFFFF"/>
        </w:rPr>
        <w:t xml:space="preserve">, and </w:t>
      </w:r>
      <w:r>
        <w:rPr>
          <w:shd w:val="clear" w:color="auto" w:fill="FFFFFF"/>
        </w:rPr>
        <w:t>is treated by prescribing oral anticoagulants</w:t>
      </w:r>
      <w:r w:rsidR="00AE69C3">
        <w:rPr>
          <w:shd w:val="clear" w:color="auto" w:fill="FFFFFF"/>
        </w:rPr>
        <w:t xml:space="preserve"> (OACs)</w:t>
      </w:r>
      <w:r>
        <w:rPr>
          <w:shd w:val="clear" w:color="auto" w:fill="FFFFFF"/>
        </w:rPr>
        <w:t xml:space="preserve">, which reduces </w:t>
      </w:r>
      <w:r w:rsidR="00356EEF">
        <w:rPr>
          <w:shd w:val="clear" w:color="auto" w:fill="FFFFFF"/>
        </w:rPr>
        <w:t xml:space="preserve">the risk of stroke, but </w:t>
      </w:r>
      <w:r w:rsidR="004323B5">
        <w:rPr>
          <w:shd w:val="clear" w:color="auto" w:fill="FFFFFF"/>
        </w:rPr>
        <w:t>could</w:t>
      </w:r>
      <w:r w:rsidR="00356EEF">
        <w:rPr>
          <w:shd w:val="clear" w:color="auto" w:fill="FFFFFF"/>
        </w:rPr>
        <w:t xml:space="preserve"> cause severe </w:t>
      </w:r>
      <w:r w:rsidR="00356EEF" w:rsidRPr="00356EEF">
        <w:rPr>
          <w:shd w:val="clear" w:color="auto" w:fill="FFFFFF"/>
          <w:lang w:val="en-GB"/>
        </w:rPr>
        <w:t>haemorrhages</w:t>
      </w:r>
      <w:r w:rsidR="00356EEF">
        <w:rPr>
          <w:shd w:val="clear" w:color="auto" w:fill="FFFFFF"/>
        </w:rPr>
        <w:t xml:space="preserve"> which can be fatal.</w:t>
      </w:r>
      <w:r>
        <w:rPr>
          <w:shd w:val="clear" w:color="auto" w:fill="FFFFFF"/>
        </w:rPr>
        <w:t xml:space="preserve"> </w:t>
      </w:r>
      <w:r w:rsidR="007461E7">
        <w:rPr>
          <w:shd w:val="clear" w:color="auto" w:fill="FFFFFF"/>
        </w:rPr>
        <w:t>Our objective was t</w:t>
      </w:r>
      <w:r>
        <w:rPr>
          <w:shd w:val="clear" w:color="auto" w:fill="FFFFFF"/>
        </w:rPr>
        <w:t xml:space="preserve">o assess the clinical and cost effectiveness of using </w:t>
      </w:r>
      <w:proofErr w:type="spellStart"/>
      <w:r>
        <w:rPr>
          <w:shd w:val="clear" w:color="auto" w:fill="FFFFFF"/>
        </w:rPr>
        <w:t>transthoracic</w:t>
      </w:r>
      <w:proofErr w:type="spellEnd"/>
      <w:r>
        <w:rPr>
          <w:shd w:val="clear" w:color="auto" w:fill="FFFFFF"/>
        </w:rPr>
        <w:t xml:space="preserve"> echocardiography </w:t>
      </w:r>
      <w:r w:rsidR="00AE69C3">
        <w:rPr>
          <w:shd w:val="clear" w:color="auto" w:fill="FFFFFF"/>
        </w:rPr>
        <w:t xml:space="preserve">(TTE) </w:t>
      </w:r>
      <w:r>
        <w:rPr>
          <w:shd w:val="clear" w:color="auto" w:fill="FFFFFF"/>
        </w:rPr>
        <w:t xml:space="preserve">to help make the decision whether to prescribe </w:t>
      </w:r>
      <w:r w:rsidR="00AE69C3">
        <w:rPr>
          <w:shd w:val="clear" w:color="auto" w:fill="FFFFFF"/>
        </w:rPr>
        <w:t>OACs</w:t>
      </w:r>
      <w:r>
        <w:rPr>
          <w:shd w:val="clear" w:color="auto" w:fill="FFFFFF"/>
        </w:rPr>
        <w:t>.</w:t>
      </w:r>
      <w:r>
        <w:rPr>
          <w:rStyle w:val="apple-converted-space"/>
          <w:rFonts w:ascii="Arial" w:hAnsi="Arial" w:cs="Arial"/>
          <w:color w:val="333333"/>
          <w:sz w:val="20"/>
          <w:szCs w:val="20"/>
          <w:shd w:val="clear" w:color="auto" w:fill="FFFFFF"/>
        </w:rPr>
        <w:t> </w:t>
      </w:r>
    </w:p>
    <w:p w:rsidR="00772D0B" w:rsidRDefault="00772D0B" w:rsidP="008D11C1">
      <w:pPr>
        <w:rPr>
          <w:rStyle w:val="apple-converted-space"/>
          <w:rFonts w:ascii="Arial" w:hAnsi="Arial" w:cs="Arial"/>
          <w:color w:val="333333"/>
          <w:sz w:val="20"/>
          <w:szCs w:val="20"/>
          <w:shd w:val="clear" w:color="auto" w:fill="FFFFFF"/>
        </w:rPr>
      </w:pPr>
      <w:r>
        <w:rPr>
          <w:b/>
          <w:shd w:val="clear" w:color="auto" w:fill="FFFFFF"/>
        </w:rPr>
        <w:t xml:space="preserve">Methods: </w:t>
      </w:r>
      <w:r>
        <w:rPr>
          <w:shd w:val="clear" w:color="auto" w:fill="FFFFFF"/>
        </w:rPr>
        <w:t>A discrete event simulation mathematic model</w:t>
      </w:r>
      <w:r w:rsidR="00DC2BB2">
        <w:rPr>
          <w:shd w:val="clear" w:color="auto" w:fill="FFFFFF"/>
        </w:rPr>
        <w:t xml:space="preserve"> was developed in order to simulate the </w:t>
      </w:r>
      <w:r w:rsidR="00EF7137">
        <w:rPr>
          <w:shd w:val="clear" w:color="auto" w:fill="FFFFFF"/>
        </w:rPr>
        <w:t xml:space="preserve">lifetime </w:t>
      </w:r>
      <w:r w:rsidR="00DC2BB2">
        <w:rPr>
          <w:shd w:val="clear" w:color="auto" w:fill="FFFFFF"/>
        </w:rPr>
        <w:t xml:space="preserve">patient experience </w:t>
      </w:r>
      <w:r w:rsidR="00EF7137">
        <w:rPr>
          <w:shd w:val="clear" w:color="auto" w:fill="FFFFFF"/>
        </w:rPr>
        <w:t xml:space="preserve">resulting from either an OAC prescription </w:t>
      </w:r>
      <w:r w:rsidR="005B26D5">
        <w:rPr>
          <w:shd w:val="clear" w:color="auto" w:fill="FFFFFF"/>
        </w:rPr>
        <w:t>decision  (</w:t>
      </w:r>
      <w:proofErr w:type="spellStart"/>
      <w:r w:rsidR="005B26D5">
        <w:rPr>
          <w:shd w:val="clear" w:color="auto" w:fill="FFFFFF"/>
        </w:rPr>
        <w:t>dabigatran</w:t>
      </w:r>
      <w:proofErr w:type="spellEnd"/>
      <w:r w:rsidR="005B26D5">
        <w:rPr>
          <w:shd w:val="clear" w:color="auto" w:fill="FFFFFF"/>
        </w:rPr>
        <w:t xml:space="preserve"> 150mg twice daily)</w:t>
      </w:r>
      <w:r w:rsidR="00EF7137">
        <w:rPr>
          <w:shd w:val="clear" w:color="auto" w:fill="FFFFFF"/>
        </w:rPr>
        <w:t xml:space="preserve"> using a standard clinical decision tool (CHADS</w:t>
      </w:r>
      <w:r w:rsidR="00EF7137" w:rsidRPr="00EF7137">
        <w:rPr>
          <w:shd w:val="clear" w:color="auto" w:fill="FFFFFF"/>
          <w:vertAlign w:val="subscript"/>
        </w:rPr>
        <w:t>2</w:t>
      </w:r>
      <w:r w:rsidR="00EF7137">
        <w:rPr>
          <w:shd w:val="clear" w:color="auto" w:fill="FFFFFF"/>
        </w:rPr>
        <w:t xml:space="preserve"> or CHA</w:t>
      </w:r>
      <w:r w:rsidR="00EF7137" w:rsidRPr="00EF7137">
        <w:rPr>
          <w:shd w:val="clear" w:color="auto" w:fill="FFFFFF"/>
          <w:vertAlign w:val="subscript"/>
        </w:rPr>
        <w:t>2</w:t>
      </w:r>
      <w:r w:rsidR="00EF7137">
        <w:rPr>
          <w:shd w:val="clear" w:color="auto" w:fill="FFFFFF"/>
        </w:rPr>
        <w:t>DS</w:t>
      </w:r>
      <w:r w:rsidR="00EF7137" w:rsidRPr="00EF7137">
        <w:rPr>
          <w:shd w:val="clear" w:color="auto" w:fill="FFFFFF"/>
          <w:vertAlign w:val="subscript"/>
        </w:rPr>
        <w:t>2</w:t>
      </w:r>
      <w:r w:rsidR="00EF7137">
        <w:rPr>
          <w:shd w:val="clear" w:color="auto" w:fill="FFFFFF"/>
        </w:rPr>
        <w:t>-VASc)</w:t>
      </w:r>
      <w:r w:rsidR="00B37EDA">
        <w:rPr>
          <w:shd w:val="clear" w:color="auto" w:fill="FFFFFF"/>
        </w:rPr>
        <w:t xml:space="preserve"> alongside TTE, compared to a standard clinical decision tool alon</w:t>
      </w:r>
      <w:r w:rsidR="004323B5">
        <w:rPr>
          <w:shd w:val="clear" w:color="auto" w:fill="FFFFFF"/>
        </w:rPr>
        <w:t>e</w:t>
      </w:r>
      <w:r w:rsidR="00B37EDA">
        <w:rPr>
          <w:shd w:val="clear" w:color="auto" w:fill="FFFFFF"/>
        </w:rPr>
        <w:t>.</w:t>
      </w:r>
      <w:r w:rsidR="005B26D5" w:rsidRPr="005B26D5">
        <w:rPr>
          <w:rStyle w:val="apple-converted-space"/>
          <w:rFonts w:ascii="Arial" w:hAnsi="Arial" w:cs="Arial"/>
          <w:color w:val="333333"/>
          <w:sz w:val="20"/>
          <w:szCs w:val="20"/>
          <w:shd w:val="clear" w:color="auto" w:fill="FFFFFF"/>
        </w:rPr>
        <w:t xml:space="preserve"> </w:t>
      </w:r>
      <w:r w:rsidR="005B26D5">
        <w:rPr>
          <w:rStyle w:val="apple-converted-space"/>
          <w:rFonts w:ascii="Arial" w:hAnsi="Arial" w:cs="Arial"/>
          <w:color w:val="333333"/>
          <w:sz w:val="20"/>
          <w:szCs w:val="20"/>
          <w:shd w:val="clear" w:color="auto" w:fill="FFFFFF"/>
        </w:rPr>
        <w:t>The population considered was sixty year old males with newly diagnosed</w:t>
      </w:r>
      <w:r w:rsidR="005B26D5" w:rsidRPr="005B26D5">
        <w:rPr>
          <w:shd w:val="clear" w:color="auto" w:fill="FFFFFF"/>
        </w:rPr>
        <w:t xml:space="preserve"> </w:t>
      </w:r>
      <w:proofErr w:type="spellStart"/>
      <w:r w:rsidR="005B26D5">
        <w:rPr>
          <w:shd w:val="clear" w:color="auto" w:fill="FFFFFF"/>
        </w:rPr>
        <w:t>atrial</w:t>
      </w:r>
      <w:proofErr w:type="spellEnd"/>
      <w:r w:rsidR="005B26D5">
        <w:rPr>
          <w:shd w:val="clear" w:color="auto" w:fill="FFFFFF"/>
        </w:rPr>
        <w:t xml:space="preserve"> fibrillation and without a previous history of coronary heart disease or stroke. A lifetime horizon and an NHS perspective </w:t>
      </w:r>
      <w:proofErr w:type="gramStart"/>
      <w:r w:rsidR="005B26D5">
        <w:rPr>
          <w:shd w:val="clear" w:color="auto" w:fill="FFFFFF"/>
        </w:rPr>
        <w:t>was</w:t>
      </w:r>
      <w:proofErr w:type="gramEnd"/>
      <w:r w:rsidR="005B26D5">
        <w:rPr>
          <w:shd w:val="clear" w:color="auto" w:fill="FFFFFF"/>
        </w:rPr>
        <w:t xml:space="preserve"> adopted. The cost per QALY of the addition of TTE was estimated.</w:t>
      </w:r>
    </w:p>
    <w:p w:rsidR="00772D0B" w:rsidRDefault="00772D0B" w:rsidP="008D11C1">
      <w:pPr>
        <w:rPr>
          <w:rStyle w:val="apple-converted-space"/>
          <w:rFonts w:ascii="Arial" w:hAnsi="Arial" w:cs="Arial"/>
          <w:color w:val="333333"/>
          <w:sz w:val="20"/>
          <w:szCs w:val="20"/>
          <w:shd w:val="clear" w:color="auto" w:fill="FFFFFF"/>
        </w:rPr>
      </w:pPr>
      <w:r>
        <w:rPr>
          <w:b/>
          <w:bCs/>
          <w:shd w:val="clear" w:color="auto" w:fill="FFFFFF"/>
        </w:rPr>
        <w:t>Results</w:t>
      </w:r>
      <w:r w:rsidR="00AE69C3">
        <w:rPr>
          <w:b/>
          <w:bCs/>
          <w:shd w:val="clear" w:color="auto" w:fill="FFFFFF"/>
        </w:rPr>
        <w:t xml:space="preserve">: </w:t>
      </w:r>
      <w:r w:rsidR="00AE69C3">
        <w:rPr>
          <w:bCs/>
          <w:shd w:val="clear" w:color="auto" w:fill="FFFFFF"/>
        </w:rPr>
        <w:t>Adding TTE to the decision to prescribe OACs</w:t>
      </w:r>
      <w:r>
        <w:rPr>
          <w:rStyle w:val="apple-converted-space"/>
          <w:rFonts w:ascii="Arial" w:hAnsi="Arial" w:cs="Arial"/>
          <w:color w:val="333333"/>
          <w:sz w:val="20"/>
          <w:szCs w:val="20"/>
          <w:shd w:val="clear" w:color="auto" w:fill="FFFFFF"/>
        </w:rPr>
        <w:t> </w:t>
      </w:r>
      <w:r w:rsidR="00AE69C3">
        <w:rPr>
          <w:rStyle w:val="apple-converted-space"/>
          <w:rFonts w:ascii="Arial" w:hAnsi="Arial" w:cs="Arial"/>
          <w:color w:val="333333"/>
          <w:sz w:val="20"/>
          <w:szCs w:val="20"/>
          <w:shd w:val="clear" w:color="auto" w:fill="FFFFFF"/>
        </w:rPr>
        <w:t xml:space="preserve">appears cost-effective when </w:t>
      </w:r>
      <w:r w:rsidR="004323B5">
        <w:rPr>
          <w:rStyle w:val="apple-converted-space"/>
          <w:rFonts w:ascii="Arial" w:hAnsi="Arial" w:cs="Arial"/>
          <w:color w:val="333333"/>
          <w:sz w:val="20"/>
          <w:szCs w:val="20"/>
          <w:shd w:val="clear" w:color="auto" w:fill="FFFFFF"/>
        </w:rPr>
        <w:t>CHADS</w:t>
      </w:r>
      <w:r w:rsidR="004323B5" w:rsidRPr="00FD30C1">
        <w:rPr>
          <w:rStyle w:val="apple-converted-space"/>
          <w:rFonts w:ascii="Arial" w:hAnsi="Arial" w:cs="Arial"/>
          <w:color w:val="333333"/>
          <w:sz w:val="20"/>
          <w:szCs w:val="20"/>
          <w:shd w:val="clear" w:color="auto" w:fill="FFFFFF"/>
          <w:vertAlign w:val="subscript"/>
        </w:rPr>
        <w:t>2</w:t>
      </w:r>
      <w:r w:rsidR="004323B5">
        <w:rPr>
          <w:rStyle w:val="apple-converted-space"/>
          <w:rFonts w:ascii="Arial" w:hAnsi="Arial" w:cs="Arial"/>
          <w:color w:val="333333"/>
          <w:sz w:val="20"/>
          <w:szCs w:val="20"/>
          <w:shd w:val="clear" w:color="auto" w:fill="FFFFFF"/>
        </w:rPr>
        <w:t xml:space="preserve"> is modeled as the comparator, but not when CHA</w:t>
      </w:r>
      <w:r w:rsidR="00FD30C1" w:rsidRPr="00FD30C1">
        <w:rPr>
          <w:rStyle w:val="apple-converted-space"/>
          <w:rFonts w:ascii="Arial" w:hAnsi="Arial" w:cs="Arial"/>
          <w:color w:val="333333"/>
          <w:sz w:val="20"/>
          <w:szCs w:val="20"/>
          <w:shd w:val="clear" w:color="auto" w:fill="FFFFFF"/>
          <w:vertAlign w:val="subscript"/>
        </w:rPr>
        <w:t>2</w:t>
      </w:r>
      <w:r w:rsidR="004323B5">
        <w:rPr>
          <w:rStyle w:val="apple-converted-space"/>
          <w:rFonts w:ascii="Arial" w:hAnsi="Arial" w:cs="Arial"/>
          <w:color w:val="333333"/>
          <w:sz w:val="20"/>
          <w:szCs w:val="20"/>
          <w:shd w:val="clear" w:color="auto" w:fill="FFFFFF"/>
        </w:rPr>
        <w:t>DS</w:t>
      </w:r>
      <w:r w:rsidR="004323B5" w:rsidRPr="00FD30C1">
        <w:rPr>
          <w:rStyle w:val="apple-converted-space"/>
          <w:rFonts w:ascii="Arial" w:hAnsi="Arial" w:cs="Arial"/>
          <w:color w:val="333333"/>
          <w:sz w:val="20"/>
          <w:szCs w:val="20"/>
          <w:shd w:val="clear" w:color="auto" w:fill="FFFFFF"/>
          <w:vertAlign w:val="subscript"/>
        </w:rPr>
        <w:t>2</w:t>
      </w:r>
      <w:r w:rsidR="004323B5">
        <w:rPr>
          <w:rStyle w:val="apple-converted-space"/>
          <w:rFonts w:ascii="Arial" w:hAnsi="Arial" w:cs="Arial"/>
          <w:color w:val="333333"/>
          <w:sz w:val="20"/>
          <w:szCs w:val="20"/>
          <w:shd w:val="clear" w:color="auto" w:fill="FFFFFF"/>
        </w:rPr>
        <w:t>–VASc is used. The mean respective ICE</w:t>
      </w:r>
      <w:r w:rsidR="00FD30C1">
        <w:rPr>
          <w:rStyle w:val="apple-converted-space"/>
          <w:rFonts w:ascii="Arial" w:hAnsi="Arial" w:cs="Arial"/>
          <w:color w:val="333333"/>
          <w:sz w:val="20"/>
          <w:szCs w:val="20"/>
          <w:shd w:val="clear" w:color="auto" w:fill="FFFFFF"/>
        </w:rPr>
        <w:t>Rs are £5847 per QALY for CHADS</w:t>
      </w:r>
      <w:r w:rsidR="00FD30C1" w:rsidRPr="00FD30C1">
        <w:rPr>
          <w:rStyle w:val="apple-converted-space"/>
          <w:rFonts w:ascii="Arial" w:hAnsi="Arial" w:cs="Arial"/>
          <w:color w:val="333333"/>
          <w:sz w:val="20"/>
          <w:szCs w:val="20"/>
          <w:shd w:val="clear" w:color="auto" w:fill="FFFFFF"/>
          <w:vertAlign w:val="subscript"/>
        </w:rPr>
        <w:t>2</w:t>
      </w:r>
      <w:r w:rsidR="004323B5">
        <w:rPr>
          <w:rStyle w:val="apple-converted-space"/>
          <w:rFonts w:ascii="Arial" w:hAnsi="Arial" w:cs="Arial"/>
          <w:color w:val="333333"/>
          <w:sz w:val="20"/>
          <w:szCs w:val="20"/>
          <w:shd w:val="clear" w:color="auto" w:fill="FFFFFF"/>
        </w:rPr>
        <w:t xml:space="preserve"> and £49491 per QALY for CHA</w:t>
      </w:r>
      <w:r w:rsidR="004323B5" w:rsidRPr="004323B5">
        <w:rPr>
          <w:rStyle w:val="apple-converted-space"/>
          <w:rFonts w:ascii="Arial" w:hAnsi="Arial" w:cs="Arial"/>
          <w:color w:val="333333"/>
          <w:sz w:val="20"/>
          <w:szCs w:val="20"/>
          <w:shd w:val="clear" w:color="auto" w:fill="FFFFFF"/>
          <w:vertAlign w:val="subscript"/>
        </w:rPr>
        <w:t>2</w:t>
      </w:r>
      <w:r w:rsidR="004323B5">
        <w:rPr>
          <w:rStyle w:val="apple-converted-space"/>
          <w:rFonts w:ascii="Arial" w:hAnsi="Arial" w:cs="Arial"/>
          <w:color w:val="333333"/>
          <w:sz w:val="20"/>
          <w:szCs w:val="20"/>
          <w:shd w:val="clear" w:color="auto" w:fill="FFFFFF"/>
        </w:rPr>
        <w:t>DS</w:t>
      </w:r>
      <w:r w:rsidR="004323B5" w:rsidRPr="004323B5">
        <w:rPr>
          <w:rStyle w:val="apple-converted-space"/>
          <w:rFonts w:ascii="Arial" w:hAnsi="Arial" w:cs="Arial"/>
          <w:color w:val="333333"/>
          <w:sz w:val="20"/>
          <w:szCs w:val="20"/>
          <w:shd w:val="clear" w:color="auto" w:fill="FFFFFF"/>
          <w:vertAlign w:val="subscript"/>
        </w:rPr>
        <w:t>2</w:t>
      </w:r>
      <w:r w:rsidR="004323B5">
        <w:rPr>
          <w:rStyle w:val="apple-converted-space"/>
          <w:rFonts w:ascii="Arial" w:hAnsi="Arial" w:cs="Arial"/>
          <w:color w:val="333333"/>
          <w:sz w:val="20"/>
          <w:szCs w:val="20"/>
          <w:shd w:val="clear" w:color="auto" w:fill="FFFFFF"/>
        </w:rPr>
        <w:t xml:space="preserve">-VASc. </w:t>
      </w:r>
      <w:r w:rsidR="007461E7">
        <w:rPr>
          <w:rStyle w:val="apple-converted-space"/>
          <w:rFonts w:ascii="Arial" w:hAnsi="Arial" w:cs="Arial"/>
          <w:color w:val="333333"/>
          <w:sz w:val="20"/>
          <w:szCs w:val="20"/>
          <w:shd w:val="clear" w:color="auto" w:fill="FFFFFF"/>
        </w:rPr>
        <w:t>There is considerable uncertainty in the results for CHA</w:t>
      </w:r>
      <w:r w:rsidR="007461E7" w:rsidRPr="004323B5">
        <w:rPr>
          <w:rStyle w:val="apple-converted-space"/>
          <w:rFonts w:ascii="Arial" w:hAnsi="Arial" w:cs="Arial"/>
          <w:color w:val="333333"/>
          <w:sz w:val="20"/>
          <w:szCs w:val="20"/>
          <w:shd w:val="clear" w:color="auto" w:fill="FFFFFF"/>
          <w:vertAlign w:val="subscript"/>
        </w:rPr>
        <w:t>2</w:t>
      </w:r>
      <w:r w:rsidR="007461E7">
        <w:rPr>
          <w:rStyle w:val="apple-converted-space"/>
          <w:rFonts w:ascii="Arial" w:hAnsi="Arial" w:cs="Arial"/>
          <w:color w:val="333333"/>
          <w:sz w:val="20"/>
          <w:szCs w:val="20"/>
          <w:shd w:val="clear" w:color="auto" w:fill="FFFFFF"/>
        </w:rPr>
        <w:t>DS</w:t>
      </w:r>
      <w:r w:rsidR="007461E7" w:rsidRPr="004323B5">
        <w:rPr>
          <w:rStyle w:val="apple-converted-space"/>
          <w:rFonts w:ascii="Arial" w:hAnsi="Arial" w:cs="Arial"/>
          <w:color w:val="333333"/>
          <w:sz w:val="20"/>
          <w:szCs w:val="20"/>
          <w:shd w:val="clear" w:color="auto" w:fill="FFFFFF"/>
          <w:vertAlign w:val="subscript"/>
        </w:rPr>
        <w:t>2</w:t>
      </w:r>
      <w:r w:rsidR="007461E7">
        <w:rPr>
          <w:rStyle w:val="apple-converted-space"/>
          <w:rFonts w:ascii="Arial" w:hAnsi="Arial" w:cs="Arial"/>
          <w:color w:val="333333"/>
          <w:sz w:val="20"/>
          <w:szCs w:val="20"/>
          <w:shd w:val="clear" w:color="auto" w:fill="FFFFFF"/>
        </w:rPr>
        <w:t>-VASc due to paucity of data.</w:t>
      </w:r>
    </w:p>
    <w:p w:rsidR="005B26D5" w:rsidRDefault="00772D0B" w:rsidP="005B26D5">
      <w:pPr>
        <w:rPr>
          <w:b/>
          <w:shd w:val="clear" w:color="auto" w:fill="FFFFFF"/>
        </w:rPr>
      </w:pPr>
      <w:r>
        <w:rPr>
          <w:b/>
          <w:shd w:val="clear" w:color="auto" w:fill="FFFFFF"/>
        </w:rPr>
        <w:t>Conclusions</w:t>
      </w:r>
      <w:r w:rsidR="00A42D14">
        <w:rPr>
          <w:b/>
          <w:shd w:val="clear" w:color="auto" w:fill="FFFFFF"/>
        </w:rPr>
        <w:t xml:space="preserve">: </w:t>
      </w:r>
      <w:r w:rsidR="00A42D14">
        <w:rPr>
          <w:shd w:val="clear" w:color="auto" w:fill="FFFFFF"/>
        </w:rPr>
        <w:t>The estimated incremental cost effectiveness of using TTE to make the decision to prescribe depe</w:t>
      </w:r>
      <w:r w:rsidR="00EF7137">
        <w:rPr>
          <w:shd w:val="clear" w:color="auto" w:fill="FFFFFF"/>
        </w:rPr>
        <w:t xml:space="preserve">nds </w:t>
      </w:r>
      <w:r w:rsidR="004323B5">
        <w:rPr>
          <w:shd w:val="clear" w:color="auto" w:fill="FFFFFF"/>
        </w:rPr>
        <w:t>on whether the comparator is CHADS</w:t>
      </w:r>
      <w:r w:rsidR="004323B5" w:rsidRPr="00FD30C1">
        <w:rPr>
          <w:shd w:val="clear" w:color="auto" w:fill="FFFFFF"/>
          <w:vertAlign w:val="subscript"/>
        </w:rPr>
        <w:t>2</w:t>
      </w:r>
      <w:r w:rsidR="004323B5">
        <w:rPr>
          <w:shd w:val="clear" w:color="auto" w:fill="FFFFFF"/>
        </w:rPr>
        <w:t xml:space="preserve"> or CHA</w:t>
      </w:r>
      <w:r w:rsidR="004323B5" w:rsidRPr="00FD30C1">
        <w:rPr>
          <w:shd w:val="clear" w:color="auto" w:fill="FFFFFF"/>
          <w:vertAlign w:val="subscript"/>
        </w:rPr>
        <w:t>2</w:t>
      </w:r>
      <w:r w:rsidR="004323B5">
        <w:rPr>
          <w:shd w:val="clear" w:color="auto" w:fill="FFFFFF"/>
        </w:rPr>
        <w:t>DS</w:t>
      </w:r>
      <w:r w:rsidR="004323B5" w:rsidRPr="00FD30C1">
        <w:rPr>
          <w:shd w:val="clear" w:color="auto" w:fill="FFFFFF"/>
          <w:vertAlign w:val="subscript"/>
        </w:rPr>
        <w:t>2</w:t>
      </w:r>
      <w:r w:rsidR="004323B5">
        <w:rPr>
          <w:shd w:val="clear" w:color="auto" w:fill="FFFFFF"/>
        </w:rPr>
        <w:t>-VASc. Whilst TTE does not appear cost effective when added to CHA</w:t>
      </w:r>
      <w:r w:rsidR="004323B5" w:rsidRPr="00FD30C1">
        <w:rPr>
          <w:shd w:val="clear" w:color="auto" w:fill="FFFFFF"/>
          <w:vertAlign w:val="subscript"/>
        </w:rPr>
        <w:t>2</w:t>
      </w:r>
      <w:r w:rsidR="004323B5">
        <w:rPr>
          <w:shd w:val="clear" w:color="auto" w:fill="FFFFFF"/>
        </w:rPr>
        <w:t>DS</w:t>
      </w:r>
      <w:r w:rsidR="004323B5" w:rsidRPr="00FD30C1">
        <w:rPr>
          <w:shd w:val="clear" w:color="auto" w:fill="FFFFFF"/>
          <w:vertAlign w:val="subscript"/>
        </w:rPr>
        <w:t>2</w:t>
      </w:r>
      <w:r w:rsidR="004323B5">
        <w:rPr>
          <w:shd w:val="clear" w:color="auto" w:fill="FFFFFF"/>
        </w:rPr>
        <w:t>-VASc, this conclusion is uncertain due to data limitations.</w:t>
      </w:r>
      <w:r w:rsidR="005B26D5" w:rsidRPr="005B26D5">
        <w:rPr>
          <w:b/>
          <w:shd w:val="clear" w:color="auto" w:fill="FFFFFF"/>
        </w:rPr>
        <w:t xml:space="preserve"> </w:t>
      </w:r>
    </w:p>
    <w:p w:rsidR="0005390C" w:rsidRPr="00A42D14" w:rsidRDefault="00A42D14" w:rsidP="008D11C1">
      <w:pPr>
        <w:rPr>
          <w:lang w:val="en-GB"/>
        </w:rPr>
      </w:pPr>
      <w:r>
        <w:rPr>
          <w:shd w:val="clear" w:color="auto" w:fill="FFFFFF"/>
        </w:rPr>
        <w:t xml:space="preserve"> </w:t>
      </w:r>
    </w:p>
    <w:p w:rsidR="00834F71" w:rsidRDefault="00834F71" w:rsidP="003562A1">
      <w:pPr>
        <w:pStyle w:val="Heading2"/>
        <w:numPr>
          <w:ilvl w:val="0"/>
          <w:numId w:val="0"/>
        </w:numPr>
        <w:sectPr w:rsidR="00834F71" w:rsidSect="00834F71">
          <w:footerReference w:type="default" r:id="rId8"/>
          <w:pgSz w:w="11906" w:h="16838"/>
          <w:pgMar w:top="1440" w:right="1440" w:bottom="1440" w:left="1440" w:header="709" w:footer="709" w:gutter="0"/>
          <w:cols w:space="708"/>
          <w:docGrid w:linePitch="360"/>
        </w:sectPr>
      </w:pPr>
    </w:p>
    <w:p w:rsidR="0005390C" w:rsidRDefault="0005390C" w:rsidP="003562A1">
      <w:pPr>
        <w:pStyle w:val="Heading2"/>
        <w:numPr>
          <w:ilvl w:val="0"/>
          <w:numId w:val="0"/>
        </w:numPr>
      </w:pPr>
      <w:r>
        <w:lastRenderedPageBreak/>
        <w:t>Introduction</w:t>
      </w:r>
    </w:p>
    <w:p w:rsidR="00E55A94" w:rsidRDefault="00862C39" w:rsidP="008D11C1">
      <w:proofErr w:type="spellStart"/>
      <w:r>
        <w:t>Atrial</w:t>
      </w:r>
      <w:proofErr w:type="spellEnd"/>
      <w:r>
        <w:t xml:space="preserve"> fibrillation (AF) is a progressive condition affecting</w:t>
      </w:r>
      <w:r w:rsidR="00665212">
        <w:t xml:space="preserve"> around 1-2% of the UK population</w:t>
      </w:r>
      <w:r w:rsidR="000F1748">
        <w:t xml:space="preserve">, </w:t>
      </w:r>
      <w:r w:rsidR="00DF7E46">
        <w:t xml:space="preserve">disproportionately </w:t>
      </w:r>
      <w:r w:rsidR="000F1748">
        <w:t xml:space="preserve">older </w:t>
      </w:r>
      <w:r w:rsidR="00B37EDA">
        <w:t>people</w:t>
      </w:r>
      <w:r w:rsidR="000F1748">
        <w:t>, and is a significant risk factor for stroke</w:t>
      </w:r>
      <w:r w:rsidR="00356EEF">
        <w:t>.</w:t>
      </w:r>
      <w:r w:rsidR="00374E80">
        <w:fldChar w:fldCharType="begin" w:fldLock="1"/>
      </w:r>
      <w:r w:rsidR="009C7509">
        <w:instrText>ADDIN CSL_CITATION { "citationItems" : [ { "id" : "ITEM-1", "itemData" : { "abstract" : "Atrial fibrillation is the most common arrhythmia in elderly persons and a potent risk factor for stroke. However, recent prevalence and projected future numbers of persons with atrial fibrillation are not well described.", "author" : [ { "family" : "Go", "given" : "A S" }, { "family" : "Hylek", "given" : "E M" }, { "family" : "Phillips", "given" : "K A" }, { "family" : "Chang", "given" : "Y" }, { "family" : "Henault", "given" : "L E" }, { "family" : "Selby", "given" : "J V" }, { "family" : "Singer", "given" : "D E" } ], "container-title" : "JAMA : the journal of the American Medical Association", "id" : "ITEM-1", "issue" : "18", "issued" : { "date-parts" : [ [ "2001", "5", "9" ] ] }, "note" : "&lt;m:note&gt;&lt;/m:note&gt;", "page" : "2370-5", "title" : "Prevalence of diagnosed atrial fibrillation in adults: national implications for rhythm management and stroke prevention: the AnTicoagulation and Risk Factors in Atrial Fibrillation (ATRIA) Study.", "type" : "article-journal", "volume" : "285" }, "uris" : [ "http://www.mendeley.com/documents/?uuid=f30d1cf5-58b0-4c35-b298-fbbe4563156a" ] } ], "mendeley" : { "previouslyFormattedCitation" : "(1)" }, "properties" : { "noteIndex" : 0 }, "schema" : "https://github.com/citation-style-language/schema/raw/master/csl-citation.json" }</w:instrText>
      </w:r>
      <w:r w:rsidR="00374E80">
        <w:fldChar w:fldCharType="separate"/>
      </w:r>
      <w:r w:rsidR="00974077" w:rsidRPr="00974077">
        <w:rPr>
          <w:noProof/>
        </w:rPr>
        <w:t>(1)</w:t>
      </w:r>
      <w:r w:rsidR="00374E80">
        <w:fldChar w:fldCharType="end"/>
      </w:r>
      <w:r w:rsidR="00665212">
        <w:t xml:space="preserve"> </w:t>
      </w:r>
      <w:r w:rsidR="00B37EDA">
        <w:t>E</w:t>
      </w:r>
      <w:r>
        <w:t>ffective management of AF and the associated stroke risk is important</w:t>
      </w:r>
      <w:r w:rsidR="003F5221">
        <w:t xml:space="preserve"> for reducing additional mortality and morbidity risks that result from the condition</w:t>
      </w:r>
      <w:r>
        <w:t xml:space="preserve">. Oral anticoagulants (OACs) reduce the risk of stroke, but </w:t>
      </w:r>
      <w:r w:rsidR="000F1748">
        <w:t>can cause major bleeding events</w:t>
      </w:r>
      <w:r w:rsidR="00374A9D">
        <w:t xml:space="preserve"> which may result in death or severe disablement.</w:t>
      </w:r>
      <w:r w:rsidR="00356EEF">
        <w:t xml:space="preserve"> </w:t>
      </w:r>
      <w:r w:rsidR="00374E80">
        <w:fldChar w:fldCharType="begin" w:fldLock="1"/>
      </w:r>
      <w:r w:rsidR="009C7509">
        <w:instrText>ADDIN CSL_CITATION { "citationItems" : [ { "id" : "ITEM-1", "itemData" : { "DOI" : "10.1016/j.ahj.2009.11.025", "abstract" : "Atrial fibrillation (AF), the most common significant cardiac arrhythmia, increases the risk of stroke, particularly in the elderly. Warfarin is effective in reducing stroke risk but is burdensome to patients and is difficult to control. Rivaroxaban is an oral direct factor Xa inhibitor in advanced development as an alternative to warfarin for the prevention and treatment of thromboembolic disorders.", "container-title" : "American heart journal", "id" : "ITEM-1", "issue" : "3", "issued" : { "date-parts" : [ [ "2010", "3" ] ] }, "note" : "&lt;m:note&gt;&lt;/m:note&gt;", "page" : "340-347.e1", "title" : "Rivaroxaban-once daily, oral, direct factor Xa inhibition compared with vitamin K antagonism for prevention of stroke and Embolism Trial in Atrial Fibrillation: rationale and design of the ROCKET AF study.", "type" : "article-journal", "volume" : "159" }, "uris" : [ "http://www.mendeley.com/documents/?uuid=96a8955b-ba1a-4c08-98f5-c96de9a3db66" ] } ], "mendeley" : { "previouslyFormattedCitation" : "(2)" }, "properties" : { "noteIndex" : 0 }, "schema" : "https://github.com/citation-style-language/schema/raw/master/csl-citation.json" }</w:instrText>
      </w:r>
      <w:r w:rsidR="00374E80">
        <w:fldChar w:fldCharType="separate"/>
      </w:r>
      <w:r w:rsidR="00356EEF" w:rsidRPr="00974077">
        <w:rPr>
          <w:noProof/>
        </w:rPr>
        <w:t>(2)</w:t>
      </w:r>
      <w:r w:rsidR="00374E80">
        <w:fldChar w:fldCharType="end"/>
      </w:r>
      <w:r w:rsidR="00374A9D">
        <w:t xml:space="preserve"> </w:t>
      </w:r>
    </w:p>
    <w:p w:rsidR="005A2BAB" w:rsidRDefault="00862C39" w:rsidP="008D11C1">
      <w:r>
        <w:t>They are also relatively expensive, either directly due to drug acquisition costs in the case of new</w:t>
      </w:r>
      <w:r w:rsidR="00542E72">
        <w:t>er</w:t>
      </w:r>
      <w:r>
        <w:t xml:space="preserve"> drugs like </w:t>
      </w:r>
      <w:proofErr w:type="spellStart"/>
      <w:r>
        <w:t>dabigatran</w:t>
      </w:r>
      <w:proofErr w:type="spellEnd"/>
      <w:r>
        <w:t xml:space="preserve">, or indirectly due to monitoring costs in the case of </w:t>
      </w:r>
      <w:proofErr w:type="spellStart"/>
      <w:r>
        <w:t>warfarin</w:t>
      </w:r>
      <w:proofErr w:type="spellEnd"/>
      <w:r>
        <w:t xml:space="preserve">. </w:t>
      </w:r>
      <w:r w:rsidR="00356EEF">
        <w:t>As a result of</w:t>
      </w:r>
      <w:r w:rsidR="00374A9D">
        <w:t xml:space="preserve"> this, </w:t>
      </w:r>
      <w:r>
        <w:t xml:space="preserve">it is important to identify those patients </w:t>
      </w:r>
      <w:r w:rsidR="003F5221">
        <w:t xml:space="preserve">for whom </w:t>
      </w:r>
      <w:r>
        <w:t>the benefits are</w:t>
      </w:r>
      <w:r w:rsidR="00492057">
        <w:t xml:space="preserve"> most</w:t>
      </w:r>
      <w:r>
        <w:t xml:space="preserve"> likely to outweigh the risks</w:t>
      </w:r>
      <w:r w:rsidR="00374A9D">
        <w:t>, and so a range of diagnostic tools are used to identify patients higher risk patients</w:t>
      </w:r>
      <w:r w:rsidR="00655A1D">
        <w:t xml:space="preserve">, including </w:t>
      </w:r>
      <w:r w:rsidR="00395BE3">
        <w:t>clinical prediction rules using patient history and characteristics</w:t>
      </w:r>
      <w:r w:rsidR="00374A9D">
        <w:t>.</w:t>
      </w:r>
      <w:r w:rsidR="00307F5F">
        <w:t xml:space="preserve"> </w:t>
      </w:r>
      <w:r w:rsidR="00E55A94">
        <w:t>It should be noted that even where an intervention is clinically effective it does not necessarily follow that the intervention is also cost effective.</w:t>
      </w:r>
    </w:p>
    <w:p w:rsidR="00A07773" w:rsidRDefault="00356EEF" w:rsidP="008D11C1">
      <w:r>
        <w:t xml:space="preserve">The decision to prescribe OACs depends on clinical </w:t>
      </w:r>
      <w:proofErr w:type="spellStart"/>
      <w:r>
        <w:t>judgement</w:t>
      </w:r>
      <w:proofErr w:type="spellEnd"/>
      <w:r>
        <w:t xml:space="preserve"> about whether the decreased risk of stroke </w:t>
      </w:r>
      <w:r w:rsidR="00C46C92">
        <w:t xml:space="preserve">outweighs the increased risk of severe side effects, in particular </w:t>
      </w:r>
      <w:r w:rsidR="00A07773">
        <w:t>potentially fatal major bleeding events</w:t>
      </w:r>
      <w:r w:rsidR="00C46C92">
        <w:t>. Presently,</w:t>
      </w:r>
      <w:r w:rsidR="00D57902">
        <w:t xml:space="preserve"> the assessment about the balance of risks is made using a clinical prediction rule</w:t>
      </w:r>
      <w:r w:rsidR="00E55A94">
        <w:t>,</w:t>
      </w:r>
      <w:r w:rsidR="00D57902">
        <w:t xml:space="preserve"> such as CHADS</w:t>
      </w:r>
      <w:r w:rsidR="00D57902" w:rsidRPr="00D57902">
        <w:rPr>
          <w:vertAlign w:val="subscript"/>
        </w:rPr>
        <w:t>2</w:t>
      </w:r>
      <w:r w:rsidR="00D57902">
        <w:t xml:space="preserve"> and CHA</w:t>
      </w:r>
      <w:r w:rsidR="00D57902" w:rsidRPr="00D57902">
        <w:rPr>
          <w:vertAlign w:val="subscript"/>
        </w:rPr>
        <w:t>2</w:t>
      </w:r>
      <w:r w:rsidR="00D57902">
        <w:t>DS</w:t>
      </w:r>
      <w:r w:rsidR="00D57902" w:rsidRPr="00D57902">
        <w:rPr>
          <w:vertAlign w:val="subscript"/>
        </w:rPr>
        <w:t>2</w:t>
      </w:r>
      <w:r w:rsidR="00D57902">
        <w:t>-VASc, which use demographic and clinical characteristics to produce a stroke risk score.</w:t>
      </w:r>
      <w:r w:rsidR="00374E80">
        <w:fldChar w:fldCharType="begin" w:fldLock="1"/>
      </w:r>
      <w:r w:rsidR="009C7509">
        <w:instrText>ADDIN CSL_CITATION { "citationItems" : [ { "id" : "ITEM-1", "itemData" : { "DOI" : "ehq278 [pii]\n10.1093/eurheartj/ehq278", "ISBN" : "1522-9645 (Electronic)\n0195-668X (Linking)", "author" : [ { "family" : "Camm", "given" : "A J" }, { "family" : "Kirchhof", "given" : "P" }, { "family" : "Lip", "given" : "G Y" }, { "family" : "Schotten", "given" : "U" }, { "family" : "Savelieva", "given" : "I" }, { "family" : "Ernst", "given" : "S" }, { "family" : "Van Gelder", "given" : "I C" }, { "family" : "Al-Attar", "given" : "N" }, { "family" : "Hindricks", "given" : "G" }, { "family" : "Prendergast", "given" : "B" }, { "family" : "Heidbuchel", "given" : "H" }, { "family" : "Alfieri", "given" : "O" }, { "family" : "Angelini", "given" : "A" }, { "family" : "Atar", "given" : "D" }, { "family" : "Colonna", "given" : "P" }, { "family" : "De Caterina", "given" : "R" }, { "family" : "De Sutter", "given" : "J" }, { "family" : "Goette", "given" : "A" }, { "family" : "Gorenek", "given" : "B" }, { "family" : "Heldal", "given" : "M" }, { "family" : "Hohloser", "given" : "S H" }, { "family" : "Kolh", "given" : "P" }, { "family" : "Le Heuzey", "given" : "J Y" }, { "family" : "Ponikowski", "given" : "P" }, { "family" : "Rutten", "given" : "F H" } ], "container-title" : "Eur Heart J", "edition" : "2010/08/31", "id" : "ITEM-1", "issue" : "19", "issued" : { "date-parts" : [ [ "2010" ] ] }, "note" : "&lt;m:note&gt;European Heart Rhythm Association&lt;m:linebreak/&gt;European Association for Cardio-Thoracic Surgery&lt;m:linebreak/&gt;Camm, A John&lt;m:linebreak/&gt;Kirchhof, Paulus&lt;m:linebreak/&gt;Lip, Gregory Y H&lt;m:linebreak/&gt;Schotten, Ulrich&lt;m:linebreak/&gt;Savelieva, Irene&lt;m:linebreak/&gt;Ernst, Sabine&lt;m:linebreak/&gt;Van Gelder, Isabelle C&lt;m:linebreak/&gt;Al-Attar, Nawwar&lt;m:linebreak/&gt;Hindricks, Gerhard&lt;m:linebreak/&gt;Prendergast, Bernard&lt;m:linebreak/&gt;Heidbuchel, Hein&lt;m:linebreak/&gt;Alfieri, Ottavio&lt;m:linebreak/&gt;Angelini, Annalisa&lt;m:linebreak/&gt;Atar, Dan&lt;m:linebreak/&gt;Colonna, Paolo&lt;m:linebreak/&gt;De Caterina, Raffaele&lt;m:linebreak/&gt;De Sutter, Johan&lt;m:linebreak/&gt;Goette, Andreas&lt;m:linebreak/&gt;Gorenek, Bulent&lt;m:linebreak/&gt;Heldal, Magnus&lt;m:linebreak/&gt;Hohloser, Stefan H&lt;m:linebreak/&gt;Kolh, Philippe&lt;m:linebreak/&gt;Le Heuzey, Jean-Yves&lt;m:linebreak/&gt;Ponikowski, Piotr&lt;m:linebreak/&gt;Rutten, Frans H&lt;m:linebreak/&gt;Practice Guideline&lt;m:linebreak/&gt;England&lt;m:linebreak/&gt;European heart journal&lt;m:linebreak/&gt;Eur Heart J. 2010 Oct;31(19):2369-429. Epub 2010 Aug 29.&lt;/m:note&gt;", "page" : "2369-2429", "title" : "Guidelines for the management of atrial fibrillation: the Task Force for the Management of Atrial Fibrillation of the European Society of Cardiology (ESC)", "type" : "article-journal", "volume" : "31" }, "uris" : [ "http://www.mendeley.com/documents/?uuid=cd676823-b526-432d-ab86-77564884dbcb" ] } ], "mendeley" : { "previouslyFormattedCitation" : "(3)" }, "properties" : { "noteIndex" : 0 }, "schema" : "https://github.com/citation-style-language/schema/raw/master/csl-citation.json" }</w:instrText>
      </w:r>
      <w:r w:rsidR="00374E80">
        <w:fldChar w:fldCharType="separate"/>
      </w:r>
      <w:r w:rsidR="004B7B0B" w:rsidRPr="004B7B0B">
        <w:rPr>
          <w:noProof/>
        </w:rPr>
        <w:t>(3)</w:t>
      </w:r>
      <w:r w:rsidR="00374E80">
        <w:fldChar w:fldCharType="end"/>
      </w:r>
      <w:r w:rsidR="00D57902">
        <w:t xml:space="preserve"> If this score is at or exceeds a threshold, the decision to prescribe OACs is made. </w:t>
      </w:r>
    </w:p>
    <w:p w:rsidR="00374A9D" w:rsidRDefault="00E55A94" w:rsidP="008D11C1">
      <w:r>
        <w:t xml:space="preserve">The population of interest is all male patients with newly diagnosed AF and without a history of coronary heart disease or stroke (i.e. patients whom the current clinical prediction rules would suggest have only a very low stroke risk, indicated by a risk prediction score </w:t>
      </w:r>
      <w:proofErr w:type="spellStart"/>
      <w:r>
        <w:t>score</w:t>
      </w:r>
      <w:proofErr w:type="spellEnd"/>
      <w:r>
        <w:t xml:space="preserve"> of zero, and so would not current</w:t>
      </w:r>
      <w:r w:rsidR="007461E7">
        <w:t>ly</w:t>
      </w:r>
      <w:r>
        <w:t xml:space="preserve"> receive OACs). </w:t>
      </w:r>
      <w:r w:rsidR="00D57902">
        <w:t xml:space="preserve">This study assesses </w:t>
      </w:r>
      <w:r w:rsidR="003F5221">
        <w:t xml:space="preserve">whether performing </w:t>
      </w:r>
      <w:r w:rsidR="00307F5F">
        <w:t>an addi</w:t>
      </w:r>
      <w:r w:rsidR="00C007A4">
        <w:t>tional, slightly more expensive</w:t>
      </w:r>
      <w:r w:rsidR="00307F5F">
        <w:t xml:space="preserve"> </w:t>
      </w:r>
      <w:r w:rsidR="00C3051A">
        <w:t xml:space="preserve">diagnostic test in </w:t>
      </w:r>
      <w:r>
        <w:t>the population of interest</w:t>
      </w:r>
      <w:r w:rsidR="00C3051A">
        <w:t xml:space="preserve"> </w:t>
      </w:r>
      <w:r w:rsidR="00307F5F">
        <w:t xml:space="preserve">would lead to </w:t>
      </w:r>
      <w:r w:rsidR="003F5221">
        <w:t>better clinical outcomes on average (clinical effectiveness)</w:t>
      </w:r>
      <w:r w:rsidR="00307F5F">
        <w:t xml:space="preserve">. </w:t>
      </w:r>
      <w:r w:rsidR="00D65C68">
        <w:t>If such additional testing is clinically effective, it is also important to evaluate whether the additional health benefits are proportionate to the additional costs accrued, and the additional testing is cost effective at standard NICE decision-making thresholds.</w:t>
      </w:r>
      <w:r w:rsidR="00C007A4">
        <w:t xml:space="preserve"> </w:t>
      </w:r>
      <w:r w:rsidR="00D65C68">
        <w:t xml:space="preserve">The </w:t>
      </w:r>
      <w:r w:rsidR="00C007A4">
        <w:t xml:space="preserve">additional diagnostic test of interest is </w:t>
      </w:r>
      <w:proofErr w:type="spellStart"/>
      <w:r w:rsidR="00C007A4">
        <w:t>transthoracic</w:t>
      </w:r>
      <w:proofErr w:type="spellEnd"/>
      <w:r w:rsidR="00C007A4">
        <w:t xml:space="preserve"> echocardiography (TTE)</w:t>
      </w:r>
      <w:r w:rsidR="00CE721E">
        <w:t xml:space="preserve">, a non invasive procedure that allows imaging of the heart and blood flow. </w:t>
      </w:r>
    </w:p>
    <w:p w:rsidR="00395BE3" w:rsidRDefault="00374A9D" w:rsidP="008D11C1">
      <w:r>
        <w:t xml:space="preserve">In this study a discrete event simulation (DES) model was developed to model the long-term implications of performing TTEs in </w:t>
      </w:r>
      <w:r w:rsidR="00E55A94">
        <w:t xml:space="preserve">the population of interest </w:t>
      </w:r>
      <w:r>
        <w:t xml:space="preserve">when making the decision whether to prescribe OACs. </w:t>
      </w:r>
      <w:proofErr w:type="spellStart"/>
      <w:r>
        <w:t>Dabigatran</w:t>
      </w:r>
      <w:proofErr w:type="spellEnd"/>
      <w:r>
        <w:t xml:space="preserve"> was selected as the OAC to model, as it has recently been recommended </w:t>
      </w:r>
      <w:r>
        <w:lastRenderedPageBreak/>
        <w:t>for use in this population group by NICE</w:t>
      </w:r>
      <w:r w:rsidR="00974077">
        <w:t xml:space="preserve"> </w:t>
      </w:r>
      <w:r w:rsidR="00374E80">
        <w:fldChar w:fldCharType="begin" w:fldLock="1"/>
      </w:r>
      <w:r w:rsidR="009C7509">
        <w:instrText>ADDIN CSL_CITATION { "citationItems" : [ { "id" : "ITEM-1", "itemData" : { "author" : [ { "family" : "NICE", "given" : "" } ], "id" : "ITEM-1", "issued" : { "date-parts" : [ [ "2012" ] ] }, "note" : "&lt;m:note&gt;&lt;/m:note&gt;", "page" : "46", "title" : "Final appraisal determination \u2013 Dabigatran etexilate for the prevention of stroke and systemic embolism in atrial fibrillation", "type" : "report" }, "uris" : [ "http://www.mendeley.com/documents/?uuid=1cf9ef66-0457-4d23-8965-fe2f9c250e13" ] } ], "mendeley" : { "previouslyFormattedCitation" : "(4)" }, "properties" : { "noteIndex" : 0 }, "schema" : "https://github.com/citation-style-language/schema/raw/master/csl-citation.json" }</w:instrText>
      </w:r>
      <w:r w:rsidR="00374E80">
        <w:fldChar w:fldCharType="separate"/>
      </w:r>
      <w:r w:rsidR="004B7B0B" w:rsidRPr="004B7B0B">
        <w:rPr>
          <w:noProof/>
        </w:rPr>
        <w:t>(4)</w:t>
      </w:r>
      <w:r w:rsidR="00374E80">
        <w:fldChar w:fldCharType="end"/>
      </w:r>
      <w:r>
        <w:t xml:space="preserve">, and carries a </w:t>
      </w:r>
      <w:r w:rsidR="00E55A94">
        <w:t xml:space="preserve">lower risk of bleeding </w:t>
      </w:r>
      <w:r>
        <w:t xml:space="preserve">than </w:t>
      </w:r>
      <w:proofErr w:type="spellStart"/>
      <w:r>
        <w:t>warfarin</w:t>
      </w:r>
      <w:proofErr w:type="spellEnd"/>
      <w:r>
        <w:t>.</w:t>
      </w:r>
      <w:r w:rsidR="00374E80">
        <w:fldChar w:fldCharType="begin" w:fldLock="1"/>
      </w:r>
      <w:r w:rsidR="009C7509">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"family" : "Eikelboom", "given" : "J W" }, { "family" : "Wallentin", "given" : "L" }, { "family" : "Connolly", "given" : "S J" }, { "family" : "Ezekowitz", "given" : "M" }, { "family" : "Healey", "given" : "J S" }, { "family" : "Oldgren", "given" : "J" }, { "family" : "Yang", "given" : "S" }, { "family" : "Alings", "given" : "M" }, { "family" : "Kaatz", "given" : "S" }, { "family" : "Hohnloser", "given" : "S H" }, { "family" : "Diener", "given" : "H C" }, { "family" : "Franzosi", "given" : "M G" }, { "family" : "Huber", "given" : "K" }, { "family" : "Reilly", "given" : "P" }, { "family" : "Varrone", "given" : "J" }, { "family" : "Yusuf", "given" : "S" } ], "container-title" : "Circulation", "edition" : "2011/05/18", "id" : "ITEM-1", "issue" : "21", "issued" : { "date-parts" : [ [ "2011" ] ] }, "note" : "&lt;m:note&gt;Eikelboom, John W&lt;m:linebreak/&gt;Wallentin, Lars&lt;m:linebreak/&gt;Connolly, Stuart J&lt;m:linebreak/&gt;Ezekowitz, Mike&lt;m:linebreak/&gt;Healey, Jeff S&lt;m:linebreak/&gt;Oldgren, Jonas&lt;m:linebreak/&gt;Yang, Sean&lt;m:linebreak/&gt;Alings, Marco&lt;m:linebreak/&gt;Kaatz, Scott&lt;m:linebreak/&gt;Hohnloser, Stefan H&lt;m:linebreak/&gt;Diener, Hans-Christoph&lt;m:linebreak/&gt;Franzosi, Maria Grazia&lt;m:linebreak/&gt;Huber, Kurt&lt;m:linebreak/&gt;Reilly, Paul&lt;m:linebreak/&gt;Varrone, Jeanne&lt;m:linebreak/&gt;Yusuf, Salim&lt;m:linebreak/&gt;Comparative Study&lt;m:linebreak/&gt;Randomized Controlled Trial&lt;m:linebreak/&gt;Research Support, Non-U.S. Gov't&lt;m:linebreak/&gt;United States&lt;m:linebreak/&gt;Circulation&lt;m:linebreak/&gt;Circulation. 2011 May 31;123(21):2363-72. Epub 2011 May 16.&lt;/m:note&gt;",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"(5)" }, "properties" : { "noteIndex" : 0 }, "schema" : "https://github.com/citation-style-language/schema/raw/master/csl-citation.json" }</w:instrText>
      </w:r>
      <w:r w:rsidR="00374E80">
        <w:fldChar w:fldCharType="separate"/>
      </w:r>
      <w:r w:rsidR="004B7B0B" w:rsidRPr="004B7B0B">
        <w:rPr>
          <w:noProof/>
        </w:rPr>
        <w:t>(5)</w:t>
      </w:r>
      <w:r w:rsidR="00374E80">
        <w:fldChar w:fldCharType="end"/>
      </w:r>
      <w:r>
        <w:t xml:space="preserve"> Patients whom the prediction rule would suggest are of lowest stroke risk, and so would not normally be prescribed OAC, are </w:t>
      </w:r>
      <w:r w:rsidR="00E55A94">
        <w:t xml:space="preserve">additionally </w:t>
      </w:r>
      <w:r>
        <w:t xml:space="preserve">assessed using TTE. If TTE identifies at least one type of left </w:t>
      </w:r>
      <w:proofErr w:type="spellStart"/>
      <w:r>
        <w:t>atrial</w:t>
      </w:r>
      <w:proofErr w:type="spellEnd"/>
      <w:r>
        <w:t xml:space="preserve"> abnormality (LA ABN), which has been shown to lead to an increased stroke risk,</w:t>
      </w:r>
      <w:r w:rsidR="00374E80">
        <w:fldChar w:fldCharType="begin" w:fldLock="1"/>
      </w:r>
      <w:r w:rsidR="009C7509">
        <w:instrText>ADDIN CSL_CITATION { "citationItems" : [ { "id" : "ITEM-1", "itemData" : { "ISBN" : "0003-4819 (Print)\n0003-4819 (Linking)", "abstract" : "BACKGROUND: Transesophageal echocardiography (TEE) visualizes potential sources of embolism in patients with atrial fibrillation, but the clinical significance of TEE findings has not been prospectively established. OBJECTIVE: To define TEE predictors of stroke in patients with atrial fibrillation and to examine response to antithrombotic therapy. DESIGN: Prospective correlation of TEE findings at study entry with subsequent ischemic stroke during 1.1-year mean follow-up of participants in a randomized trial. SETTING: 18 echocardiography laboratories. PATIENTS: 382 patients with atrial fibrillation at high risk for thromboembolism. INTERVENTION: Adjusted-dose warfarin (international normalized ratio, 2 to 3) or low-intensity warfarin (international normalized ratio, 1.2 to 1.5) plus aspirin (325 mg/d). MEASUREMENTS: Size of left atrium and left atrial appendage, flow velocity, spontaneous echocardiographic contrast, thrombus, and plaque on the aortic arch. RESULTS: 23 ischemic strokes occurred. In patients with dense spontaneous echocardiographic contrast (20%), the rate of stroke was 18.2% per year with combination therapy (2.9 times the rate in patients without this finding; P = 0.06) and 4.5% per year with adjusted-dose warfarin (P = 0.09 for rate reduction). Appendage thrombus, detected in 10% of patients, was associated with dense spontaneous echocardiographic contrast (P &lt; 0.001), was seen more frequently after 2 weeks of combination therapy (15%) than after 2 weeks of adjusted-dose warfarin (4%) (P = 0.004), and tripled the overall rate of stroke (P = 0.04). Patients with complex aortic plaque (35%) had a fourfold increased rate of stroke compared with plaque-free patients (P = 0.005); adjusted-dose warfarin decreased risk by 75% (P = 0.02). Dense spontaneous echocardiographic contrast and complex aortic plaque were independent of each other as predictors of thromboembolism. CONCLUSIONS: In high-risk patients with atrial fibrillation, subsequent rates of thromboembolism are correlated with dense spontaneous echocardiographic contrast, thrombus of the atrial appendage, and aortic plaque. Adjusted-dose warfarin reduces the rate of stroke among patients with dense contrast and complex plaque. In patients with atrial fibrillation, the pathogenesis of stroke is multifactorial, and warfarin seems effective for the diverse mechanisms.", "container-title" : "Ann Intern Med", "edition" : "1998/12/16", "id" : "ITEM-1", "issue" : "8", "issued" : { "date-parts" : [ [ "1998" ] ] }, "note" : "&lt;m:note&gt;R01-NS-24224/NS/NINDS NIH HHS/United States&lt;m:linebreak/&gt;R01-NS-33351/NS/NINDS NIH HHS/United States&lt;m:linebreak/&gt;Clinical Trial&lt;m:linebreak/&gt;Randomized Controlled Trial&lt;m:linebreak/&gt;Research Support, U.S. Gov't, P.H.S.&lt;m:linebreak/&gt;United states&lt;m:linebreak/&gt;Annals of internal medicine&lt;m:linebreak/&gt;Ann Intern Med. 1998 Apr 15;128(8):639-47.&lt;/m:note&gt;", "page" : "639-647", "title" : "Transesophageal echocardiographic correlates of thromboembolism in high-risk patients with nonvalvular atrial fibrillation. The Stroke Prevention in Atrial Fibrillation Investigators Committee on Echocardiography", "type" : "article-journal", "volume" : "128" }, "uris" : [ "http://www.mendeley.com/documents/?uuid=968b0944-cf4e-4f23-91e7-760351b2bc71" ] } ], "mendeley" : { "previouslyFormattedCitation" : "(6)" }, "properties" : { "noteIndex" : 0 }, "schema" : "https://github.com/citation-style-language/schema/raw/master/csl-citation.json" }</w:instrText>
      </w:r>
      <w:r w:rsidR="00374E80">
        <w:fldChar w:fldCharType="separate"/>
      </w:r>
      <w:r w:rsidR="004B7B0B" w:rsidRPr="004B7B0B">
        <w:rPr>
          <w:noProof/>
        </w:rPr>
        <w:t>(6)</w:t>
      </w:r>
      <w:r w:rsidR="00374E80">
        <w:fldChar w:fldCharType="end"/>
      </w:r>
      <w:r>
        <w:t xml:space="preserve"> then they are also prescribed OACs. </w:t>
      </w:r>
      <w:r w:rsidR="00655A1D">
        <w:t>As</w:t>
      </w:r>
      <w:r>
        <w:t xml:space="preserve"> a result of this, more people will be prescribed OACs when TTE is included in the diagnost</w:t>
      </w:r>
      <w:r w:rsidR="00655A1D">
        <w:t xml:space="preserve">ic package than when it is not, so </w:t>
      </w:r>
      <w:r>
        <w:t xml:space="preserve">any potential cost savings would be as a result of preventing strokes and the costs to the NHS that result from them.  </w:t>
      </w:r>
    </w:p>
    <w:p w:rsidR="0005390C" w:rsidRDefault="00C007A4" w:rsidP="009C2038">
      <w:pPr>
        <w:pStyle w:val="Heading2"/>
        <w:numPr>
          <w:ilvl w:val="0"/>
          <w:numId w:val="0"/>
        </w:numPr>
      </w:pPr>
      <w:r>
        <w:t>Method</w:t>
      </w:r>
      <w:r w:rsidR="00E57550">
        <w:t>s</w:t>
      </w:r>
    </w:p>
    <w:p w:rsidR="00E57550" w:rsidRDefault="00E57550" w:rsidP="008D11C1">
      <w:r>
        <w:t xml:space="preserve">The mathematical model developed estimated the effect of </w:t>
      </w:r>
      <w:r w:rsidR="006D7B3B">
        <w:t xml:space="preserve">performing TTE in all newly diagnosed 60 year old males with AF, on the decision to prescribe </w:t>
      </w:r>
      <w:proofErr w:type="spellStart"/>
      <w:r w:rsidR="006D7B3B">
        <w:t>dabigatran</w:t>
      </w:r>
      <w:proofErr w:type="spellEnd"/>
      <w:r w:rsidR="006D7B3B">
        <w:t xml:space="preserve"> and outcomes following this decision, compared with just using one of two related clinical prediction rules (described later) to make this decision. </w:t>
      </w:r>
      <w:r w:rsidR="003E2F7C">
        <w:t xml:space="preserve">Males aged </w:t>
      </w:r>
      <w:proofErr w:type="gramStart"/>
      <w:r w:rsidR="003E2F7C">
        <w:t>under</w:t>
      </w:r>
      <w:proofErr w:type="gramEnd"/>
      <w:r w:rsidR="003E2F7C">
        <w:t xml:space="preserve"> 65 were considered because being female and being aged 65 or older are risk factors according to the </w:t>
      </w:r>
      <w:r w:rsidR="007461E7">
        <w:t>CHA</w:t>
      </w:r>
      <w:r w:rsidR="007461E7" w:rsidRPr="00A07773">
        <w:rPr>
          <w:vertAlign w:val="subscript"/>
        </w:rPr>
        <w:t>2</w:t>
      </w:r>
      <w:r w:rsidR="007461E7">
        <w:t>DS</w:t>
      </w:r>
      <w:r w:rsidR="007461E7" w:rsidRPr="00A07773">
        <w:rPr>
          <w:vertAlign w:val="subscript"/>
        </w:rPr>
        <w:t>2</w:t>
      </w:r>
      <w:r w:rsidR="007461E7">
        <w:softHyphen/>
        <w:t xml:space="preserve">-VASc clinical prediction rule, </w:t>
      </w:r>
      <w:r w:rsidR="003E2F7C">
        <w:t xml:space="preserve">and so would lead to a decision to prescribe OACs even in the absence of information from TTE. </w:t>
      </w:r>
      <w:r w:rsidR="006D7B3B">
        <w:t>The health economic outcome of interest is the quality adjusted life</w:t>
      </w:r>
      <w:r w:rsidR="00397705">
        <w:t xml:space="preserve"> </w:t>
      </w:r>
      <w:r w:rsidR="006D7B3B">
        <w:t>year (QALY). An NHS perspective is adopted</w:t>
      </w:r>
      <w:r w:rsidR="003E2F7C">
        <w:t>, so that costs incurred by the patient or wider society are not considered</w:t>
      </w:r>
      <w:r w:rsidR="006D7B3B">
        <w:t xml:space="preserve">. Standard NICE discount rates for utilities and costs of 3.5% per annum are used. </w:t>
      </w:r>
      <w:r w:rsidR="00374E80">
        <w:fldChar w:fldCharType="begin" w:fldLock="1"/>
      </w:r>
      <w:r w:rsidR="009C7509">
        <w:instrText>ADDIN CSL_CITATION { "citationItems" : [ { "id" : "ITEM-1", "itemData" : { "author" : [ { "family" : "NICE", "given" : "" } ], "id" : "ITEM-1", "issued" : { "date-parts" : [ [ "2008" ] ] }, "page" : "80", "title" : "Guide to the methods of technoloy appraisal", "type" : "report" }, "uris" : [ "http://www.mendeley.com/documents/?uuid=cd033cb2-d65d-48dd-9230-e0ece575195f", "http://www.mendeley.com/documents/?uuid=c47d1ddf-6159-47a9-9d46-18940ac72cc8" ] } ], "mendeley" : { "previouslyFormattedCitation" : "(7)" }, "properties" : { "noteIndex" : 0 }, "schema" : "https://github.com/citation-style-language/schema/raw/master/csl-citation.json" }</w:instrText>
      </w:r>
      <w:r w:rsidR="00374E80">
        <w:fldChar w:fldCharType="separate"/>
      </w:r>
      <w:r w:rsidR="004B7B0B" w:rsidRPr="004B7B0B">
        <w:rPr>
          <w:noProof/>
        </w:rPr>
        <w:t>(7)</w:t>
      </w:r>
      <w:r w:rsidR="00374E80">
        <w:fldChar w:fldCharType="end"/>
      </w:r>
      <w:r w:rsidR="004B7B0B">
        <w:t xml:space="preserve"> </w:t>
      </w:r>
      <w:r w:rsidR="00E36064">
        <w:t xml:space="preserve">A lifetime horizon is adopted. </w:t>
      </w:r>
      <w:r w:rsidR="006D7B3B">
        <w:t xml:space="preserve">In order to incorporate the effect of uncertainty on predicted outcomes, a probabilistic model is used, </w:t>
      </w:r>
      <w:r w:rsidR="00834F71">
        <w:t>meaning</w:t>
      </w:r>
      <w:r w:rsidR="006D7B3B">
        <w:t xml:space="preserve"> that where possible model parameter estimates are drawn from distributions rather than assumed to be fixed values. The central estimates </w:t>
      </w:r>
      <w:r w:rsidR="00A07773">
        <w:t xml:space="preserve">were </w:t>
      </w:r>
      <w:r w:rsidR="006D7B3B">
        <w:t xml:space="preserve">derived by taking mean values from probabilistic sensitivity analyses, rather than from a deterministic model run, in order to incorporate nonlinearities between </w:t>
      </w:r>
      <w:r w:rsidR="005E46D7">
        <w:t xml:space="preserve">model </w:t>
      </w:r>
      <w:r w:rsidR="006D7B3B">
        <w:t>parameters and outcomes.</w:t>
      </w:r>
    </w:p>
    <w:p w:rsidR="00515AEC" w:rsidRDefault="00515AEC" w:rsidP="00515AEC">
      <w:pPr>
        <w:pStyle w:val="Heading3"/>
        <w:numPr>
          <w:ilvl w:val="0"/>
          <w:numId w:val="0"/>
        </w:numPr>
      </w:pPr>
      <w:r>
        <w:t>Model Overview</w:t>
      </w:r>
    </w:p>
    <w:p w:rsidR="00004236" w:rsidRPr="00EF4EB9" w:rsidRDefault="00397705" w:rsidP="008D11C1">
      <w:r>
        <w:t>A</w:t>
      </w:r>
      <w:r w:rsidR="00004236" w:rsidRPr="00EF4EB9">
        <w:t xml:space="preserve">n overview of the model is presented in </w:t>
      </w:r>
      <w:r w:rsidR="00374E80">
        <w:fldChar w:fldCharType="begin"/>
      </w:r>
      <w:r w:rsidR="00ED065B">
        <w:instrText xml:space="preserve"> REF _Ref321241706 \h </w:instrText>
      </w:r>
      <w:r w:rsidR="00374E80">
        <w:fldChar w:fldCharType="separate"/>
      </w:r>
      <w:r w:rsidR="00BD4F95">
        <w:t>Figure 1</w:t>
      </w:r>
      <w:r w:rsidR="00374E80">
        <w:fldChar w:fldCharType="end"/>
      </w:r>
      <w:r w:rsidR="00C007A4">
        <w:t>.</w:t>
      </w:r>
      <w:r w:rsidR="00004236" w:rsidRPr="00EF4EB9">
        <w:t xml:space="preserve"> The model </w:t>
      </w:r>
      <w:r w:rsidR="00834F71">
        <w:t xml:space="preserve">comprises </w:t>
      </w:r>
      <w:r w:rsidR="00657538">
        <w:t xml:space="preserve">a </w:t>
      </w:r>
      <w:r w:rsidR="00004236" w:rsidRPr="00EF4EB9">
        <w:t xml:space="preserve">short-term </w:t>
      </w:r>
      <w:r w:rsidR="00A07773">
        <w:t xml:space="preserve">diagnostic stage and </w:t>
      </w:r>
      <w:r w:rsidR="00834F71">
        <w:t xml:space="preserve">a </w:t>
      </w:r>
      <w:r w:rsidR="00A07773">
        <w:t xml:space="preserve">long-term patient outcome stage. In the short-term stage </w:t>
      </w:r>
      <w:r w:rsidR="00004236" w:rsidRPr="00EF4EB9">
        <w:t>the clinical characteristics of a patient are generated, and the decision whether or not to prescribe OAC is made</w:t>
      </w:r>
      <w:r w:rsidR="00A07773">
        <w:t xml:space="preserve">. In the </w:t>
      </w:r>
      <w:r w:rsidR="00004236" w:rsidRPr="00EF4EB9">
        <w:t xml:space="preserve">long-term simulation </w:t>
      </w:r>
      <w:r w:rsidR="00A07773">
        <w:t xml:space="preserve">the patient’s clinical outcomes are simulated. Over the patient lifetime the patient may experience a stroke or major bleeding event, or a death from another cause. Each of these events </w:t>
      </w:r>
      <w:proofErr w:type="gramStart"/>
      <w:r w:rsidR="00A07773">
        <w:t>ha</w:t>
      </w:r>
      <w:r w:rsidR="004B7B0B">
        <w:t>ve</w:t>
      </w:r>
      <w:proofErr w:type="gramEnd"/>
      <w:r w:rsidR="004B7B0B">
        <w:t xml:space="preserve"> associated costs and utility implications</w:t>
      </w:r>
      <w:r w:rsidR="00A07773">
        <w:t xml:space="preserve">. By </w:t>
      </w:r>
      <w:r w:rsidR="004B7B0B">
        <w:t xml:space="preserve">simulating </w:t>
      </w:r>
      <w:r w:rsidR="00A07773">
        <w:t xml:space="preserve">the outcomes for a large number of patients, the average associated costs and utilities following </w:t>
      </w:r>
      <w:r w:rsidR="00834F71">
        <w:t xml:space="preserve">alternative </w:t>
      </w:r>
      <w:r w:rsidR="00A07773">
        <w:t>diagnostic strategies (</w:t>
      </w:r>
      <w:r w:rsidR="00834F71">
        <w:t>with</w:t>
      </w:r>
      <w:r w:rsidR="004B7B0B">
        <w:t xml:space="preserve"> and without the use of TTE</w:t>
      </w:r>
      <w:r w:rsidR="00A07773">
        <w:t xml:space="preserve">) were estimated, allowing </w:t>
      </w:r>
      <w:r w:rsidR="00263B7C">
        <w:t>estimation of the mean costs and mean QALYs for both strategies, and so the incremental cost effectiveness ratio (ICER) of including TTE in the diagnostic package.</w:t>
      </w:r>
    </w:p>
    <w:p w:rsidR="00515AEC" w:rsidRDefault="00515AEC" w:rsidP="00515AEC">
      <w:pPr>
        <w:pStyle w:val="Heading3"/>
        <w:numPr>
          <w:ilvl w:val="0"/>
          <w:numId w:val="0"/>
        </w:numPr>
      </w:pPr>
      <w:r>
        <w:lastRenderedPageBreak/>
        <w:t>Comparison of Diagnostic Instruments</w:t>
      </w:r>
    </w:p>
    <w:p w:rsidR="00EF7137" w:rsidRDefault="007D019C" w:rsidP="00834F71">
      <w:r>
        <w:t xml:space="preserve">The criteria and scoring systems used by </w:t>
      </w:r>
      <w:r w:rsidR="00E97667">
        <w:t xml:space="preserve">the two baseline strategies </w:t>
      </w:r>
      <w:r>
        <w:t xml:space="preserve">are shown in </w:t>
      </w:r>
      <w:r w:rsidR="00374E80">
        <w:fldChar w:fldCharType="begin"/>
      </w:r>
      <w:r w:rsidR="00983B8D">
        <w:instrText xml:space="preserve"> REF _Ref321227101 \h </w:instrText>
      </w:r>
      <w:r w:rsidR="00374E80">
        <w:fldChar w:fldCharType="separate"/>
      </w:r>
      <w:r w:rsidR="00983B8D">
        <w:t xml:space="preserve">Table </w:t>
      </w:r>
      <w:r w:rsidR="00983B8D">
        <w:rPr>
          <w:noProof/>
        </w:rPr>
        <w:t>1</w:t>
      </w:r>
      <w:r w:rsidR="00374E80">
        <w:fldChar w:fldCharType="end"/>
      </w:r>
      <w:r w:rsidR="00983B8D">
        <w:t xml:space="preserve"> </w:t>
      </w:r>
      <w:r>
        <w:t xml:space="preserve">below. </w:t>
      </w:r>
      <w:r w:rsidR="00A8404E" w:rsidRPr="008C72E4">
        <w:t>The CHADS</w:t>
      </w:r>
      <w:r w:rsidR="00A8404E" w:rsidRPr="008C72E4">
        <w:rPr>
          <w:vertAlign w:val="subscript"/>
        </w:rPr>
        <w:t>2</w:t>
      </w:r>
      <w:r w:rsidR="00A8404E" w:rsidRPr="008C72E4">
        <w:t xml:space="preserve"> instrument produces a risk score for each patient ranging from</w:t>
      </w:r>
      <w:r w:rsidR="00A8404E">
        <w:t xml:space="preserve"> zero to six points inclusive</w:t>
      </w:r>
      <w:r w:rsidR="00655A1D">
        <w:t xml:space="preserve">, and </w:t>
      </w:r>
      <w:r w:rsidR="00A8404E">
        <w:t>CHA</w:t>
      </w:r>
      <w:r w:rsidR="004111A3" w:rsidRPr="00FD30C1">
        <w:rPr>
          <w:vertAlign w:val="subscript"/>
        </w:rPr>
        <w:t>2</w:t>
      </w:r>
      <w:r w:rsidR="00A8404E">
        <w:t>DS</w:t>
      </w:r>
      <w:r w:rsidR="004111A3" w:rsidRPr="00FD30C1">
        <w:rPr>
          <w:vertAlign w:val="subscript"/>
        </w:rPr>
        <w:t>2</w:t>
      </w:r>
      <w:r w:rsidR="00A8404E">
        <w:t>-VASc assigns patients a score ranging from zero to nine points</w:t>
      </w:r>
      <w:r w:rsidR="00655A1D">
        <w:t xml:space="preserve"> inclusive.</w:t>
      </w:r>
      <w:r w:rsidR="00492057">
        <w:t xml:space="preserve"> </w:t>
      </w:r>
      <w:r w:rsidR="00A8404E">
        <w:t xml:space="preserve">In both cases, it is assumed a patient assigned a risk score of one or more point would be prescribed </w:t>
      </w:r>
      <w:proofErr w:type="spellStart"/>
      <w:r w:rsidR="00A8404E">
        <w:t>dabigatran</w:t>
      </w:r>
      <w:proofErr w:type="spellEnd"/>
      <w:r w:rsidR="00A8404E">
        <w:t>. As a result of this, CHA</w:t>
      </w:r>
      <w:r w:rsidR="00492057" w:rsidRPr="00492057">
        <w:rPr>
          <w:vertAlign w:val="subscript"/>
        </w:rPr>
        <w:t>2</w:t>
      </w:r>
      <w:r w:rsidR="00A8404E">
        <w:t>DS</w:t>
      </w:r>
      <w:r w:rsidR="00A8404E" w:rsidRPr="00492057">
        <w:rPr>
          <w:vertAlign w:val="subscript"/>
        </w:rPr>
        <w:t>2</w:t>
      </w:r>
      <w:r w:rsidR="00A8404E">
        <w:t xml:space="preserve">-VASc </w:t>
      </w:r>
      <w:r w:rsidR="004B7B0B">
        <w:t>will recommend treatment to more people than CHADS</w:t>
      </w:r>
      <w:r w:rsidR="004B7B0B">
        <w:softHyphen/>
      </w:r>
      <w:r w:rsidR="004B7B0B" w:rsidRPr="004B7B0B">
        <w:rPr>
          <w:vertAlign w:val="subscript"/>
        </w:rPr>
        <w:t>2</w:t>
      </w:r>
      <w:r w:rsidR="00850455">
        <w:rPr>
          <w:vertAlign w:val="subscript"/>
        </w:rPr>
        <w:t xml:space="preserve"> </w:t>
      </w:r>
      <w:r w:rsidR="00850455">
        <w:t>given identical thresholds</w:t>
      </w:r>
      <w:r w:rsidR="00A8404E">
        <w:t xml:space="preserve">. </w:t>
      </w:r>
    </w:p>
    <w:p w:rsidR="00515AEC" w:rsidRDefault="00A8404E" w:rsidP="008D11C1">
      <w:r w:rsidRPr="008C72E4">
        <w:t xml:space="preserve">In </w:t>
      </w:r>
      <w:r w:rsidR="00983B8D">
        <w:t xml:space="preserve">the </w:t>
      </w:r>
      <w:r w:rsidRPr="008C72E4">
        <w:t>comparator strategy</w:t>
      </w:r>
      <w:r>
        <w:t xml:space="preserve">, information from TTE is used </w:t>
      </w:r>
      <w:r w:rsidR="009C0DBF">
        <w:t xml:space="preserve">in addition to </w:t>
      </w:r>
      <w:r>
        <w:t>that from the standard clinical prediction rule,</w:t>
      </w:r>
      <w:r w:rsidRPr="008C72E4">
        <w:t xml:space="preserve"> </w:t>
      </w:r>
      <w:r w:rsidR="00983B8D">
        <w:t xml:space="preserve">and so </w:t>
      </w:r>
      <w:r w:rsidRPr="008C72E4">
        <w:t xml:space="preserve">the decision to </w:t>
      </w:r>
      <w:r w:rsidR="00850455">
        <w:t>prescribe OACs</w:t>
      </w:r>
      <w:r w:rsidRPr="008C72E4">
        <w:t xml:space="preserve"> can also be made as a result of TTE identifying a structural feature of left </w:t>
      </w:r>
      <w:proofErr w:type="spellStart"/>
      <w:r w:rsidRPr="008C72E4">
        <w:t>atrial</w:t>
      </w:r>
      <w:proofErr w:type="spellEnd"/>
      <w:r w:rsidRPr="008C72E4">
        <w:t xml:space="preserve"> abnormality (LA ABN) that predisposes an individual to a high risk of stroke</w:t>
      </w:r>
      <w:r w:rsidR="00374E80">
        <w:fldChar w:fldCharType="begin" w:fldLock="1"/>
      </w:r>
      <w:r w:rsidR="009C7509">
        <w:instrText>ADDIN CSL_CITATION { "citationItems" : [ { "id" : "ITEM-1", "itemData" : { "ISBN" : "0003-4819 (Print)\n0003-4819 (Linking)", "abstract" : "BACKGROUND: Transesophageal echocardiography (TEE) visualizes potential sources of embolism in patients with atrial fibrillation, but the clinical significance of TEE findings has not been prospectively established. OBJECTIVE: To define TEE predictors of stroke in patients with atrial fibrillation and to examine response to antithrombotic therapy. DESIGN: Prospective correlation of TEE findings at study entry with subsequent ischemic stroke during 1.1-year mean follow-up of participants in a randomized trial. SETTING: 18 echocardiography laboratories. PATIENTS: 382 patients with atrial fibrillation at high risk for thromboembolism. INTERVENTION: Adjusted-dose warfarin (international normalized ratio, 2 to 3) or low-intensity warfarin (international normalized ratio, 1.2 to 1.5) plus aspirin (325 mg/d). MEASUREMENTS: Size of left atrium and left atrial appendage, flow velocity, spontaneous echocardiographic contrast, thrombus, and plaque on the aortic arch. RESULTS: 23 ischemic strokes occurred. In patients with dense spontaneous echocardiographic contrast (20%), the rate of stroke was 18.2% per year with combination therapy (2.9 times the rate in patients without this finding; P = 0.06) and 4.5% per year with adjusted-dose warfarin (P = 0.09 for rate reduction). Appendage thrombus, detected in 10% of patients, was associated with dense spontaneous echocardiographic contrast (P &lt; 0.001), was seen more frequently after 2 weeks of combination therapy (15%) than after 2 weeks of adjusted-dose warfarin (4%) (P = 0.004), and tripled the overall rate of stroke (P = 0.04). Patients with complex aortic plaque (35%) had a fourfold increased rate of stroke compared with plaque-free patients (P = 0.005); adjusted-dose warfarin decreased risk by 75% (P = 0.02). Dense spontaneous echocardiographic contrast and complex aortic plaque were independent of each other as predictors of thromboembolism. CONCLUSIONS: In high-risk patients with atrial fibrillation, subsequent rates of thromboembolism are correlated with dense spontaneous echocardiographic contrast, thrombus of the atrial appendage, and aortic plaque. Adjusted-dose warfarin reduces the rate of stroke among patients with dense contrast and complex plaque. In patients with atrial fibrillation, the pathogenesis of stroke is multifactorial, and warfarin seems effective for the diverse mechanisms.", "container-title" : "Ann Intern Med", "edition" : "1998/12/16", "id" : "ITEM-1", "issue" : "8", "issued" : { "date-parts" : [ [ "1998" ] ] }, "note" : "&lt;m:note&gt;R01-NS-24224/NS/NINDS NIH HHS/United States&lt;m:linebreak/&gt;R01-NS-33351/NS/NINDS NIH HHS/United States&lt;m:linebreak/&gt;Clinical Trial&lt;m:linebreak/&gt;Randomized Controlled Trial&lt;m:linebreak/&gt;Research Support, U.S. Gov't, P.H.S.&lt;m:linebreak/&gt;United states&lt;m:linebreak/&gt;Annals of internal medicine&lt;m:linebreak/&gt;Ann Intern Med. 1998 Apr 15;128(8):639-47.&lt;/m:note&gt;", "page" : "639-647", "title" : "Transesophageal echocardiographic correlates of thromboembolism in high-risk patients with nonvalvular atrial fibrillation. The Stroke Prevention in Atrial Fibrillation Investigators Committee on Echocardiography", "type" : "article-journal", "volume" : "128" }, "uris" : [ "http://www.mendeley.com/documents/?uuid=968b0944-cf4e-4f23-91e7-760351b2bc71" ] } ], "mendeley" : { "previouslyFormattedCitation" : "(6)" }, "properties" : { "noteIndex" : 0 }, "schema" : "https://github.com/citation-style-language/schema/raw/master/csl-citation.json" }</w:instrText>
      </w:r>
      <w:r w:rsidR="00374E80">
        <w:fldChar w:fldCharType="separate"/>
      </w:r>
      <w:r w:rsidR="004B7B0B" w:rsidRPr="004B7B0B">
        <w:rPr>
          <w:noProof/>
        </w:rPr>
        <w:t>(6)</w:t>
      </w:r>
      <w:r w:rsidR="00374E80">
        <w:fldChar w:fldCharType="end"/>
      </w:r>
      <w:r w:rsidRPr="008C72E4">
        <w:t xml:space="preserve">.  LA ABN </w:t>
      </w:r>
      <w:r w:rsidR="00492057">
        <w:t xml:space="preserve">is defined </w:t>
      </w:r>
      <w:r w:rsidRPr="008C72E4">
        <w:t xml:space="preserve">as a patient having </w:t>
      </w:r>
      <w:r>
        <w:t xml:space="preserve">either a left </w:t>
      </w:r>
      <w:proofErr w:type="spellStart"/>
      <w:r>
        <w:t>atrial</w:t>
      </w:r>
      <w:proofErr w:type="spellEnd"/>
      <w:r>
        <w:t xml:space="preserve"> appendage thrombi, a dense spontaneous echo contrast, or l</w:t>
      </w:r>
      <w:r w:rsidRPr="008C72E4">
        <w:t xml:space="preserve">eft </w:t>
      </w:r>
      <w:proofErr w:type="spellStart"/>
      <w:r w:rsidRPr="008C72E4">
        <w:t>atrial</w:t>
      </w:r>
      <w:proofErr w:type="spellEnd"/>
      <w:r w:rsidRPr="008C72E4">
        <w:t xml:space="preserve"> appendage low flow velocities</w:t>
      </w:r>
      <w:r>
        <w:t>.</w:t>
      </w:r>
      <w:r w:rsidR="00B577E8">
        <w:t xml:space="preserve"> </w:t>
      </w:r>
      <w:r w:rsidR="00374E80">
        <w:fldChar w:fldCharType="begin" w:fldLock="1"/>
      </w:r>
      <w:r w:rsidR="009C7509">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"family" : "Providencia", "given" : "R" }, { "family" : "Botelho", "given" : "A" }, { "family" : "Trigo", "given" : "J" }, { "family" : "Quintal", "given" : "N" }, { "family" : "Nascimento", "given" : "J" }, { "family" : "Mota", "given" : "P" }, { "family" : "Leitao-Marques", "given" : "A" } ], "container-title" : "Europace", "edition" : "2011/08/27", "id" : "ITEM-1", "issue" : "1", "issued" : { "date-parts" : [ [ "2012" ] ] }, "note" : "&lt;m:note&gt;Providencia, Rui&lt;m:linebreak/&gt;Botelho, Ana&lt;m:linebreak/&gt;Trigo, Joana&lt;m:linebreak/&gt;Quintal, Nuno&lt;m:linebreak/&gt;Nascimento, Jose&lt;m:linebreak/&gt;Mota, Paula&lt;m:linebreak/&gt;Leitao-Marques, Antonio&lt;m:linebreak/&gt;England&lt;m:linebreak/&gt;Europace : European pacing, arrhythmias, and cardiac electrophysiology : journal of the working groups on cardiac pacing, arrhythmias, and cardiac cellular electrophysiology of the European Society of Cardiology&lt;m:linebreak/&gt;Europace. 2012 Jan;14(1):36-45. Epub 2011 Aug 24.&lt;/m:note&gt;",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"(8)" }, "properties" : { "noteIndex" : 0 }, "schema" : "https://github.com/citation-style-language/schema/raw/master/csl-citation.json" }</w:instrText>
      </w:r>
      <w:r w:rsidR="00374E80">
        <w:fldChar w:fldCharType="separate"/>
      </w:r>
      <w:r w:rsidR="004B7B0B" w:rsidRPr="004B7B0B">
        <w:rPr>
          <w:noProof/>
        </w:rPr>
        <w:t>(8)</w:t>
      </w:r>
      <w:r w:rsidR="00374E80">
        <w:fldChar w:fldCharType="end"/>
      </w:r>
    </w:p>
    <w:p w:rsidR="00515AEC" w:rsidRDefault="00515AEC" w:rsidP="00515AEC">
      <w:pPr>
        <w:pStyle w:val="Heading3"/>
        <w:numPr>
          <w:ilvl w:val="0"/>
          <w:numId w:val="0"/>
        </w:numPr>
      </w:pPr>
      <w:r w:rsidRPr="007461E7">
        <w:rPr>
          <w:lang w:val="en-GB"/>
        </w:rPr>
        <w:t>Model</w:t>
      </w:r>
      <w:r w:rsidR="00850455" w:rsidRPr="007461E7">
        <w:rPr>
          <w:lang w:val="en-GB"/>
        </w:rPr>
        <w:t>l</w:t>
      </w:r>
      <w:r w:rsidRPr="007461E7">
        <w:rPr>
          <w:lang w:val="en-GB"/>
        </w:rPr>
        <w:t>ing</w:t>
      </w:r>
      <w:r>
        <w:t xml:space="preserve"> of decision</w:t>
      </w:r>
    </w:p>
    <w:p w:rsidR="00850455" w:rsidRDefault="00657538" w:rsidP="008D11C1">
      <w:r>
        <w:t xml:space="preserve">The short term model </w:t>
      </w:r>
      <w:r w:rsidR="00850455">
        <w:t xml:space="preserve">assesses </w:t>
      </w:r>
      <w:r>
        <w:t xml:space="preserve">the effect of including TTE in the diagnostic strategy on the proportion of newly diagnosed AF patients from four mutually exclusive and exhaustive patient groups. </w:t>
      </w:r>
      <w:r w:rsidR="00983B8D">
        <w:t>These groups are defined as</w:t>
      </w:r>
      <w:r>
        <w:t xml:space="preserve">: 1) true positives (TPs): patients </w:t>
      </w:r>
      <w:r w:rsidR="00397705">
        <w:t xml:space="preserve">where the high </w:t>
      </w:r>
      <w:proofErr w:type="gramStart"/>
      <w:r w:rsidR="00397705">
        <w:t>risk feature</w:t>
      </w:r>
      <w:proofErr w:type="gramEnd"/>
      <w:r w:rsidR="00397705">
        <w:t xml:space="preserve"> LA ABN was correctly identified, and as a result </w:t>
      </w:r>
      <w:r w:rsidR="00850455">
        <w:t xml:space="preserve">the patient </w:t>
      </w:r>
      <w:r w:rsidR="00397705">
        <w:t xml:space="preserve">would receive </w:t>
      </w:r>
      <w:proofErr w:type="spellStart"/>
      <w:r w:rsidR="00397705">
        <w:t>dabigatran</w:t>
      </w:r>
      <w:proofErr w:type="spellEnd"/>
      <w:r w:rsidR="00397705">
        <w:t xml:space="preserve">. </w:t>
      </w:r>
      <w:r>
        <w:t xml:space="preserve">2) </w:t>
      </w:r>
      <w:proofErr w:type="gramStart"/>
      <w:r>
        <w:t>true</w:t>
      </w:r>
      <w:proofErr w:type="gramEnd"/>
      <w:r>
        <w:t xml:space="preserve"> negatives (TNs):</w:t>
      </w:r>
      <w:r w:rsidR="00AF094E">
        <w:t xml:space="preserve"> who do not have an LA ABN, and </w:t>
      </w:r>
      <w:r w:rsidR="00850455">
        <w:t xml:space="preserve">in </w:t>
      </w:r>
      <w:r w:rsidR="00AF094E">
        <w:t xml:space="preserve">whom TTE does not misclassify as having LA ABN. These patients </w:t>
      </w:r>
      <w:r w:rsidR="00850455">
        <w:t xml:space="preserve">would </w:t>
      </w:r>
      <w:r w:rsidR="00AF094E">
        <w:t>not receive the OAC. 3) False positives (FPs): Patients whom TTE misclassifies as having a LA ABN. As a result of this, using TTE would lead to these patients being given OACs even though for them this would be the wrong decision</w:t>
      </w:r>
      <w:r w:rsidR="009C0DBF">
        <w:t xml:space="preserve"> under current clinical guidelines</w:t>
      </w:r>
      <w:r w:rsidR="00AF094E">
        <w:t>. 4) False negatives (FNs): Patients with a LA ABN that TTE has failed to identify. These patients would not receive OACs</w:t>
      </w:r>
      <w:r w:rsidR="00850455">
        <w:t>.</w:t>
      </w:r>
    </w:p>
    <w:p w:rsidR="00492057" w:rsidRDefault="00DF7E46" w:rsidP="008D11C1">
      <w:r>
        <w:t>The c</w:t>
      </w:r>
      <w:r w:rsidR="00AF094E">
        <w:t>linical</w:t>
      </w:r>
      <w:r w:rsidR="00983B8D">
        <w:t xml:space="preserve"> effectiveness</w:t>
      </w:r>
      <w:r w:rsidR="00AF094E">
        <w:t xml:space="preserve"> and cost-effectiveness of </w:t>
      </w:r>
      <w:r w:rsidR="00983B8D">
        <w:t>using TTE</w:t>
      </w:r>
      <w:r w:rsidR="00AF094E">
        <w:t xml:space="preserve"> is a function of the mixture of these four patient groups</w:t>
      </w:r>
      <w:r w:rsidR="00CF007B">
        <w:t xml:space="preserve"> within the patient population</w:t>
      </w:r>
      <w:r w:rsidR="00AF094E">
        <w:t xml:space="preserve">, which is itself a function of 1) the true proportion of patients with </w:t>
      </w:r>
      <w:r w:rsidR="00CF007B">
        <w:t xml:space="preserve">a clinical prediction score of zero who have LA ABN and are thus at substantially higher stroke risk than predicted (‘True Proportion High Risk’ or TPHR); and 2) the sensitivity and specificity of TTE in identifying TPHR individuals. The </w:t>
      </w:r>
      <w:r w:rsidR="002C4C31">
        <w:t xml:space="preserve">derivation of these four patient groups in the </w:t>
      </w:r>
      <w:r w:rsidR="003E2F7C">
        <w:t>population</w:t>
      </w:r>
      <w:r w:rsidR="00CF007B">
        <w:t xml:space="preserve"> mix is defined </w:t>
      </w:r>
      <w:r w:rsidR="002C4C31">
        <w:t xml:space="preserve">in </w:t>
      </w:r>
      <w:r w:rsidR="00374E80">
        <w:fldChar w:fldCharType="begin"/>
      </w:r>
      <w:r w:rsidR="00ED065B">
        <w:instrText xml:space="preserve"> REF _Ref321228259 \h </w:instrText>
      </w:r>
      <w:r w:rsidR="00374E80">
        <w:fldChar w:fldCharType="separate"/>
      </w:r>
      <w:r w:rsidR="00E57550">
        <w:t>Table 2</w:t>
      </w:r>
      <w:r w:rsidR="00374E80">
        <w:fldChar w:fldCharType="end"/>
      </w:r>
      <w:r w:rsidR="002C4C31">
        <w:t xml:space="preserve"> below. </w:t>
      </w:r>
      <w:r w:rsidR="00492057">
        <w:t xml:space="preserve">Within the context of the model, the baseline strategy (no TTE) can be considered a diagnostic strategy with a sensitivity of zero and a specificity of one, so the baseline population mix is comprised of TPHR% false negative and 1-TPHR% true negative.  </w:t>
      </w:r>
    </w:p>
    <w:p w:rsidR="00515AEC" w:rsidRDefault="00515AEC" w:rsidP="00515AEC">
      <w:pPr>
        <w:pStyle w:val="Heading3"/>
        <w:numPr>
          <w:ilvl w:val="0"/>
          <w:numId w:val="0"/>
        </w:numPr>
      </w:pPr>
      <w:r>
        <w:t>Data sources used in model</w:t>
      </w:r>
    </w:p>
    <w:p w:rsidR="009C2038" w:rsidRDefault="009C2038" w:rsidP="008D11C1">
      <w:r>
        <w:lastRenderedPageBreak/>
        <w:t xml:space="preserve">A full list of the information used to populate the parameters in the model, including event risks, </w:t>
      </w:r>
      <w:r w:rsidR="00796E10">
        <w:t xml:space="preserve">costs and utilities, is presented in </w:t>
      </w:r>
      <w:r w:rsidR="00374E80">
        <w:fldChar w:fldCharType="begin"/>
      </w:r>
      <w:r w:rsidR="00ED065B">
        <w:instrText xml:space="preserve"> REF _Ref321401422 \h </w:instrText>
      </w:r>
      <w:r w:rsidR="00374E80">
        <w:fldChar w:fldCharType="separate"/>
      </w:r>
      <w:r w:rsidR="00F15320">
        <w:t>Table 3</w:t>
      </w:r>
      <w:r w:rsidR="00374E80">
        <w:fldChar w:fldCharType="end"/>
      </w:r>
      <w:r w:rsidR="00796E10">
        <w:t xml:space="preserve"> below.</w:t>
      </w:r>
    </w:p>
    <w:p w:rsidR="00515AEC" w:rsidRDefault="00515AEC" w:rsidP="00515AEC">
      <w:pPr>
        <w:pStyle w:val="Heading3"/>
        <w:numPr>
          <w:ilvl w:val="0"/>
          <w:numId w:val="0"/>
        </w:numPr>
      </w:pPr>
      <w:r>
        <w:t>Modeling the long-term implications of</w:t>
      </w:r>
      <w:r w:rsidR="00DC17EE">
        <w:t xml:space="preserve"> the</w:t>
      </w:r>
      <w:r>
        <w:t xml:space="preserve"> decision</w:t>
      </w:r>
    </w:p>
    <w:p w:rsidR="00E97667" w:rsidRDefault="00515AEC" w:rsidP="008D11C1">
      <w:proofErr w:type="gramStart"/>
      <w:r>
        <w:t>Prescribing an OAC means reducing the risk to the patient of suffering a stroke, but introducing the risk of causing a potentially fatal major bleeding event.</w:t>
      </w:r>
      <w:proofErr w:type="gramEnd"/>
      <w:r>
        <w:t xml:space="preserve"> </w:t>
      </w:r>
      <w:r w:rsidR="00E97667">
        <w:t>Three mutually exclusive outcomes could result from a stroke: death, a dependent state, and an independent state. Each outcome has different utilities, probabilities and costs. Similarly, three mutually exclusive outcomes could result from a major bleeding event: death, an intracranial (IC) bleeding event, or a non-intracranial (NIC) bleeding event (assumed to be a gastrointestinal bleed). The severity of an IC bleed can vary substantially, and this variation of outcomes was itself simulated using data based on outcomes categorized by GOS score following traumatic brain injury. The full methodology used to produce these estimates is presented elsewhere</w:t>
      </w:r>
      <w:r w:rsidR="00850455">
        <w:t>.</w:t>
      </w:r>
      <w:r w:rsidR="00E97667">
        <w:t xml:space="preserve"> </w:t>
      </w:r>
      <w:r w:rsidR="00374E80">
        <w:fldChar w:fldCharType="begin" w:fldLock="1"/>
      </w:r>
      <w:r w:rsidR="009C7509">
        <w:instrText>ADDIN CSL_CITATION { "citationItems" : [ { "id" : "ITEM-1", "itemData" : { "author" : [ { "family" : "Simpson", "given" : "E L" }, { "family" : "Stevenson", "given" : "M D" }, { "family" : "Scope", "given" : "A" }, { "family" : "Poku", "given" : "E" }, { "family" : "Minton", "given" : "J" }, { "family" : "Evans", "given" : "P" } ], "id" : "ITEM-1", "issued" : { "date-parts" : [ [ "2012" ] ] }, "note" : "&lt;m:note&gt;&lt;/m:note&gt;", "page" : "303", "title" : "Echocardiography in newly diagnosed atrial fibrillation patients: a systematic review and economic evaluation", "type" : "report" }, "uris" : [ "http://www.mendeley.com/documents/?uuid=779c182a-76c2-4bca-b460-1b6ba4032a4a" ] } ], "mendeley" : { "previouslyFormattedCitation" : "(9)" }, "properties" : { "noteIndex" : 0 }, "schema" : "https://github.com/citation-style-language/schema/raw/master/csl-citation.json" }</w:instrText>
      </w:r>
      <w:r w:rsidR="00374E80">
        <w:fldChar w:fldCharType="separate"/>
      </w:r>
      <w:r w:rsidR="00500063" w:rsidRPr="00500063">
        <w:rPr>
          <w:noProof/>
        </w:rPr>
        <w:t>(9)</w:t>
      </w:r>
      <w:r w:rsidR="00374E80">
        <w:fldChar w:fldCharType="end"/>
      </w:r>
      <w:r w:rsidR="00E97667">
        <w:t xml:space="preserve"> </w:t>
      </w:r>
    </w:p>
    <w:p w:rsidR="00F91783" w:rsidRPr="00EF4EB9" w:rsidRDefault="00A8404E" w:rsidP="008D11C1">
      <w:r>
        <w:t xml:space="preserve">The </w:t>
      </w:r>
      <w:r w:rsidR="00515AEC">
        <w:t>model</w:t>
      </w:r>
      <w:r>
        <w:t xml:space="preserve"> is dynamically updated when events occur that affect an individual’s</w:t>
      </w:r>
      <w:r w:rsidR="00F91783">
        <w:t xml:space="preserve"> CHADS</w:t>
      </w:r>
      <w:r w:rsidR="00F91783" w:rsidRPr="003E2F7C">
        <w:rPr>
          <w:vertAlign w:val="subscript"/>
        </w:rPr>
        <w:t>2</w:t>
      </w:r>
      <w:r w:rsidR="00F91783">
        <w:t xml:space="preserve"> or CHA</w:t>
      </w:r>
      <w:r w:rsidR="003E2F7C" w:rsidRPr="003E2F7C">
        <w:rPr>
          <w:vertAlign w:val="subscript"/>
        </w:rPr>
        <w:t>2</w:t>
      </w:r>
      <w:r w:rsidR="00F91783">
        <w:t>DS</w:t>
      </w:r>
      <w:r w:rsidR="003E2F7C" w:rsidRPr="003E2F7C">
        <w:rPr>
          <w:vertAlign w:val="subscript"/>
        </w:rPr>
        <w:t>2</w:t>
      </w:r>
      <w:r w:rsidR="00F91783">
        <w:t>-VASc score, or other characteristics that affect their stroke or bleed risk. For example, when the patient reaches an age of 65, their CHA</w:t>
      </w:r>
      <w:r w:rsidR="003E2F7C" w:rsidRPr="003E2F7C">
        <w:rPr>
          <w:vertAlign w:val="subscript"/>
        </w:rPr>
        <w:t>2</w:t>
      </w:r>
      <w:r w:rsidR="00F91783">
        <w:t>DS</w:t>
      </w:r>
      <w:r w:rsidR="003E2F7C" w:rsidRPr="003E2F7C">
        <w:rPr>
          <w:vertAlign w:val="subscript"/>
        </w:rPr>
        <w:t>2</w:t>
      </w:r>
      <w:r w:rsidR="00F91783">
        <w:t xml:space="preserve">-VASc score increases by one; at age 75 their </w:t>
      </w:r>
      <w:r w:rsidR="00266451">
        <w:t>CHADS</w:t>
      </w:r>
      <w:r w:rsidR="00266451" w:rsidRPr="003E2F7C">
        <w:rPr>
          <w:vertAlign w:val="subscript"/>
        </w:rPr>
        <w:t>2</w:t>
      </w:r>
      <w:r w:rsidR="00266451">
        <w:t xml:space="preserve"> </w:t>
      </w:r>
      <w:r w:rsidR="00F91783">
        <w:t xml:space="preserve">score increases by one </w:t>
      </w:r>
      <w:proofErr w:type="gramStart"/>
      <w:r w:rsidR="00F91783">
        <w:t>point,</w:t>
      </w:r>
      <w:proofErr w:type="gramEnd"/>
      <w:r w:rsidR="00F91783">
        <w:t xml:space="preserve"> and their CHA</w:t>
      </w:r>
      <w:r w:rsidR="003E2F7C" w:rsidRPr="003E2F7C">
        <w:rPr>
          <w:vertAlign w:val="subscript"/>
        </w:rPr>
        <w:t>2</w:t>
      </w:r>
      <w:r w:rsidR="00F91783">
        <w:t>DS</w:t>
      </w:r>
      <w:r w:rsidR="00F91783" w:rsidRPr="003E2F7C">
        <w:rPr>
          <w:vertAlign w:val="subscript"/>
        </w:rPr>
        <w:t>2</w:t>
      </w:r>
      <w:r w:rsidR="00F91783">
        <w:t>-VASc score by an additional point. A stroke leads to an increment of two points on the CHADS</w:t>
      </w:r>
      <w:r w:rsidR="00F91783" w:rsidRPr="003E2F7C">
        <w:rPr>
          <w:vertAlign w:val="subscript"/>
        </w:rPr>
        <w:t>2</w:t>
      </w:r>
      <w:r w:rsidR="00F91783">
        <w:t>/CHA</w:t>
      </w:r>
      <w:r w:rsidR="003E2F7C" w:rsidRPr="003E2F7C">
        <w:rPr>
          <w:vertAlign w:val="subscript"/>
        </w:rPr>
        <w:t>2</w:t>
      </w:r>
      <w:r w:rsidR="00F91783">
        <w:t>DS</w:t>
      </w:r>
      <w:r w:rsidR="00F91783" w:rsidRPr="003E2F7C">
        <w:rPr>
          <w:vertAlign w:val="subscript"/>
        </w:rPr>
        <w:t>2</w:t>
      </w:r>
      <w:r w:rsidR="00F91783">
        <w:t xml:space="preserve">-VASc score. </w:t>
      </w:r>
      <w:r w:rsidR="00F91783" w:rsidRPr="00EF4EB9">
        <w:t>If a patient suffers a major bleeding event, they stop being prescribed the OACs, leading to the risk of bleeds reducing to zero, but the risk of stroke increasing.</w:t>
      </w:r>
      <w:r w:rsidR="00F91783">
        <w:t xml:space="preserve"> </w:t>
      </w:r>
      <w:r w:rsidR="00F91783" w:rsidRPr="00EF4EB9">
        <w:t xml:space="preserve">If a patient experiences a stroke and </w:t>
      </w:r>
      <w:r w:rsidR="00266451">
        <w:t xml:space="preserve">is </w:t>
      </w:r>
      <w:r w:rsidR="00F91783" w:rsidRPr="00EF4EB9">
        <w:t>not already taking an OAC, they are prescribed OACs</w:t>
      </w:r>
      <w:r w:rsidR="00C23AC0">
        <w:t>, provided they have not experienced a previous bleeding episode</w:t>
      </w:r>
      <w:r w:rsidR="00604F56">
        <w:t>.</w:t>
      </w:r>
      <w:r w:rsidR="00F91783">
        <w:t xml:space="preserve"> If a patient suffers a severe intracranial </w:t>
      </w:r>
      <w:r w:rsidR="00F91783" w:rsidRPr="00515AEC">
        <w:rPr>
          <w:lang w:val="en-GB"/>
        </w:rPr>
        <w:t>haemorrhage</w:t>
      </w:r>
      <w:r w:rsidR="00F91783">
        <w:t xml:space="preserve"> (Gl</w:t>
      </w:r>
      <w:r w:rsidR="00604F56">
        <w:t>asgow outcome scale category 2) as</w:t>
      </w:r>
      <w:r w:rsidR="00F91783">
        <w:t xml:space="preserve"> a result of taking OACs, their </w:t>
      </w:r>
      <w:r w:rsidR="00F91783" w:rsidRPr="00EF4EB9">
        <w:t>life expectancy was reduced to a maximum of 3.</w:t>
      </w:r>
      <w:r w:rsidR="009C7509">
        <w:t>6</w:t>
      </w:r>
      <w:r w:rsidR="00F91783" w:rsidRPr="00EF4EB9">
        <w:t xml:space="preserve"> years</w:t>
      </w:r>
      <w:r w:rsidR="00C23AC0">
        <w:t xml:space="preserve"> with no QALY gain</w:t>
      </w:r>
      <w:r w:rsidR="00F91783" w:rsidRPr="00EF4EB9">
        <w:t xml:space="preserve">. </w:t>
      </w:r>
      <w:r w:rsidR="009C7509">
        <w:fldChar w:fldCharType="begin" w:fldLock="1"/>
      </w:r>
      <w:r w:rsidR="009C7509">
        <w:instrText>ADDIN CSL_CITATION { "citationItems" : [ { "id" : "ITEM-1", "itemData" : { "author" : [ { "family" : "PVS", "given" : "The Multi-Society Task Force on" } ], "container-title" : "The New England Journal of Medicine", "id" : "ITEM-1", "issue" : "22", "issued" : { "date-parts" : [ [ "1994" ] ] }, "title" : "Medical aspects of the persistent vegetative state: second of two parts", "type" : "article-journal", "volume" : "330" }, "uris" : [ "http://www.mendeley.com/documents/?uuid=87ec4fe2-f15d-459a-900e-5d76c720d16a" ] } ], "mendeley" : { "previouslyFormattedCitation" : "(10)" }, "properties" : { "noteIndex" : 0 }, "schema" : "https://github.com/citation-style-language/schema/raw/master/csl-citation.json" }</w:instrText>
      </w:r>
      <w:r w:rsidR="009C7509">
        <w:fldChar w:fldCharType="separate"/>
      </w:r>
      <w:r w:rsidR="009C7509" w:rsidRPr="009C7509">
        <w:rPr>
          <w:noProof/>
        </w:rPr>
        <w:t>(10)</w:t>
      </w:r>
      <w:r w:rsidR="009C7509">
        <w:fldChar w:fldCharType="end"/>
      </w:r>
      <w:r w:rsidR="009C7509">
        <w:t xml:space="preserve"> </w:t>
      </w:r>
      <w:r w:rsidR="00604F56">
        <w:t>Additionally, t</w:t>
      </w:r>
      <w:r w:rsidR="00F91783" w:rsidRPr="00EF4EB9">
        <w:t xml:space="preserve">he risk of a major bleeding event when taking </w:t>
      </w:r>
      <w:proofErr w:type="spellStart"/>
      <w:r w:rsidR="00C23AC0">
        <w:t>d</w:t>
      </w:r>
      <w:r w:rsidR="00C23AC0" w:rsidRPr="00EF4EB9">
        <w:t>abigatran</w:t>
      </w:r>
      <w:proofErr w:type="spellEnd"/>
      <w:r w:rsidR="00C23AC0" w:rsidRPr="00EF4EB9">
        <w:t xml:space="preserve"> </w:t>
      </w:r>
      <w:r w:rsidR="00F91783" w:rsidRPr="00EF4EB9">
        <w:t>(150mg twice daily) was also assumed to change a</w:t>
      </w:r>
      <w:r w:rsidR="00C42A71">
        <w:t xml:space="preserve">t the age of 75, as indicated by recent evidence comparing </w:t>
      </w:r>
      <w:proofErr w:type="spellStart"/>
      <w:r w:rsidR="00C42A71">
        <w:t>dabigatran</w:t>
      </w:r>
      <w:proofErr w:type="spellEnd"/>
      <w:r w:rsidR="00C42A71">
        <w:t xml:space="preserve"> with </w:t>
      </w:r>
      <w:proofErr w:type="spellStart"/>
      <w:r w:rsidR="00C42A71">
        <w:t>warfarin</w:t>
      </w:r>
      <w:proofErr w:type="spellEnd"/>
      <w:r w:rsidR="00C42A71">
        <w:t xml:space="preserve">. </w:t>
      </w:r>
      <w:r w:rsidR="00374E80">
        <w:fldChar w:fldCharType="begin" w:fldLock="1"/>
      </w:r>
      <w:r w:rsidR="009C7509">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"family" : "Eikelboom", "given" : "J W" }, { "family" : "Wallentin", "given" : "L" }, { "family" : "Connolly", "given" : "S J" }, { "family" : "Ezekowitz", "given" : "M" }, { "family" : "Healey", "given" : "J S" }, { "family" : "Oldgren", "given" : "J" }, { "family" : "Yang", "given" : "S" }, { "family" : "Alings", "given" : "M" }, { "family" : "Kaatz", "given" : "S" }, { "family" : "Hohnloser", "given" : "S H" }, { "family" : "Diener", "given" : "H C" }, { "family" : "Franzosi", "given" : "M G" }, { "family" : "Huber", "given" : "K" }, { "family" : "Reilly", "given" : "P" }, { "family" : "Varrone", "given" : "J" }, { "family" : "Yusuf", "given" : "S" } ], "container-title" : "Circulation", "edition" : "2011/05/18", "id" : "ITEM-1", "issue" : "21", "issued" : { "date-parts" : [ [ "2011" ] ] }, "note" : "&lt;m:note&gt;Eikelboom, John W&lt;m:linebreak/&gt;Wallentin, Lars&lt;m:linebreak/&gt;Connolly, Stuart J&lt;m:linebreak/&gt;Ezekowitz, Mike&lt;m:linebreak/&gt;Healey, Jeff S&lt;m:linebreak/&gt;Oldgren, Jonas&lt;m:linebreak/&gt;Yang, Sean&lt;m:linebreak/&gt;Alings, Marco&lt;m:linebreak/&gt;Kaatz, Scott&lt;m:linebreak/&gt;Hohnloser, Stefan H&lt;m:linebreak/&gt;Diener, Hans-Christoph&lt;m:linebreak/&gt;Franzosi, Maria Grazia&lt;m:linebreak/&gt;Huber, Kurt&lt;m:linebreak/&gt;Reilly, Paul&lt;m:linebreak/&gt;Varrone, Jeanne&lt;m:linebreak/&gt;Yusuf, Salim&lt;m:linebreak/&gt;Comparative Study&lt;m:linebreak/&gt;Randomized Controlled Trial&lt;m:linebreak/&gt;Research Support, Non-U.S. Gov't&lt;m:linebreak/&gt;United States&lt;m:linebreak/&gt;Circulation&lt;m:linebreak/&gt;Circulation. 2011 May 31;123(21):2363-72. Epub 2011 May 16.&lt;/m:note&gt;",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"(5)" }, "properties" : { "noteIndex" : 0 }, "schema" : "https://github.com/citation-style-language/schema/raw/master/csl-citation.json" }</w:instrText>
      </w:r>
      <w:r w:rsidR="00374E80">
        <w:fldChar w:fldCharType="separate"/>
      </w:r>
      <w:r w:rsidR="00C42A71" w:rsidRPr="00C42A71">
        <w:rPr>
          <w:noProof/>
        </w:rPr>
        <w:t>(5)</w:t>
      </w:r>
      <w:r w:rsidR="00374E80">
        <w:fldChar w:fldCharType="end"/>
      </w:r>
    </w:p>
    <w:p w:rsidR="00454436" w:rsidRPr="00930CCB" w:rsidRDefault="008864FC" w:rsidP="008D11C1">
      <w:bookmarkStart w:id="0" w:name="_Toc316637315"/>
      <w:r>
        <w:t xml:space="preserve">The </w:t>
      </w:r>
      <w:r w:rsidR="00266451">
        <w:t xml:space="preserve">estimate </w:t>
      </w:r>
      <w:r w:rsidR="00670364">
        <w:t xml:space="preserve">costs and QALYs associated with the simulated patient experiences following both baseline (without TTE) and comparator (with TTE) strategies were used to </w:t>
      </w:r>
      <w:r w:rsidR="00266451">
        <w:t xml:space="preserve">calculate </w:t>
      </w:r>
      <w:r w:rsidR="00670364">
        <w:t>the incremental cost effectiveness ratio (ICER) of the comparator strategies compared with the baseline strategies, and so the cost-effectiveness of TTE in this context. The probability that the</w:t>
      </w:r>
      <w:r w:rsidR="00266451">
        <w:t xml:space="preserve"> addition of TTE </w:t>
      </w:r>
      <w:r w:rsidR="00670364">
        <w:t xml:space="preserve">is cost-effective at a wide range of </w:t>
      </w:r>
      <w:r w:rsidR="000F1109" w:rsidRPr="00EF4EB9">
        <w:t>maximum acceptable incremental cost effectiveness ratios</w:t>
      </w:r>
      <w:r w:rsidR="000F1109">
        <w:t xml:space="preserve"> (MAICERS) is </w:t>
      </w:r>
      <w:r w:rsidR="000F1109">
        <w:lastRenderedPageBreak/>
        <w:t xml:space="preserve">presented in the form of cost-effectiveness acceptability curves (CEACs) and cost-effectiveness acceptability frontiers (CEAFs), and the probability of being cost-effective at the commonly quoted threshold of £20,000 per QALY is reported. </w:t>
      </w:r>
      <w:r w:rsidR="00266451">
        <w:t xml:space="preserve"> </w:t>
      </w:r>
      <w:r w:rsidR="00374E80">
        <w:fldChar w:fldCharType="begin" w:fldLock="1"/>
      </w:r>
      <w:r w:rsidR="009C7509">
        <w:instrText>ADDIN CSL_CITATION { "citationItems" : [ { "id" : "ITEM-1", "itemData" : { "URL" : "http://www.nice.org.uk/media/B52/A7/TAMethodsGuideUpdatedJune2008.pdf", "author" : [ { "family" : "NICE", "given" : "" } ], "id" : "ITEM-1", "issued" : { "date-parts" : [ [ "2008" ] ] }, "title" : "Guide to the methods of technology appraisal", "type" : "webpage" }, "uris" : [ "http://www.mendeley.com/documents/?uuid=ed915307-1f9e-4c6a-988a-a9210492d557" ] } ], "mendeley" : { "previouslyFormattedCitation" : "(11)" }, "properties" : { "noteIndex" : 0 }, "schema" : "https://github.com/citation-style-language/schema/raw/master/csl-citation.json" }</w:instrText>
      </w:r>
      <w:r w:rsidR="00374E80">
        <w:fldChar w:fldCharType="separate"/>
      </w:r>
      <w:r w:rsidR="009C7509" w:rsidRPr="009C7509">
        <w:rPr>
          <w:noProof/>
        </w:rPr>
        <w:t>(11)</w:t>
      </w:r>
      <w:r w:rsidR="00374E80">
        <w:fldChar w:fldCharType="end"/>
      </w:r>
    </w:p>
    <w:p w:rsidR="00454436" w:rsidRPr="00500063" w:rsidRDefault="00454436" w:rsidP="008D11C1">
      <w:pPr>
        <w:rPr>
          <w:color w:val="292526"/>
        </w:rPr>
      </w:pPr>
      <w:r w:rsidRPr="00EF4EB9">
        <w:t>The expected value of perfect information (EVPI) was calculated. This provides the maximum level of investment that a funding body would be prepared to pay to eliminate all uncertainty in the decision problem.</w:t>
      </w:r>
      <w:r w:rsidR="00374E80">
        <w:fldChar w:fldCharType="begin" w:fldLock="1"/>
      </w:r>
      <w:r w:rsidR="009C7509">
        <w:instrText>ADDIN CSL_CITATION { "citationItems" : [ { "id" : "ITEM-1", "itemData" : { "abstract" : "Whilst significant advances have been made in persuading clinical researchers of the value of conducting economic evaluation alongside clinical trials, a number of problems remain. The most fundamental is the fact that economic principles are almost entirely ignored in the traditional approach to trial design. For example, in the selection of an optimal sample size no consideration is given to the marginal costs or benefits of sample information. In the traditional approach this can lead to either unbounded or arbitrary sample sizes. This paper presents a decision-analytic approach to trial design which takes explicit account of the costs of sampling, the benefits of sample information and the decision rules of cost-effectiveness analysis. It also provides a consistent framework for setting priorities in research funding and establishes a set of screens (or hurdles) to evaluate the potential cost-effectiveness of research proposals. The framework permits research priority setting based explicitly on the budget constraint faced by clinical practitioners and on the information available prior to prospective research. It demonstrates the link between the value of clinical research and the budgetary restrictions on service provision, and it provides practical tools to establish the optimal allocation of resources between areas of clinical research or between service provision and research.", "author" : [ { "family" : "Claxton", "given" : "K" }, { "family" : "Posnett", "given" : "J" } ], "container-title" : "Health Economics", "id" : "ITEM-1", "issue" : "6", "issued" : { "date-parts" : [ [ "1996" ] ] }, "note" : "&lt;m:note&gt;&lt;/m:note&gt;", "page" : "513-524", "publisher" : "John Wiley &amp; Sons", "title" : "An economic approach to clinical trial design and research priority-setting.", "type" : "article-journal", "volume" : "5" }, "uris" : [ "http://www.mendeley.com/documents/?uuid=199d73e3-d495-4ffc-a802-22ee0102f0b2" ] } ], "mendeley" : { "previouslyFormattedCitation" : "(12)" }, "properties" : { "noteIndex" : 0 }, "schema" : "https://github.com/citation-style-language/schema/raw/master/csl-citation.json" }</w:instrText>
      </w:r>
      <w:r w:rsidR="00374E80">
        <w:fldChar w:fldCharType="separate"/>
      </w:r>
      <w:r w:rsidR="009C7509" w:rsidRPr="009C7509">
        <w:rPr>
          <w:noProof/>
        </w:rPr>
        <w:t>(12)</w:t>
      </w:r>
      <w:r w:rsidR="00374E80">
        <w:fldChar w:fldCharType="end"/>
      </w:r>
      <w:r w:rsidRPr="00EF4EB9">
        <w:t xml:space="preserve"> In calculating EVPI an estimation of the number of patients who will be affected by the decision is required. </w:t>
      </w:r>
      <w:r w:rsidR="00DF7E46">
        <w:t>A</w:t>
      </w:r>
      <w:r w:rsidRPr="00EF4EB9">
        <w:t>ssuming that</w:t>
      </w:r>
      <w:r w:rsidR="00C42A71">
        <w:t>:</w:t>
      </w:r>
      <w:r w:rsidRPr="00EF4EB9">
        <w:t xml:space="preserve"> </w:t>
      </w:r>
      <w:r w:rsidR="00500063" w:rsidRPr="00EF4EB9">
        <w:rPr>
          <w:color w:val="292526"/>
        </w:rPr>
        <w:t>there are 6.7 million people aged between 55 and 64 years in England and Wales</w:t>
      </w:r>
      <w:r w:rsidR="00500063">
        <w:rPr>
          <w:color w:val="292526"/>
        </w:rPr>
        <w:t>;</w:t>
      </w:r>
      <w:r w:rsidR="00374E80">
        <w:rPr>
          <w:color w:val="292526"/>
        </w:rPr>
        <w:fldChar w:fldCharType="begin" w:fldLock="1"/>
      </w:r>
      <w:r w:rsidR="009C7509">
        <w:rPr>
          <w:color w:val="292526"/>
        </w:rPr>
        <w:instrText>ADDIN CSL_CITATION { "citationItems" : [ { "id" : "ITEM-1", "itemData" : { "URL" : "http://www.ons.gov.uk/ons/publications/re-reference-tables.html?edition=tcm:77-231283", "author" : [ { "family" : "Office for National Statistics", "given" : "" } ], "id" : "ITEM-1", "issued" : { "date-parts" : [ [ "0" ] ] }, "note" : "&lt;m:note&gt;&lt;/m:note&gt;", "title" : "Population Estimates by Marital Status, Mid-2010. 2012", "type" : "webpage" }, "uris" : [ "http://www.mendeley.com/documents/?uuid=5c25ca0c-37ab-4190-bb9d-875eb06f641e" ] } ], "mendeley" : { "previouslyFormattedCitation" : "(13)" }, "properties" : { "noteIndex" : 0 }, "schema" : "https://github.com/citation-style-language/schema/raw/master/csl-citation.json" }</w:instrText>
      </w:r>
      <w:r w:rsidR="00374E80">
        <w:rPr>
          <w:color w:val="292526"/>
        </w:rPr>
        <w:fldChar w:fldCharType="separate"/>
      </w:r>
      <w:r w:rsidR="00500063" w:rsidRPr="00500063">
        <w:rPr>
          <w:noProof/>
          <w:color w:val="292526"/>
        </w:rPr>
        <w:t>(13)</w:t>
      </w:r>
      <w:r w:rsidR="00374E80">
        <w:rPr>
          <w:color w:val="292526"/>
        </w:rPr>
        <w:fldChar w:fldCharType="end"/>
      </w:r>
      <w:r w:rsidR="00500063" w:rsidRPr="00EF4EB9">
        <w:rPr>
          <w:color w:val="292526"/>
        </w:rPr>
        <w:t xml:space="preserve"> </w:t>
      </w:r>
      <w:r w:rsidR="00500063" w:rsidRPr="00EF4EB9">
        <w:t>the incidence of AF was 1 per 1,000 person years (approximately the pooled rate for women and men aged 55 to 64 years reported by the Renfrew Paisley study)</w:t>
      </w:r>
      <w:r w:rsidR="00500063">
        <w:t>;</w:t>
      </w:r>
      <w:r w:rsidR="00374E80">
        <w:fldChar w:fldCharType="begin" w:fldLock="1"/>
      </w:r>
      <w:r w:rsidR="009C7509">
        <w:instrText>ADDIN CSL_CITATION { "citationItems" : [ { "id" : "ITEM-1", "itemData" : { "DOI" : "10.1136/heart.86.5.516", "author" : [ { "family" : "Stewart", "given" : "S" } ], "container-title" : "Heart", "id" : "ITEM-1", "issue" : "5", "issued" : { "date-parts" : [ [ "2001", "11", "1" ] ] }, "note" : "&lt;m:note&gt;&lt;/m:note&gt;", "page" : "516-521", "title" : "Population prevalence, incidence, and predictors of atrial fibrillation in the Renfrew/Paisley study", "type" : "article-journal", "volume" : "86" }, "uris" : [ "http://www.mendeley.com/documents/?uuid=b0aefcf4-fd33-49b7-9159-3a3920d2e245" ] } ], "mendeley" : { "previouslyFormattedCitation" : "(14)" }, "properties" : { "noteIndex" : 0 }, "schema" : "https://github.com/citation-style-language/schema/raw/master/csl-citation.json" }</w:instrText>
      </w:r>
      <w:r w:rsidR="00374E80">
        <w:fldChar w:fldCharType="separate"/>
      </w:r>
      <w:r w:rsidR="009C7509" w:rsidRPr="009C7509">
        <w:rPr>
          <w:noProof/>
        </w:rPr>
        <w:t>(14)</w:t>
      </w:r>
      <w:r w:rsidR="00374E80">
        <w:fldChar w:fldCharType="end"/>
      </w:r>
      <w:r w:rsidRPr="00EF4EB9">
        <w:rPr>
          <w:color w:val="292526"/>
        </w:rPr>
        <w:t xml:space="preserve"> 6% of people are in the CHADS</w:t>
      </w:r>
      <w:r w:rsidRPr="00EF4EB9">
        <w:rPr>
          <w:color w:val="292526"/>
          <w:vertAlign w:val="subscript"/>
        </w:rPr>
        <w:t>2</w:t>
      </w:r>
      <w:r w:rsidR="00C42A71">
        <w:rPr>
          <w:color w:val="292526"/>
        </w:rPr>
        <w:t xml:space="preserve"> 0 category;</w:t>
      </w:r>
      <w:r w:rsidR="00374E80">
        <w:rPr>
          <w:color w:val="292526"/>
        </w:rPr>
        <w:fldChar w:fldCharType="begin" w:fldLock="1"/>
      </w:r>
      <w:r w:rsidR="009C7509">
        <w:rPr>
          <w:color w:val="292526"/>
        </w:rPr>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"family" : "Providencia", "given" : "R" }, { "family" : "Botelho", "given" : "A" }, { "family" : "Trigo", "given" : "J" }, { "family" : "Quintal", "given" : "N" }, { "family" : "Nascimento", "given" : "J" }, { "family" : "Mota", "given" : "P" }, { "family" : "Leitao-Marques", "given" : "A" } ], "container-title" : "Europace", "edition" : "2011/08/27", "id" : "ITEM-1", "issue" : "1", "issued" : { "date-parts" : [ [ "2012" ] ] }, "note" : "&lt;m:note&gt;Providencia, Rui&lt;m:linebreak/&gt;Botelho, Ana&lt;m:linebreak/&gt;Trigo, Joana&lt;m:linebreak/&gt;Quintal, Nuno&lt;m:linebreak/&gt;Nascimento, Jose&lt;m:linebreak/&gt;Mota, Paula&lt;m:linebreak/&gt;Leitao-Marques, Antonio&lt;m:linebreak/&gt;England&lt;m:linebreak/&gt;Europace : European pacing, arrhythmias, and cardiac electrophysiology : journal of the working groups on cardiac pacing, arrhythmias, and cardiac cellular electrophysiology of the European Society of Cardiology&lt;m:linebreak/&gt;Europace. 2012 Jan;14(1):36-45. Epub 2011 Aug 24.&lt;/m:note&gt;",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"(8)" }, "properties" : { "noteIndex" : 0 }, "schema" : "https://github.com/citation-style-language/schema/raw/master/csl-citation.json" }</w:instrText>
      </w:r>
      <w:r w:rsidR="00374E80">
        <w:rPr>
          <w:color w:val="292526"/>
        </w:rPr>
        <w:fldChar w:fldCharType="separate"/>
      </w:r>
      <w:r w:rsidR="004B7B0B" w:rsidRPr="004B7B0B">
        <w:rPr>
          <w:noProof/>
          <w:color w:val="292526"/>
        </w:rPr>
        <w:t>(8)</w:t>
      </w:r>
      <w:r w:rsidR="00374E80">
        <w:rPr>
          <w:color w:val="292526"/>
        </w:rPr>
        <w:fldChar w:fldCharType="end"/>
      </w:r>
      <w:r w:rsidRPr="00EF4EB9">
        <w:rPr>
          <w:color w:val="292526"/>
        </w:rPr>
        <w:t xml:space="preserve"> and that the information is relevant for 10 years</w:t>
      </w:r>
      <w:r w:rsidR="00DF7E46">
        <w:rPr>
          <w:color w:val="292526"/>
        </w:rPr>
        <w:t>, then</w:t>
      </w:r>
      <w:r w:rsidRPr="00EF4EB9">
        <w:rPr>
          <w:color w:val="292526"/>
        </w:rPr>
        <w:t xml:space="preserve"> around 70,000 people would benefit from the</w:t>
      </w:r>
      <w:r w:rsidR="00C23AC0">
        <w:rPr>
          <w:color w:val="292526"/>
        </w:rPr>
        <w:t>re</w:t>
      </w:r>
      <w:r w:rsidRPr="00EF4EB9">
        <w:rPr>
          <w:color w:val="292526"/>
        </w:rPr>
        <w:t xml:space="preserve"> being no uncertainty regarding whether TTE is cost effective.</w:t>
      </w:r>
    </w:p>
    <w:p w:rsidR="00454436" w:rsidRPr="00EF4EB9" w:rsidRDefault="00DF7E46" w:rsidP="008D11C1">
      <w:r>
        <w:t>S</w:t>
      </w:r>
      <w:r w:rsidR="00454436" w:rsidRPr="00EF4EB9">
        <w:t xml:space="preserve">ensitivity analyses were </w:t>
      </w:r>
      <w:r>
        <w:t xml:space="preserve">also </w:t>
      </w:r>
      <w:r w:rsidR="00454436" w:rsidRPr="00EF4EB9">
        <w:t xml:space="preserve">undertaken on two key parameters, the </w:t>
      </w:r>
      <w:r w:rsidR="000F1109">
        <w:t>TPHR, and</w:t>
      </w:r>
      <w:r w:rsidR="00454436" w:rsidRPr="00EF4EB9">
        <w:t xml:space="preserve"> the joint uncertainty in the sensitivity and specificity of TTE in detecting LA ABN.</w:t>
      </w:r>
    </w:p>
    <w:bookmarkEnd w:id="0"/>
    <w:p w:rsidR="0005390C" w:rsidRDefault="00DF4463" w:rsidP="003562A1">
      <w:pPr>
        <w:pStyle w:val="Heading2"/>
        <w:numPr>
          <w:ilvl w:val="0"/>
          <w:numId w:val="0"/>
        </w:numPr>
      </w:pPr>
      <w:r>
        <w:t>Results</w:t>
      </w:r>
    </w:p>
    <w:p w:rsidR="00605BB7" w:rsidRPr="00EF4EB9" w:rsidRDefault="00374E80" w:rsidP="008D11C1">
      <w:r>
        <w:fldChar w:fldCharType="begin"/>
      </w:r>
      <w:r w:rsidR="00ED065B">
        <w:instrText xml:space="preserve"> REF _Ref321238070 \h </w:instrText>
      </w:r>
      <w:r>
        <w:fldChar w:fldCharType="separate"/>
      </w:r>
      <w:r w:rsidR="00492057">
        <w:t>Table 3</w:t>
      </w:r>
      <w:r>
        <w:fldChar w:fldCharType="end"/>
      </w:r>
      <w:r w:rsidR="00605BB7" w:rsidRPr="00EF4EB9">
        <w:t xml:space="preserve"> shows the </w:t>
      </w:r>
      <w:r w:rsidR="00B325C3">
        <w:t>shows the simulated patient experience when TTE is added to either CHADS</w:t>
      </w:r>
      <w:r w:rsidR="00B325C3" w:rsidRPr="00DF7E46">
        <w:rPr>
          <w:vertAlign w:val="subscript"/>
        </w:rPr>
        <w:t>2</w:t>
      </w:r>
      <w:r w:rsidR="00B325C3">
        <w:t xml:space="preserve"> or CHA</w:t>
      </w:r>
      <w:r w:rsidR="00DF7E46" w:rsidRPr="00DF7E46">
        <w:rPr>
          <w:vertAlign w:val="subscript"/>
        </w:rPr>
        <w:t>2</w:t>
      </w:r>
      <w:r w:rsidR="00B325C3">
        <w:t>DS</w:t>
      </w:r>
      <w:r w:rsidR="00B325C3" w:rsidRPr="00DF7E46">
        <w:rPr>
          <w:vertAlign w:val="subscript"/>
        </w:rPr>
        <w:t>2</w:t>
      </w:r>
      <w:r w:rsidR="00DC17EE">
        <w:t>-VASc</w:t>
      </w:r>
      <w:r w:rsidR="00B325C3">
        <w:t xml:space="preserve"> in </w:t>
      </w:r>
      <w:r w:rsidR="00605BB7" w:rsidRPr="00EF4EB9">
        <w:t xml:space="preserve">terms of clinical events. </w:t>
      </w:r>
      <w:r w:rsidR="00501F33">
        <w:t xml:space="preserve">These suggest that using information from </w:t>
      </w:r>
      <w:r w:rsidR="00605BB7" w:rsidRPr="00EF4EB9">
        <w:t>TTE increases the expected life of patients, and increases the proportion of patients that die of non stroke- or bleed-related causes. An initial TTE reduces the estimated number of strokes but at the expen</w:t>
      </w:r>
      <w:r w:rsidR="00500063">
        <w:t>se of a greater number of bleeding events</w:t>
      </w:r>
      <w:r w:rsidR="00605BB7" w:rsidRPr="00EF4EB9">
        <w:t xml:space="preserve">. </w:t>
      </w:r>
    </w:p>
    <w:p w:rsidR="000F1109" w:rsidRDefault="00C42A71" w:rsidP="008D11C1">
      <w:r w:rsidRPr="007461E7">
        <w:t xml:space="preserve">Where a new intervention is estimated to be both more costly and more clinically effective than standard practice, </w:t>
      </w:r>
      <w:r w:rsidR="002379A0" w:rsidRPr="007461E7">
        <w:t xml:space="preserve">the </w:t>
      </w:r>
      <w:r w:rsidRPr="007461E7">
        <w:t xml:space="preserve">ratio of additional cost to additional benefit can be meaningfully described </w:t>
      </w:r>
      <w:r w:rsidR="002379A0" w:rsidRPr="007461E7">
        <w:t xml:space="preserve">using </w:t>
      </w:r>
      <w:r w:rsidRPr="007461E7">
        <w:t xml:space="preserve">an incremental cost effectiveness ratio (ICER). Where the new intervention </w:t>
      </w:r>
      <w:r w:rsidR="002379A0" w:rsidRPr="007461E7">
        <w:t xml:space="preserve">is </w:t>
      </w:r>
      <w:r w:rsidRPr="007461E7">
        <w:t>both more efficacious and less co</w:t>
      </w:r>
      <w:r w:rsidR="002379A0" w:rsidRPr="007461E7">
        <w:t xml:space="preserve">stly than standard practice, the new intervention is described as having ‘simple dominance’ over standard practice, as no trade-off between additional cost and additional clinical effectiveness is required to make the decision to move to the new treatment. Where the new intervention is both less efficacious and </w:t>
      </w:r>
      <w:r w:rsidR="00D20CA0" w:rsidRPr="007461E7">
        <w:t>more</w:t>
      </w:r>
      <w:r w:rsidR="002379A0" w:rsidRPr="007461E7">
        <w:t xml:space="preserve"> costly, the new treatment is d</w:t>
      </w:r>
      <w:r w:rsidR="00DC17EE">
        <w:t xml:space="preserve">escribed as </w:t>
      </w:r>
      <w:r w:rsidR="002379A0" w:rsidRPr="007461E7">
        <w:t>being ‘simply dominated’ by standard practice. Due to the uncertainty in the true values of the model input parameters, there exists a range of joint estimates of the incremental cost and incremental effectiveness of the new treatment compared with existing treatment, from which a 95% credible interval can be calculated.</w:t>
      </w:r>
      <w:r w:rsidR="002379A0">
        <w:t xml:space="preserve"> </w:t>
      </w:r>
      <w:r w:rsidR="00374E80">
        <w:fldChar w:fldCharType="begin"/>
      </w:r>
      <w:r w:rsidR="00ED065B">
        <w:instrText xml:space="preserve"> REF _Ref321240189 \h </w:instrText>
      </w:r>
      <w:r w:rsidR="00374E80">
        <w:fldChar w:fldCharType="separate"/>
      </w:r>
      <w:r w:rsidR="00F5273F">
        <w:t>Table 4</w:t>
      </w:r>
      <w:r w:rsidR="00374E80">
        <w:fldChar w:fldCharType="end"/>
      </w:r>
      <w:r w:rsidR="00F5273F">
        <w:t xml:space="preserve"> </w:t>
      </w:r>
      <w:r w:rsidR="000F1109">
        <w:t xml:space="preserve">shows the costs, QALYs, and ICERs associated with the simulated patient experiences presented in </w:t>
      </w:r>
      <w:r w:rsidR="00374E80">
        <w:fldChar w:fldCharType="begin"/>
      </w:r>
      <w:r w:rsidR="00ED065B">
        <w:instrText xml:space="preserve"> REF _Ref321238070 \h </w:instrText>
      </w:r>
      <w:r w:rsidR="00374E80">
        <w:fldChar w:fldCharType="separate"/>
      </w:r>
      <w:r w:rsidR="00F5273F">
        <w:t>Table 3</w:t>
      </w:r>
      <w:r w:rsidR="00374E80">
        <w:fldChar w:fldCharType="end"/>
      </w:r>
      <w:r w:rsidR="000F1109">
        <w:t>.</w:t>
      </w:r>
      <w:r>
        <w:t xml:space="preserve"> </w:t>
      </w:r>
      <w:r w:rsidR="000F1109">
        <w:t>For CHADS</w:t>
      </w:r>
      <w:r w:rsidR="000F1109" w:rsidRPr="00B7598B">
        <w:rPr>
          <w:vertAlign w:val="subscript"/>
        </w:rPr>
        <w:t>2</w:t>
      </w:r>
      <w:r w:rsidR="000F1109">
        <w:t>, t</w:t>
      </w:r>
      <w:r w:rsidR="000F1109" w:rsidRPr="00EF4EB9">
        <w:t xml:space="preserve">he mean cost per QALY of below £6000 </w:t>
      </w:r>
      <w:proofErr w:type="gramStart"/>
      <w:r w:rsidR="000F1109" w:rsidRPr="00EF4EB9">
        <w:lastRenderedPageBreak/>
        <w:t>indicates</w:t>
      </w:r>
      <w:proofErr w:type="gramEnd"/>
      <w:r w:rsidR="000F1109" w:rsidRPr="00EF4EB9">
        <w:t xml:space="preserve"> that TTE is likely to be</w:t>
      </w:r>
      <w:r w:rsidR="000F1109">
        <w:t xml:space="preserve"> a</w:t>
      </w:r>
      <w:r w:rsidR="000F1109" w:rsidRPr="00EF4EB9">
        <w:t xml:space="preserve"> cost effective use of resources</w:t>
      </w:r>
      <w:r w:rsidR="000F1109">
        <w:t>. For CHA</w:t>
      </w:r>
      <w:r w:rsidR="00B7598B" w:rsidRPr="00B7598B">
        <w:rPr>
          <w:vertAlign w:val="subscript"/>
        </w:rPr>
        <w:t>2</w:t>
      </w:r>
      <w:r w:rsidR="000F1109">
        <w:t>DS</w:t>
      </w:r>
      <w:r w:rsidR="000F1109" w:rsidRPr="00B7598B">
        <w:rPr>
          <w:vertAlign w:val="subscript"/>
        </w:rPr>
        <w:t>2</w:t>
      </w:r>
      <w:r w:rsidR="000F1109">
        <w:t>-VASc, the mean cost per QALY of almost £50,000 suggests TTE is not likely to be cost-effective in this context.</w:t>
      </w:r>
      <w:r w:rsidR="00F5273F">
        <w:t xml:space="preserve"> The</w:t>
      </w:r>
      <w:r w:rsidR="000C54E6">
        <w:t xml:space="preserve"> 95% credible intervals for the ICERs range from dominating to almost £30,000 per QALY for CHADS</w:t>
      </w:r>
      <w:r w:rsidR="000C54E6" w:rsidRPr="00F5273F">
        <w:rPr>
          <w:vertAlign w:val="subscript"/>
        </w:rPr>
        <w:t>2</w:t>
      </w:r>
      <w:r w:rsidR="000C54E6">
        <w:t>, and from less than £6,000 to dominated for CHA</w:t>
      </w:r>
      <w:r w:rsidR="00E36064" w:rsidRPr="00E36064">
        <w:rPr>
          <w:vertAlign w:val="subscript"/>
        </w:rPr>
        <w:t>2</w:t>
      </w:r>
      <w:r w:rsidR="000C54E6">
        <w:t>DS</w:t>
      </w:r>
      <w:r w:rsidR="000C54E6" w:rsidRPr="00E36064">
        <w:rPr>
          <w:vertAlign w:val="subscript"/>
        </w:rPr>
        <w:t>2</w:t>
      </w:r>
      <w:r w:rsidR="000C54E6">
        <w:t>-VASc. These correspond directly to the joint estimation of costs and QALYs resulting from the PSA, as shown in figure 2(a) and figure 2(b). For figure 2(a) (CHADS</w:t>
      </w:r>
      <w:r w:rsidR="000C54E6" w:rsidRPr="00FB3E31">
        <w:rPr>
          <w:vertAlign w:val="subscript"/>
        </w:rPr>
        <w:t>2</w:t>
      </w:r>
      <w:r w:rsidR="000C54E6">
        <w:t>), a significant proportion of the estimates are in the south east quadrant, indicating simple dominance over the baseline strategy. For figure 2(b) (CHA</w:t>
      </w:r>
      <w:r w:rsidR="00B7598B" w:rsidRPr="00B7598B">
        <w:rPr>
          <w:vertAlign w:val="subscript"/>
        </w:rPr>
        <w:t>2</w:t>
      </w:r>
      <w:r w:rsidR="00B7598B">
        <w:t>DS</w:t>
      </w:r>
      <w:r w:rsidR="00B7598B">
        <w:rPr>
          <w:vertAlign w:val="subscript"/>
        </w:rPr>
        <w:t>2</w:t>
      </w:r>
      <w:r w:rsidR="000C54E6">
        <w:t>-VAsc), a significant proportion of the estimates are in the north-west quadrant, indicating that the comparator strategy (CHA</w:t>
      </w:r>
      <w:r w:rsidR="00B7598B" w:rsidRPr="00B7598B">
        <w:rPr>
          <w:vertAlign w:val="subscript"/>
        </w:rPr>
        <w:t>2</w:t>
      </w:r>
      <w:r w:rsidR="000C54E6">
        <w:t>DS</w:t>
      </w:r>
      <w:r w:rsidR="000C54E6" w:rsidRPr="00B7598B">
        <w:rPr>
          <w:vertAlign w:val="subscript"/>
        </w:rPr>
        <w:t>2</w:t>
      </w:r>
      <w:r w:rsidR="000C54E6">
        <w:t>-VASc with TTE) is dominated by the baseline strategy (CHA</w:t>
      </w:r>
      <w:r w:rsidR="00B7598B" w:rsidRPr="00B7598B">
        <w:rPr>
          <w:vertAlign w:val="subscript"/>
        </w:rPr>
        <w:t>2</w:t>
      </w:r>
      <w:r w:rsidR="000C54E6">
        <w:t>DS</w:t>
      </w:r>
      <w:r w:rsidR="000C54E6" w:rsidRPr="00B7598B">
        <w:rPr>
          <w:vertAlign w:val="subscript"/>
        </w:rPr>
        <w:t>2</w:t>
      </w:r>
      <w:r w:rsidR="000C54E6">
        <w:t xml:space="preserve">-VASc alone). </w:t>
      </w:r>
    </w:p>
    <w:p w:rsidR="00D67B2F" w:rsidRPr="00EF4EB9" w:rsidRDefault="00D67B2F" w:rsidP="008D11C1">
      <w:r>
        <w:t>Figures 4a and 4b shows the cost-effectiveness acceptability frontiers (CEAFs) associated with CHADS</w:t>
      </w:r>
      <w:r w:rsidRPr="00501F33">
        <w:rPr>
          <w:vertAlign w:val="subscript"/>
        </w:rPr>
        <w:t>2</w:t>
      </w:r>
      <w:r>
        <w:t xml:space="preserve"> and CHA</w:t>
      </w:r>
      <w:r w:rsidR="00501F33" w:rsidRPr="00501F33">
        <w:rPr>
          <w:vertAlign w:val="subscript"/>
        </w:rPr>
        <w:t>2</w:t>
      </w:r>
      <w:r>
        <w:t>DS</w:t>
      </w:r>
      <w:r w:rsidRPr="00501F33">
        <w:rPr>
          <w:vertAlign w:val="subscript"/>
        </w:rPr>
        <w:t>2</w:t>
      </w:r>
      <w:r>
        <w:t>-VASc respectively. Figure 4a indicates that the comparator strategy (CHADS2 + TTE, shown as a solid line) becomes the optimal strategy, compared with CHADS</w:t>
      </w:r>
      <w:r w:rsidRPr="009C2038">
        <w:rPr>
          <w:vertAlign w:val="subscript"/>
        </w:rPr>
        <w:t>2</w:t>
      </w:r>
      <w:r>
        <w:t xml:space="preserve"> alone (the dashed line) at a wi</w:t>
      </w:r>
      <w:r w:rsidR="00C23AC0">
        <w:t>l</w:t>
      </w:r>
      <w:r>
        <w:t>lin</w:t>
      </w:r>
      <w:r w:rsidR="00C23AC0">
        <w:t>gn</w:t>
      </w:r>
      <w:r>
        <w:t xml:space="preserve">ess to pay threshold of £5847 or more per QALY gained. Conversely, figure 4b indicates that the </w:t>
      </w:r>
      <w:r w:rsidR="00ED065B">
        <w:t xml:space="preserve">baseline strategy </w:t>
      </w:r>
      <w:r>
        <w:t>(CHA</w:t>
      </w:r>
      <w:r w:rsidR="009C2038" w:rsidRPr="009C2038">
        <w:rPr>
          <w:vertAlign w:val="subscript"/>
        </w:rPr>
        <w:t>2</w:t>
      </w:r>
      <w:r>
        <w:t>DS</w:t>
      </w:r>
      <w:r w:rsidRPr="009C2038">
        <w:rPr>
          <w:vertAlign w:val="subscript"/>
        </w:rPr>
        <w:t>2</w:t>
      </w:r>
      <w:r>
        <w:t>-VASc</w:t>
      </w:r>
      <w:r w:rsidR="00ED065B">
        <w:t xml:space="preserve"> alone</w:t>
      </w:r>
      <w:r>
        <w:t xml:space="preserve">) has </w:t>
      </w:r>
      <w:r w:rsidRPr="00EF4EB9">
        <w:t xml:space="preserve">a </w:t>
      </w:r>
      <w:r w:rsidR="00ED065B">
        <w:t>high</w:t>
      </w:r>
      <w:r w:rsidRPr="00EF4EB9">
        <w:t xml:space="preserve"> likelihood of</w:t>
      </w:r>
      <w:r>
        <w:t xml:space="preserve"> </w:t>
      </w:r>
      <w:r w:rsidRPr="00EF4EB9">
        <w:t>being the optimal decision at threshold of lower than £50,000 per QALY gained</w:t>
      </w:r>
      <w:r>
        <w:t>, compared with CHA</w:t>
      </w:r>
      <w:r w:rsidR="009C2038" w:rsidRPr="009C2038">
        <w:rPr>
          <w:vertAlign w:val="subscript"/>
        </w:rPr>
        <w:t>2</w:t>
      </w:r>
      <w:r>
        <w:t>DS</w:t>
      </w:r>
      <w:r w:rsidRPr="009C2038">
        <w:rPr>
          <w:vertAlign w:val="subscript"/>
        </w:rPr>
        <w:t>2</w:t>
      </w:r>
      <w:r w:rsidR="00ED065B">
        <w:t>-VASc + TTE</w:t>
      </w:r>
      <w:r>
        <w:t>.</w:t>
      </w:r>
    </w:p>
    <w:p w:rsidR="007B765A" w:rsidRDefault="00D67B2F" w:rsidP="008D11C1">
      <w:r>
        <w:t xml:space="preserve">Figures 5a and 5b show, respectively, </w:t>
      </w:r>
      <w:proofErr w:type="gramStart"/>
      <w:r>
        <w:t>the per</w:t>
      </w:r>
      <w:proofErr w:type="gramEnd"/>
      <w:r>
        <w:t xml:space="preserve"> patient EVPI of TTE compared with CHADS</w:t>
      </w:r>
      <w:r w:rsidRPr="009C2038">
        <w:rPr>
          <w:vertAlign w:val="subscript"/>
        </w:rPr>
        <w:t>2</w:t>
      </w:r>
      <w:r>
        <w:t xml:space="preserve"> alone and CHA</w:t>
      </w:r>
      <w:r w:rsidR="009C2038" w:rsidRPr="009C2038">
        <w:rPr>
          <w:vertAlign w:val="subscript"/>
        </w:rPr>
        <w:t>2</w:t>
      </w:r>
      <w:r>
        <w:t>DS</w:t>
      </w:r>
      <w:r w:rsidR="009C2038">
        <w:rPr>
          <w:vertAlign w:val="subscript"/>
        </w:rPr>
        <w:softHyphen/>
        <w:t>2</w:t>
      </w:r>
      <w:r>
        <w:t xml:space="preserve">-VASc alone. </w:t>
      </w:r>
      <w:r w:rsidR="00161B1F" w:rsidRPr="00EF4EB9">
        <w:t>It is seen that there is most uncertainty at maximum acceptable incremental cost effectiveness ratios (MAICERs) close to the value at which TTE becomes cost effective. As the MAICER increases the value of EVPI falls substantially.</w:t>
      </w:r>
      <w:r w:rsidR="00161B1F">
        <w:t xml:space="preserve"> </w:t>
      </w:r>
      <w:r w:rsidR="00161B1F" w:rsidRPr="00EF4EB9">
        <w:t>Assuming that there are 70,000 people who would benefit from no uncertainty in the decision problem</w:t>
      </w:r>
      <w:r w:rsidR="00161B1F">
        <w:t>,</w:t>
      </w:r>
      <w:r w:rsidR="00161B1F" w:rsidRPr="00EF4EB9">
        <w:t xml:space="preserve"> the expected value of perfect information would be in the region of £5 million assuming a MAICER of £20,000 per QALY</w:t>
      </w:r>
      <w:r w:rsidR="00161B1F">
        <w:t xml:space="preserve"> </w:t>
      </w:r>
      <w:r w:rsidR="00161B1F" w:rsidRPr="00EF4EB9">
        <w:t>when using CHADS</w:t>
      </w:r>
      <w:r w:rsidR="00161B1F" w:rsidRPr="009C2038">
        <w:rPr>
          <w:vertAlign w:val="subscript"/>
        </w:rPr>
        <w:t>2</w:t>
      </w:r>
      <w:r w:rsidR="00161B1F" w:rsidRPr="00EF4EB9">
        <w:t xml:space="preserve"> </w:t>
      </w:r>
      <w:r w:rsidR="00161B1F">
        <w:t>alone; the equivalent figure for CHA</w:t>
      </w:r>
      <w:r w:rsidR="009C2038" w:rsidRPr="009C2038">
        <w:rPr>
          <w:vertAlign w:val="subscript"/>
        </w:rPr>
        <w:t>2</w:t>
      </w:r>
      <w:r w:rsidR="00161B1F">
        <w:t>DS</w:t>
      </w:r>
      <w:r w:rsidR="00161B1F" w:rsidRPr="009C2038">
        <w:rPr>
          <w:vertAlign w:val="subscript"/>
        </w:rPr>
        <w:t>2</w:t>
      </w:r>
      <w:r w:rsidR="00161B1F">
        <w:t>-VASc is in the region of £28 million.</w:t>
      </w:r>
    </w:p>
    <w:p w:rsidR="00161B1F" w:rsidRDefault="007B765A" w:rsidP="008D11C1">
      <w:r w:rsidRPr="00EF4EB9">
        <w:t>Figure</w:t>
      </w:r>
      <w:r w:rsidR="00D20CA0">
        <w:t>s</w:t>
      </w:r>
      <w:r w:rsidRPr="00EF4EB9">
        <w:t xml:space="preserve"> </w:t>
      </w:r>
      <w:r w:rsidR="00161B1F">
        <w:t>6a and 6b indicate the effect that different assumptions about the TPHR within the subgroup of the population with CHADS</w:t>
      </w:r>
      <w:r w:rsidR="00161B1F" w:rsidRPr="00B7598B">
        <w:rPr>
          <w:vertAlign w:val="subscript"/>
        </w:rPr>
        <w:t>2</w:t>
      </w:r>
      <w:r w:rsidR="00161B1F">
        <w:t xml:space="preserve"> scores of zero and CHA</w:t>
      </w:r>
      <w:r w:rsidR="00B7598B" w:rsidRPr="00B7598B">
        <w:rPr>
          <w:vertAlign w:val="subscript"/>
        </w:rPr>
        <w:t>2</w:t>
      </w:r>
      <w:r w:rsidR="00161B1F">
        <w:t>DS</w:t>
      </w:r>
      <w:r w:rsidR="00161B1F" w:rsidRPr="00B7598B">
        <w:rPr>
          <w:vertAlign w:val="subscript"/>
        </w:rPr>
        <w:t>2</w:t>
      </w:r>
      <w:r w:rsidR="00161B1F">
        <w:t>-VASc scores of zero, respectively. For CHADS</w:t>
      </w:r>
      <w:r w:rsidR="00161B1F" w:rsidRPr="00B7598B">
        <w:rPr>
          <w:vertAlign w:val="subscript"/>
        </w:rPr>
        <w:t>2</w:t>
      </w:r>
      <w:r w:rsidR="00161B1F">
        <w:t xml:space="preserve"> (Figure 6a) i</w:t>
      </w:r>
      <w:r w:rsidR="00161B1F" w:rsidRPr="00EF4EB9">
        <w:t>t is seen that at low proportions of patients with LA</w:t>
      </w:r>
      <w:r w:rsidR="00161B1F">
        <w:t xml:space="preserve"> ABN that TTE is cost effective; e</w:t>
      </w:r>
      <w:r w:rsidR="00161B1F" w:rsidRPr="00EF4EB9">
        <w:t>ven at zero percent TTE is cost effective indicating that there is an apparent benefit in treating those with a CHADS</w:t>
      </w:r>
      <w:r w:rsidR="00161B1F" w:rsidRPr="00B7598B">
        <w:rPr>
          <w:vertAlign w:val="subscript"/>
        </w:rPr>
        <w:t>2</w:t>
      </w:r>
      <w:r w:rsidR="00161B1F" w:rsidRPr="00EF4EB9">
        <w:t xml:space="preserve"> score of zero even when the patient does not have LA ABN.</w:t>
      </w:r>
      <w:r w:rsidR="00161B1F">
        <w:t xml:space="preserve"> Conversely, for CHA</w:t>
      </w:r>
      <w:r w:rsidR="00B7598B" w:rsidRPr="00B7598B">
        <w:rPr>
          <w:vertAlign w:val="subscript"/>
        </w:rPr>
        <w:t>2</w:t>
      </w:r>
      <w:r w:rsidR="00161B1F">
        <w:t>DS</w:t>
      </w:r>
      <w:r w:rsidR="00161B1F" w:rsidRPr="00B7598B">
        <w:rPr>
          <w:vertAlign w:val="subscript"/>
        </w:rPr>
        <w:t>2</w:t>
      </w:r>
      <w:r w:rsidR="00161B1F">
        <w:t>-VASc (Figure 6b)</w:t>
      </w:r>
      <w:r w:rsidR="00023D5D" w:rsidRPr="00023D5D">
        <w:t xml:space="preserve"> </w:t>
      </w:r>
      <w:r w:rsidR="00023D5D">
        <w:t>i</w:t>
      </w:r>
      <w:r w:rsidR="00023D5D" w:rsidRPr="00EF4EB9">
        <w:t>t is seen that the proportion of patients with LA ABN needs to be close to 12.5% in order for the cost per QALY of TTE to be near £20,000. At present there are very little data on this parameter with 0 of 11 patients with a CHA</w:t>
      </w:r>
      <w:r w:rsidR="00023D5D" w:rsidRPr="00B7598B">
        <w:rPr>
          <w:vertAlign w:val="subscript"/>
        </w:rPr>
        <w:t>2</w:t>
      </w:r>
      <w:r w:rsidR="00023D5D" w:rsidRPr="00EF4EB9">
        <w:t>DS</w:t>
      </w:r>
      <w:r w:rsidR="00023D5D" w:rsidRPr="00B7598B">
        <w:rPr>
          <w:vertAlign w:val="subscript"/>
        </w:rPr>
        <w:t>2</w:t>
      </w:r>
      <w:r w:rsidR="00023D5D" w:rsidRPr="00EF4EB9">
        <w:t>-VASc score of 0 having LA ABN.</w:t>
      </w:r>
    </w:p>
    <w:p w:rsidR="007B765A" w:rsidRDefault="00B7598B" w:rsidP="008D11C1">
      <w:r>
        <w:lastRenderedPageBreak/>
        <w:t>Additional analyses were undertaken to identify the effect of different sensitivity and specificity assumptions on the expected ICERs. These indicated that, when CHADS</w:t>
      </w:r>
      <w:r w:rsidRPr="00B7598B">
        <w:rPr>
          <w:vertAlign w:val="subscript"/>
        </w:rPr>
        <w:t>2</w:t>
      </w:r>
      <w:r>
        <w:t xml:space="preserve"> was the </w:t>
      </w:r>
      <w:r w:rsidR="00D20CA0">
        <w:t>underlying diagnostic test used</w:t>
      </w:r>
      <w:r>
        <w:t xml:space="preserve">, incorporating TTE appeared cost effective or even dominating for almost all possible sensitivity and specificity values except where specificity tends to one and sensitivity tends to zero (i.e. where TTE is assumed to </w:t>
      </w:r>
      <w:r w:rsidR="004850ED">
        <w:t>add very little benefit to the clinical rule alone</w:t>
      </w:r>
      <w:r>
        <w:t>). However, where CHA</w:t>
      </w:r>
      <w:r w:rsidRPr="00E36064">
        <w:rPr>
          <w:vertAlign w:val="subscript"/>
        </w:rPr>
        <w:t>2</w:t>
      </w:r>
      <w:r>
        <w:t>DS</w:t>
      </w:r>
      <w:r w:rsidRPr="00D20CA0">
        <w:rPr>
          <w:vertAlign w:val="subscript"/>
        </w:rPr>
        <w:t>2</w:t>
      </w:r>
      <w:r>
        <w:t xml:space="preserve">-VASc was the </w:t>
      </w:r>
      <w:r w:rsidR="00D20CA0">
        <w:t>underlying diagnostic used</w:t>
      </w:r>
      <w:r>
        <w:t xml:space="preserve">, </w:t>
      </w:r>
      <w:r w:rsidR="00655A1D">
        <w:t xml:space="preserve">including TTE in the diagnostic decision only appeared cost effective at a threshold of £20,000 or less where both sensitivity and specificity were assumed to be close to </w:t>
      </w:r>
      <w:r w:rsidR="00DC2BB2">
        <w:t>perfect</w:t>
      </w:r>
      <w:r w:rsidR="00655A1D">
        <w:t xml:space="preserve">. </w:t>
      </w:r>
    </w:p>
    <w:p w:rsidR="0005390C" w:rsidRDefault="008D613B" w:rsidP="003562A1">
      <w:pPr>
        <w:pStyle w:val="Heading3"/>
        <w:numPr>
          <w:ilvl w:val="0"/>
          <w:numId w:val="0"/>
        </w:numPr>
      </w:pPr>
      <w:r>
        <w:t>Summary</w:t>
      </w:r>
    </w:p>
    <w:p w:rsidR="00436D67" w:rsidRDefault="00023D5D" w:rsidP="008D11C1">
      <w:r>
        <w:t xml:space="preserve">These results indicate that the cost effectiveness of TTE in this context depends on the baseline </w:t>
      </w:r>
      <w:r w:rsidR="00D20CA0">
        <w:t xml:space="preserve">diagnostic </w:t>
      </w:r>
      <w:r>
        <w:t>assumed, with results indicating TTE is cost effective when compared with CHADS</w:t>
      </w:r>
      <w:r w:rsidRPr="009C2038">
        <w:rPr>
          <w:vertAlign w:val="subscript"/>
        </w:rPr>
        <w:t>2</w:t>
      </w:r>
      <w:r>
        <w:t xml:space="preserve"> alone, but not when compared  with CHA</w:t>
      </w:r>
      <w:r w:rsidR="00E36064" w:rsidRPr="009C2038">
        <w:rPr>
          <w:vertAlign w:val="subscript"/>
        </w:rPr>
        <w:t>2</w:t>
      </w:r>
      <w:r>
        <w:t>DS</w:t>
      </w:r>
      <w:r w:rsidRPr="009C2038">
        <w:rPr>
          <w:vertAlign w:val="subscript"/>
        </w:rPr>
        <w:t>2</w:t>
      </w:r>
      <w:r>
        <w:t>-VASc alone</w:t>
      </w:r>
      <w:r w:rsidR="004850ED">
        <w:t>, although this latter conclusion is subject to considerable uncertainty</w:t>
      </w:r>
      <w:r>
        <w:t>.</w:t>
      </w:r>
    </w:p>
    <w:p w:rsidR="0005390C" w:rsidRDefault="00F15320" w:rsidP="003562A1">
      <w:pPr>
        <w:pStyle w:val="Heading2"/>
        <w:numPr>
          <w:ilvl w:val="0"/>
          <w:numId w:val="0"/>
        </w:numPr>
      </w:pPr>
      <w:r>
        <w:t>Discussion</w:t>
      </w:r>
    </w:p>
    <w:p w:rsidR="00D20CA0" w:rsidRDefault="00D20CA0" w:rsidP="00D20CA0">
      <w:r>
        <w:t xml:space="preserve">Prior to producing this model, a systematic literature review was conducted </w:t>
      </w:r>
      <w:r w:rsidRPr="00EF4EB9">
        <w:t xml:space="preserve">to identify, </w:t>
      </w:r>
      <w:proofErr w:type="spellStart"/>
      <w:r w:rsidRPr="00EF4EB9">
        <w:t>summarise</w:t>
      </w:r>
      <w:proofErr w:type="spellEnd"/>
      <w:r w:rsidRPr="00EF4EB9">
        <w:t xml:space="preserve"> and appraise existing economic studies for evaluating the cost-effectiveness of TTE in patients with AF.</w:t>
      </w:r>
      <w:r>
        <w:t xml:space="preserve"> This review i</w:t>
      </w:r>
      <w:r w:rsidRPr="00EF4EB9">
        <w:t>dentified no economic evaluations of TTE in AF patients</w:t>
      </w:r>
      <w:r>
        <w:t>,</w:t>
      </w:r>
      <w:r w:rsidRPr="00EF4EB9">
        <w:t xml:space="preserve"> so it is believed that this is the first.  </w:t>
      </w:r>
    </w:p>
    <w:p w:rsidR="00E36870" w:rsidRDefault="00DF7E46" w:rsidP="008D11C1">
      <w:r>
        <w:t xml:space="preserve">The </w:t>
      </w:r>
      <w:r w:rsidR="00407CD7">
        <w:t>model has a range of limitations</w:t>
      </w:r>
      <w:r w:rsidR="00D20CA0">
        <w:t xml:space="preserve"> and a number of a</w:t>
      </w:r>
      <w:r w:rsidR="00E36870" w:rsidRPr="00EF4EB9">
        <w:t>ssumptions have</w:t>
      </w:r>
      <w:r w:rsidR="00407CD7">
        <w:t xml:space="preserve"> been made within the </w:t>
      </w:r>
      <w:proofErr w:type="spellStart"/>
      <w:r w:rsidR="00407CD7">
        <w:t>modelling</w:t>
      </w:r>
      <w:proofErr w:type="spellEnd"/>
      <w:r w:rsidR="00407CD7">
        <w:t>. For example, t</w:t>
      </w:r>
      <w:r w:rsidR="00E36870" w:rsidRPr="00EF4EB9">
        <w:t>he risk of stroke associated with a CHA</w:t>
      </w:r>
      <w:r w:rsidR="00E36870" w:rsidRPr="00EF4EB9">
        <w:rPr>
          <w:vertAlign w:val="subscript"/>
        </w:rPr>
        <w:t>2</w:t>
      </w:r>
      <w:r w:rsidR="00E36870" w:rsidRPr="00EF4EB9">
        <w:t>DS</w:t>
      </w:r>
      <w:r w:rsidR="00E36870" w:rsidRPr="00EF4EB9">
        <w:rPr>
          <w:vertAlign w:val="subscript"/>
        </w:rPr>
        <w:t>2</w:t>
      </w:r>
      <w:r w:rsidR="00E36870" w:rsidRPr="00EF4EB9">
        <w:t>-VASc score was assumed to be equal to that associated with the identical CHADS</w:t>
      </w:r>
      <w:r w:rsidR="00E36870" w:rsidRPr="00EF4EB9">
        <w:rPr>
          <w:vertAlign w:val="subscript"/>
        </w:rPr>
        <w:t>2</w:t>
      </w:r>
      <w:r w:rsidR="00407CD7">
        <w:t xml:space="preserve"> score, which is incorrect </w:t>
      </w:r>
      <w:r w:rsidR="00E36870" w:rsidRPr="00EF4EB9">
        <w:t>as the CHA</w:t>
      </w:r>
      <w:r w:rsidR="00E36870" w:rsidRPr="00EF4EB9">
        <w:rPr>
          <w:vertAlign w:val="subscript"/>
        </w:rPr>
        <w:t>2</w:t>
      </w:r>
      <w:r w:rsidR="00E36870" w:rsidRPr="00EF4EB9">
        <w:t>DS</w:t>
      </w:r>
      <w:r w:rsidR="00E36870" w:rsidRPr="00EF4EB9">
        <w:rPr>
          <w:vertAlign w:val="subscript"/>
        </w:rPr>
        <w:t>2</w:t>
      </w:r>
      <w:r w:rsidR="00E36870" w:rsidRPr="00EF4EB9">
        <w:t>-VASc is incremented by one when the person is 65 years, with the corresponding age for a unit increment in the CHADS</w:t>
      </w:r>
      <w:r w:rsidR="00E36870" w:rsidRPr="00EF4EB9">
        <w:rPr>
          <w:vertAlign w:val="subscript"/>
        </w:rPr>
        <w:t>2</w:t>
      </w:r>
      <w:r w:rsidR="00E36870" w:rsidRPr="00EF4EB9">
        <w:t xml:space="preserve"> score is 75 years.</w:t>
      </w:r>
      <w:r w:rsidR="00407CD7">
        <w:t xml:space="preserve"> </w:t>
      </w:r>
      <w:r w:rsidR="00E36870" w:rsidRPr="00EF4EB9">
        <w:t xml:space="preserve">The dose of </w:t>
      </w:r>
      <w:proofErr w:type="spellStart"/>
      <w:r w:rsidR="00E36870" w:rsidRPr="00EF4EB9">
        <w:t>dabigatran</w:t>
      </w:r>
      <w:proofErr w:type="spellEnd"/>
      <w:r w:rsidR="00E36870" w:rsidRPr="00EF4EB9">
        <w:t xml:space="preserve"> was set at 150mg twice daily, rather than allowing some patients to receive a lower dose of 110mg twice </w:t>
      </w:r>
      <w:r w:rsidR="00407CD7">
        <w:t>daily</w:t>
      </w:r>
      <w:r w:rsidR="004850ED">
        <w:t>.</w:t>
      </w:r>
      <w:r w:rsidR="00407CD7">
        <w:t xml:space="preserve"> </w:t>
      </w:r>
      <w:r w:rsidR="00E36870" w:rsidRPr="00EF4EB9">
        <w:t xml:space="preserve">The stroke risk associated with patients with left </w:t>
      </w:r>
      <w:proofErr w:type="spellStart"/>
      <w:r w:rsidR="00E36870" w:rsidRPr="00EF4EB9">
        <w:t>atrial</w:t>
      </w:r>
      <w:proofErr w:type="spellEnd"/>
      <w:r w:rsidR="00E36870" w:rsidRPr="00EF4EB9">
        <w:t xml:space="preserve"> abnormalities is assumed to be constant at 8.0% (</w:t>
      </w:r>
      <w:r w:rsidR="00407CD7">
        <w:t xml:space="preserve">95% CI: 7.26 – 8.31) </w:t>
      </w:r>
      <w:r w:rsidR="004850ED">
        <w:t>as a patient ages</w:t>
      </w:r>
      <w:r w:rsidR="00407CD7">
        <w:t>; i</w:t>
      </w:r>
      <w:r w:rsidR="00E36870" w:rsidRPr="00EF4EB9">
        <w:t>deally differential rates by age or by the number (and type) of abnormalities would be used but these data were not identified.</w:t>
      </w:r>
    </w:p>
    <w:p w:rsidR="00E36870" w:rsidRPr="00EF4EB9" w:rsidRDefault="00407CD7" w:rsidP="008D11C1">
      <w:r>
        <w:t xml:space="preserve">Perhaps a stronger assumption made in producing the model is that TOE is a perfect gold standard against which the sensitivity and specificity of TTE should be derived. Using this assumption, TTE was estimated to have a very high sensitivity but a specificity of only around 35%. Within </w:t>
      </w:r>
      <w:r w:rsidR="00E36064">
        <w:t xml:space="preserve">this </w:t>
      </w:r>
      <w:r>
        <w:t xml:space="preserve">model, this </w:t>
      </w:r>
      <w:r>
        <w:lastRenderedPageBreak/>
        <w:t xml:space="preserve">low specificity corresponds to an increased proportion of ‘false positives’ being included in the patient population mix, and so TTE results in more people effectively experiencing increased risks of OACs in terms of bleed risks without </w:t>
      </w:r>
      <w:r w:rsidR="00D20CA0">
        <w:t xml:space="preserve">the </w:t>
      </w:r>
      <w:r>
        <w:t>increased benefits in terms of stroke risk reduction</w:t>
      </w:r>
      <w:r w:rsidR="00D20CA0">
        <w:t xml:space="preserve"> seen in higher risk patients</w:t>
      </w:r>
      <w:r>
        <w:t xml:space="preserve">. </w:t>
      </w:r>
      <w:r w:rsidR="00B24433">
        <w:t xml:space="preserve">If TTE were found to be superior to TOE at identifying certain types of LA ABN which expose patients to increased stroke risks, then this modeling assumption </w:t>
      </w:r>
      <w:r w:rsidR="00D20CA0">
        <w:t xml:space="preserve">would </w:t>
      </w:r>
      <w:r w:rsidR="00B24433">
        <w:t>be inaccurate</w:t>
      </w:r>
      <w:r w:rsidR="00E36064">
        <w:t>, and the true benefits of TTE in improving patient management would be underestimated</w:t>
      </w:r>
      <w:r w:rsidR="00B24433">
        <w:t xml:space="preserve">. </w:t>
      </w:r>
      <w:r>
        <w:t xml:space="preserve"> </w:t>
      </w:r>
      <w:r w:rsidR="00B24433">
        <w:t>The key data on which this economic evaluation is based – sensitivity, specificity, and TPHR – is</w:t>
      </w:r>
      <w:r w:rsidR="00E36870" w:rsidRPr="00EF4EB9">
        <w:t xml:space="preserve"> </w:t>
      </w:r>
      <w:r w:rsidR="00D20CA0">
        <w:t xml:space="preserve">derived from </w:t>
      </w:r>
      <w:r w:rsidR="00E36870" w:rsidRPr="00EF4EB9">
        <w:t>a relatively small study, of fewer than 400 patients, and in the group of interest, those patients who would be given a CHADS</w:t>
      </w:r>
      <w:r w:rsidR="00E36870" w:rsidRPr="00EF4EB9">
        <w:rPr>
          <w:vertAlign w:val="subscript"/>
        </w:rPr>
        <w:t>2</w:t>
      </w:r>
      <w:r w:rsidR="00E36870" w:rsidRPr="00EF4EB9">
        <w:t xml:space="preserve"> or CHA</w:t>
      </w:r>
      <w:r w:rsidR="00E36870" w:rsidRPr="00EF4EB9">
        <w:rPr>
          <w:vertAlign w:val="subscript"/>
        </w:rPr>
        <w:t>2</w:t>
      </w:r>
      <w:r w:rsidR="00E36870" w:rsidRPr="00EF4EB9">
        <w:t>DS</w:t>
      </w:r>
      <w:r w:rsidR="00E36870" w:rsidRPr="00EF4EB9">
        <w:rPr>
          <w:vertAlign w:val="subscript"/>
        </w:rPr>
        <w:t>2</w:t>
      </w:r>
      <w:r w:rsidR="00E36870" w:rsidRPr="00EF4EB9">
        <w:t>-VASc score of 0, fewer than 25 patients</w:t>
      </w:r>
      <w:r w:rsidR="004850ED">
        <w:t>.</w:t>
      </w:r>
      <w:r w:rsidR="00E36870" w:rsidRPr="00EF4EB9">
        <w:t xml:space="preserve"> This has made the assessment of the benefits of TTE uncertain, particularly in addition to the use of CHA</w:t>
      </w:r>
      <w:r w:rsidR="00E36870" w:rsidRPr="00E36064">
        <w:rPr>
          <w:vertAlign w:val="subscript"/>
        </w:rPr>
        <w:t>2</w:t>
      </w:r>
      <w:r w:rsidR="00E36870" w:rsidRPr="00EF4EB9">
        <w:t>DS</w:t>
      </w:r>
      <w:r w:rsidR="00E36870" w:rsidRPr="00E36064">
        <w:rPr>
          <w:vertAlign w:val="subscript"/>
        </w:rPr>
        <w:t>2</w:t>
      </w:r>
      <w:r w:rsidR="00E36870" w:rsidRPr="00EF4EB9">
        <w:t>-VASc, which had the fewer number of patients.</w:t>
      </w:r>
    </w:p>
    <w:p w:rsidR="00E36870" w:rsidRDefault="00B24433" w:rsidP="008D11C1">
      <w:r>
        <w:t xml:space="preserve">Other limitations include that there were </w:t>
      </w:r>
      <w:r w:rsidR="00E36870" w:rsidRPr="00EF4EB9">
        <w:t>no data relating the risk of stroke with CHA</w:t>
      </w:r>
      <w:r w:rsidR="00E36870" w:rsidRPr="00E36064">
        <w:rPr>
          <w:vertAlign w:val="subscript"/>
        </w:rPr>
        <w:t>2</w:t>
      </w:r>
      <w:r w:rsidR="00E36870" w:rsidRPr="00EF4EB9">
        <w:t>DS</w:t>
      </w:r>
      <w:r w:rsidR="00E36870" w:rsidRPr="00E36064">
        <w:rPr>
          <w:vertAlign w:val="subscript"/>
        </w:rPr>
        <w:t>2</w:t>
      </w:r>
      <w:r w:rsidR="00E36870" w:rsidRPr="00EF4EB9">
        <w:t>-VASc score, and this was approximated using the risk of stroke associated with CHADS</w:t>
      </w:r>
      <w:r w:rsidR="00E36870" w:rsidRPr="00772D0B">
        <w:rPr>
          <w:vertAlign w:val="subscript"/>
        </w:rPr>
        <w:t>2</w:t>
      </w:r>
      <w:r>
        <w:t xml:space="preserve"> score; that t</w:t>
      </w:r>
      <w:r w:rsidR="00E36870" w:rsidRPr="00EF4EB9">
        <w:t xml:space="preserve">he risk of death unrelated to bleeding or stroke events was taken from </w:t>
      </w:r>
      <w:proofErr w:type="spellStart"/>
      <w:r w:rsidR="00E36870" w:rsidRPr="00EF4EB9">
        <w:t>lifetables</w:t>
      </w:r>
      <w:proofErr w:type="spellEnd"/>
      <w:r w:rsidR="00E36870" w:rsidRPr="00EF4EB9">
        <w:t xml:space="preserve"> and were not adjusted for the probability of bleeding or stroke mortality</w:t>
      </w:r>
      <w:r>
        <w:t>; and that t</w:t>
      </w:r>
      <w:r w:rsidR="00E36870" w:rsidRPr="00EF4EB9">
        <w:t xml:space="preserve">he patient groups </w:t>
      </w:r>
      <w:proofErr w:type="spellStart"/>
      <w:r w:rsidR="00E36870" w:rsidRPr="00EF4EB9">
        <w:t>analysed</w:t>
      </w:r>
      <w:proofErr w:type="spellEnd"/>
      <w:r w:rsidR="00E36870" w:rsidRPr="00EF4EB9">
        <w:t xml:space="preserve"> within the model was limited, being males aged 60 with a CHADS</w:t>
      </w:r>
      <w:r w:rsidR="00E36870" w:rsidRPr="00772D0B">
        <w:rPr>
          <w:vertAlign w:val="subscript"/>
        </w:rPr>
        <w:t>2</w:t>
      </w:r>
      <w:r w:rsidR="00E36870" w:rsidRPr="00EF4EB9">
        <w:t xml:space="preserve"> or CHA</w:t>
      </w:r>
      <w:r w:rsidR="00E36870" w:rsidRPr="00772D0B">
        <w:rPr>
          <w:vertAlign w:val="subscript"/>
        </w:rPr>
        <w:t>2</w:t>
      </w:r>
      <w:r w:rsidR="00E36870" w:rsidRPr="00EF4EB9">
        <w:t>DS</w:t>
      </w:r>
      <w:r w:rsidR="00E36870" w:rsidRPr="00772D0B">
        <w:rPr>
          <w:vertAlign w:val="subscript"/>
        </w:rPr>
        <w:t>2</w:t>
      </w:r>
      <w:r w:rsidR="00E36870" w:rsidRPr="00EF4EB9">
        <w:t>-VASc score of 0 or 1.</w:t>
      </w:r>
    </w:p>
    <w:p w:rsidR="004850ED" w:rsidRDefault="004850ED" w:rsidP="004850ED">
      <w:r w:rsidRPr="00EF4EB9">
        <w:t xml:space="preserve">A key uncertainty is whether there are other benefits that are accrued from a TTE other than identifying LA ABN. If these exist, and produce even small </w:t>
      </w:r>
      <w:r>
        <w:t xml:space="preserve">net </w:t>
      </w:r>
      <w:r w:rsidRPr="00EF4EB9">
        <w:t xml:space="preserve">QALY gains (&gt; 0.0033) then TTE would be cost effective in all scenarios. </w:t>
      </w:r>
    </w:p>
    <w:p w:rsidR="0005390C" w:rsidRDefault="0005390C" w:rsidP="003562A1">
      <w:pPr>
        <w:pStyle w:val="Heading3"/>
        <w:numPr>
          <w:ilvl w:val="0"/>
          <w:numId w:val="0"/>
        </w:numPr>
      </w:pPr>
      <w:r>
        <w:t>Implications for Research</w:t>
      </w:r>
    </w:p>
    <w:p w:rsidR="0061601D" w:rsidRDefault="00CB6661" w:rsidP="008D11C1">
      <w:r>
        <w:t>Sensitivity analyses indicate</w:t>
      </w:r>
      <w:r w:rsidR="00C46C92">
        <w:t>d</w:t>
      </w:r>
      <w:r>
        <w:t xml:space="preserve"> that </w:t>
      </w:r>
      <w:r w:rsidR="00C46C92">
        <w:t xml:space="preserve">the </w:t>
      </w:r>
      <w:r w:rsidR="00D20CA0">
        <w:t xml:space="preserve">cost effectiveness estimates generated by the model </w:t>
      </w:r>
      <w:r w:rsidR="00C46C92">
        <w:t xml:space="preserve">depend </w:t>
      </w:r>
      <w:r w:rsidR="00903CA6">
        <w:t>heavily</w:t>
      </w:r>
      <w:r w:rsidR="00C46C92">
        <w:t xml:space="preserve"> on </w:t>
      </w:r>
      <w:r>
        <w:t xml:space="preserve">sensitivity and specificity </w:t>
      </w:r>
      <w:r w:rsidR="00903CA6">
        <w:t>estimates</w:t>
      </w:r>
      <w:r>
        <w:t xml:space="preserve">, as well as the </w:t>
      </w:r>
      <w:r w:rsidR="00903CA6">
        <w:t>true proportion of genuinely high risk (LA ABN</w:t>
      </w:r>
      <w:r w:rsidR="00FB3E31">
        <w:t xml:space="preserve"> positive</w:t>
      </w:r>
      <w:r w:rsidR="00903CA6">
        <w:t xml:space="preserve">) patients </w:t>
      </w:r>
      <w:r w:rsidR="00FB3E31">
        <w:t xml:space="preserve">in </w:t>
      </w:r>
      <w:r w:rsidR="00D20CA0">
        <w:t>this sub-</w:t>
      </w:r>
      <w:r w:rsidR="0061601D">
        <w:t>population of apparently ‘low risk’ patients</w:t>
      </w:r>
      <w:r w:rsidR="00903CA6">
        <w:t>.</w:t>
      </w:r>
      <w:r w:rsidR="002857F0">
        <w:t xml:space="preserve"> </w:t>
      </w:r>
      <w:r w:rsidR="004850ED">
        <w:t>T</w:t>
      </w:r>
      <w:r w:rsidR="0061601D">
        <w:t xml:space="preserve">he </w:t>
      </w:r>
      <w:r w:rsidR="002857F0">
        <w:t xml:space="preserve">model depends strongly on data reported in a single, relatively small study conducted outside of the UK, and so may </w:t>
      </w:r>
      <w:r w:rsidR="00D20CA0">
        <w:t>misrepresent</w:t>
      </w:r>
      <w:r w:rsidR="002857F0">
        <w:t xml:space="preserve"> the true </w:t>
      </w:r>
      <w:r w:rsidR="00D20CA0">
        <w:t xml:space="preserve">values of the </w:t>
      </w:r>
      <w:r w:rsidR="002857F0">
        <w:t>sensitivity</w:t>
      </w:r>
      <w:r w:rsidR="00D20CA0">
        <w:t xml:space="preserve"> of TTE</w:t>
      </w:r>
      <w:r w:rsidR="002857F0">
        <w:t xml:space="preserve">, </w:t>
      </w:r>
      <w:r w:rsidR="00D20CA0">
        <w:t xml:space="preserve">the </w:t>
      </w:r>
      <w:r w:rsidR="002857F0">
        <w:t xml:space="preserve">specificity </w:t>
      </w:r>
      <w:r w:rsidR="00D20CA0">
        <w:t xml:space="preserve">of TTE, </w:t>
      </w:r>
      <w:r w:rsidR="002857F0">
        <w:t>and TPHR.</w:t>
      </w:r>
      <w:r w:rsidR="00E36870" w:rsidRPr="00EF4EB9">
        <w:t xml:space="preserve"> </w:t>
      </w:r>
      <w:r w:rsidR="00736D21">
        <w:t xml:space="preserve">Having a more robust source of evidence for these parameters is likely to significantly improve the accuracy and validity of the mathematic models. </w:t>
      </w:r>
    </w:p>
    <w:p w:rsidR="004850ED" w:rsidRDefault="00736D21" w:rsidP="008D11C1">
      <w:r>
        <w:t>Additional research that would improve the validity of the model include: producing evidence linking each CHA</w:t>
      </w:r>
      <w:r w:rsidRPr="00736D21">
        <w:rPr>
          <w:vertAlign w:val="subscript"/>
        </w:rPr>
        <w:t>2</w:t>
      </w:r>
      <w:r>
        <w:t>DS</w:t>
      </w:r>
      <w:r w:rsidRPr="00736D21">
        <w:rPr>
          <w:vertAlign w:val="subscript"/>
        </w:rPr>
        <w:t>2</w:t>
      </w:r>
      <w:r>
        <w:t>-VASc score with an underlying annual stroke risk, as currently the assumption has had to have been made that CHA</w:t>
      </w:r>
      <w:r w:rsidRPr="00736D21">
        <w:rPr>
          <w:vertAlign w:val="subscript"/>
        </w:rPr>
        <w:t>2</w:t>
      </w:r>
      <w:r>
        <w:t>DS</w:t>
      </w:r>
      <w:r w:rsidRPr="00736D21">
        <w:rPr>
          <w:vertAlign w:val="subscript"/>
        </w:rPr>
        <w:t>2</w:t>
      </w:r>
      <w:r>
        <w:t>-VASc risks correspond exactly with CHADS</w:t>
      </w:r>
      <w:r w:rsidRPr="00736D21">
        <w:rPr>
          <w:vertAlign w:val="subscript"/>
        </w:rPr>
        <w:t>2</w:t>
      </w:r>
      <w:r>
        <w:t xml:space="preserve"> risks; and identifying any additional net benefits to the management of newly diagnosed AF patient that could result from routine screening with TTE at time of diagnosis.</w:t>
      </w:r>
      <w:r w:rsidR="00E55A94">
        <w:t xml:space="preserve"> If an accurate set of estimates linking stroke risk </w:t>
      </w:r>
      <w:r w:rsidR="00E55A94">
        <w:lastRenderedPageBreak/>
        <w:t>with CHA</w:t>
      </w:r>
      <w:r w:rsidR="00E55A94" w:rsidRPr="00E55A94">
        <w:rPr>
          <w:vertAlign w:val="subscript"/>
        </w:rPr>
        <w:t>2</w:t>
      </w:r>
      <w:r w:rsidR="00E55A94">
        <w:t>DS</w:t>
      </w:r>
      <w:r w:rsidR="00E55A94" w:rsidRPr="00E55A94">
        <w:rPr>
          <w:vertAlign w:val="subscript"/>
        </w:rPr>
        <w:t>2</w:t>
      </w:r>
      <w:r w:rsidR="00E55A94">
        <w:t>-VASc score were to be found, then a full incremental analysis comparing CHADS</w:t>
      </w:r>
      <w:r w:rsidR="00E55A94" w:rsidRPr="00E55A94">
        <w:rPr>
          <w:vertAlign w:val="subscript"/>
        </w:rPr>
        <w:t>2</w:t>
      </w:r>
      <w:r w:rsidR="00E55A94">
        <w:t xml:space="preserve"> and CHA</w:t>
      </w:r>
      <w:r w:rsidR="00E55A94" w:rsidRPr="00E55A94">
        <w:rPr>
          <w:vertAlign w:val="subscript"/>
        </w:rPr>
        <w:t>2</w:t>
      </w:r>
      <w:r w:rsidR="00E55A94">
        <w:t>DS</w:t>
      </w:r>
      <w:r w:rsidR="00E55A94" w:rsidRPr="00E55A94">
        <w:rPr>
          <w:vertAlign w:val="subscript"/>
        </w:rPr>
        <w:t>2</w:t>
      </w:r>
      <w:r w:rsidR="00E55A94">
        <w:t xml:space="preserve">-VASc with one another would be appropriate. </w:t>
      </w:r>
    </w:p>
    <w:p w:rsidR="0005390C" w:rsidRDefault="0005390C" w:rsidP="003562A1">
      <w:pPr>
        <w:pStyle w:val="Heading3"/>
        <w:numPr>
          <w:ilvl w:val="0"/>
          <w:numId w:val="0"/>
        </w:numPr>
      </w:pPr>
      <w:r>
        <w:t>Implications for clinical practice</w:t>
      </w:r>
    </w:p>
    <w:p w:rsidR="00A42D14" w:rsidRDefault="00903CA6" w:rsidP="008D11C1">
      <w:r>
        <w:t xml:space="preserve">The direct burden of routinely screening all newly diagnosed TTE patients is likely to be low. </w:t>
      </w:r>
      <w:r w:rsidRPr="00EF4EB9">
        <w:t>The additional resources required are relatively small, at an estimated £66 per TTE performed.  It is likely that additional bed days are made available due to the reduction in stroke following appropriate management, although there is likely to be an increase in bleed related admissions.</w:t>
      </w:r>
      <w:r>
        <w:t xml:space="preserve"> </w:t>
      </w:r>
      <w:r w:rsidRPr="00EF4EB9">
        <w:t>Should TTE be recommended for those patients with CHADS</w:t>
      </w:r>
      <w:r w:rsidRPr="00EF4EB9">
        <w:rPr>
          <w:vertAlign w:val="subscript"/>
        </w:rPr>
        <w:t>2</w:t>
      </w:r>
      <w:r w:rsidRPr="00EF4EB9">
        <w:t xml:space="preserve"> or CHA</w:t>
      </w:r>
      <w:r w:rsidRPr="00EF4EB9">
        <w:rPr>
          <w:vertAlign w:val="subscript"/>
        </w:rPr>
        <w:t>2</w:t>
      </w:r>
      <w:r w:rsidRPr="00EF4EB9">
        <w:t>DS</w:t>
      </w:r>
      <w:r w:rsidRPr="00EF4EB9">
        <w:rPr>
          <w:vertAlign w:val="subscript"/>
        </w:rPr>
        <w:t>2</w:t>
      </w:r>
      <w:r w:rsidRPr="00EF4EB9">
        <w:t xml:space="preserve">-VASc scores of 0 or 1, this is unlikely to place a great burden on hospitals </w:t>
      </w:r>
      <w:proofErr w:type="gramStart"/>
      <w:r w:rsidRPr="00EF4EB9">
        <w:t>who</w:t>
      </w:r>
      <w:proofErr w:type="gramEnd"/>
      <w:r w:rsidRPr="00EF4EB9">
        <w:t xml:space="preserve"> are likely to have staff trained in the use of TTE machines.</w:t>
      </w:r>
      <w:r>
        <w:t xml:space="preserve"> </w:t>
      </w:r>
      <w:r w:rsidR="00155DF4" w:rsidRPr="00EF4EB9">
        <w:t>TTEs are relatively easily available as well as both safe and non-invasive for patients, with staff trained in their use likely to be already available in hospitals.</w:t>
      </w:r>
      <w:r w:rsidR="00A42D14">
        <w:t xml:space="preserve"> </w:t>
      </w:r>
    </w:p>
    <w:p w:rsidR="004850ED" w:rsidRDefault="004850ED" w:rsidP="004850ED">
      <w:pPr>
        <w:pStyle w:val="Heading3"/>
        <w:numPr>
          <w:ilvl w:val="0"/>
          <w:numId w:val="0"/>
        </w:numPr>
      </w:pPr>
      <w:r>
        <w:t>Conclusion</w:t>
      </w:r>
    </w:p>
    <w:p w:rsidR="00E74F07" w:rsidRDefault="00E74F07" w:rsidP="008D11C1">
      <w:bookmarkStart w:id="1" w:name="_GoBack"/>
      <w:bookmarkEnd w:id="1"/>
      <w:r>
        <w:t xml:space="preserve">This model </w:t>
      </w:r>
      <w:r w:rsidR="0047004A">
        <w:t xml:space="preserve">considers </w:t>
      </w:r>
      <w:r>
        <w:t xml:space="preserve">TTE as part of a diagnostic strategy. </w:t>
      </w:r>
      <w:r w:rsidR="0047004A">
        <w:t xml:space="preserve">As such, </w:t>
      </w:r>
      <w:r>
        <w:t>TTE can only affect clinical outcomes indirectly, through its effect on the treatment options selected as a result of it</w:t>
      </w:r>
      <w:r w:rsidR="0047004A">
        <w:t xml:space="preserve">. Recent changes in the recommended OAC for AF patients, from </w:t>
      </w:r>
      <w:proofErr w:type="spellStart"/>
      <w:r w:rsidR="0047004A">
        <w:t>warfarin</w:t>
      </w:r>
      <w:proofErr w:type="spellEnd"/>
      <w:r w:rsidR="0047004A">
        <w:t xml:space="preserve"> to </w:t>
      </w:r>
      <w:proofErr w:type="spellStart"/>
      <w:r w:rsidR="0047004A">
        <w:t>dabigatran</w:t>
      </w:r>
      <w:proofErr w:type="spellEnd"/>
      <w:r w:rsidR="0047004A">
        <w:t xml:space="preserve">, have led to changes in the added value of TTE in this context, as it has changed the proportion of patients where the new information from TTE is likely to make a difference to clinical management. Because </w:t>
      </w:r>
      <w:proofErr w:type="spellStart"/>
      <w:r w:rsidR="0047004A">
        <w:t>dabigatran</w:t>
      </w:r>
      <w:proofErr w:type="spellEnd"/>
      <w:r w:rsidR="0047004A">
        <w:t xml:space="preserve"> appears safer than </w:t>
      </w:r>
      <w:proofErr w:type="spellStart"/>
      <w:r w:rsidR="0047004A">
        <w:t>warfarin</w:t>
      </w:r>
      <w:proofErr w:type="spellEnd"/>
      <w:r w:rsidR="0047004A">
        <w:t xml:space="preserve">, but is </w:t>
      </w:r>
      <w:proofErr w:type="spellStart"/>
      <w:r w:rsidR="0047004A">
        <w:t>noninferior</w:t>
      </w:r>
      <w:proofErr w:type="spellEnd"/>
      <w:r w:rsidR="0047004A">
        <w:t xml:space="preserve"> in terms of stroke risk reduction, the OAC is prescribed at a lower stroke risk threshold (one CHADS</w:t>
      </w:r>
      <w:r w:rsidR="0047004A" w:rsidRPr="0047004A">
        <w:rPr>
          <w:vertAlign w:val="subscript"/>
        </w:rPr>
        <w:t>2</w:t>
      </w:r>
      <w:r w:rsidR="0047004A">
        <w:t xml:space="preserve"> point rather than two for </w:t>
      </w:r>
      <w:proofErr w:type="spellStart"/>
      <w:r w:rsidR="0047004A">
        <w:t>warfarin</w:t>
      </w:r>
      <w:proofErr w:type="spellEnd"/>
      <w:r w:rsidR="0047004A">
        <w:t xml:space="preserve">), and so information from TTE makes a difference for fewer AF patients, who are less likely to be of a genuinely high risk of stroke. This moving of the ‘tipping point’ </w:t>
      </w:r>
      <w:r w:rsidR="00374E80">
        <w:fldChar w:fldCharType="begin" w:fldLock="1"/>
      </w:r>
      <w:r w:rsidR="009C7509">
        <w:instrText>ADDIN CSL_CITATION { "citationItems" : [ { "id" : "ITEM-1", "itemData" : { "DOI" : "CIRCOUTCOMES.110.958108 [pii]\n10.1161/CIRCOUTCOMES.110.958108", "ISBN" : "1941-7705 (Electronic)\n1941-7713 (Linking)", "abstract" : "BACKGROUND: The rate of ischemic stroke associated with traditional risk factors for patients with atrial fibrillation has declined over the past 2 decades. Furthermore, new and potentially safer anticoagulants are on the horizon. Thus, the balance between risk factors for stroke and benefit of anticoagulation may be shifting. METHODS AND RESULTS: The Markov state transition decision model was used to analyze the CHADS(2) score, above which anticoagulation is preferred, first using the stroke rate predicted for the CHADS(2) derivation cohort, and then using the stroke rate from the more contemporary AnTicoagulation and Risk Factors In Atrial Fibrillation cohort for any CHADS(2) score. The base case was a 69-year-old man with atrial fibrillation. Interventions included oral anticoagulant therapy with warfarin or a hypothetical \"new and safer\" anticoagulant (based on dabigatran), no antithrombotic therapy, or aspirin. Warfarin is preferred above a stroke rate of 1.7% per year, whereas aspirin is preferred at lower rates of stroke. Anticoagulation with warfarin is preferred even for a score of 0 using the higher rates of the older CHADS(2) derivation cohort. Using more contemporary and lower estimates of stroke risk raises the threshold for use of warfarin to a CHADS(2) score &gt;/=2. However, anticoagulation with a \"new, safer\" agent, modeled on the results of the Randomized Evaluation of Long-Term Anticoagulation Therapy trial of dabigatran, leads to a lowering of the threshold for anticoagulation to a stroke rate of 0.9% per year. CONCLUSIONS: Use of a more contemporary estimate of stroke risk shifts the \"tipping point,\" such that anticoagulation is preferred at a higher CHADS(2) score, reducing the number of patients for whom anticoagulation is recommended. The introduction of \"new, safer\" agents, however, would shift the tipping point in the opposite direction.", "author" : [ { "family" : "Eckman", "given" : "M H" }, { "family" : "Singer", "given" : "D E" }, { "family" : "Rosand", "given" : "J" }, { "family" : "Greenberg", "given" : "S M" } ], "container-title" : "Circ Cardiovasc Qual Outcomes", "edition" : "2010/12/09", "id" : "ITEM-1", "issue" : "1", "issued" : { "date-parts" : [ [ "2011" ] ] }, "note" : "&lt;m:note&gt;Eckman, Mark H&lt;m:linebreak/&gt;Singer, Daniel E&lt;m:linebreak/&gt;Rosand, Jonathan&lt;m:linebreak/&gt;Greenberg, Steven M&lt;m:linebreak/&gt;UL1 RR026314-01S1/RR/NCRR NIH HHS/United States&lt;m:linebreak/&gt;Research Support, N.I.H., Extramural&lt;m:linebreak/&gt;Research Support, Non-U.S. Gov't&lt;m:linebreak/&gt;United States&lt;m:linebreak/&gt;Circulation. Cardiovascular quality and outcomes&lt;m:linebreak/&gt;Circ Cardiovasc Qual Outcomes. 2011 Jan 1;4(1):14-21. Epub 2010 Dec 7.&lt;/m:note&gt;", "page" : "14-21", "title" : "Moving the tipping point: the decision to anticoagulate patients with atrial fibrillation", "type" : "article-journal", "volume" : "4" }, "uris" : [ "http://www.mendeley.com/documents/?uuid=bc213b00-44f0-4d43-aff5-055d3d46fe45" ] } ], "mendeley" : { "previouslyFormattedCitation" : "(15)" }, "properties" : { "noteIndex" : 0 }, "schema" : "https://github.com/citation-style-language/schema/raw/master/csl-citation.json" }</w:instrText>
      </w:r>
      <w:r w:rsidR="00374E80">
        <w:fldChar w:fldCharType="separate"/>
      </w:r>
      <w:r w:rsidR="009C7509" w:rsidRPr="009C7509">
        <w:rPr>
          <w:noProof/>
        </w:rPr>
        <w:t>(15)</w:t>
      </w:r>
      <w:r w:rsidR="00374E80">
        <w:fldChar w:fldCharType="end"/>
      </w:r>
      <w:r w:rsidR="0047004A">
        <w:t xml:space="preserve"> has meant that TTE has become less valuable in this context even </w:t>
      </w:r>
      <w:r w:rsidR="008D11C1">
        <w:t>as the technology has improved. However, TTE may have value for this population in</w:t>
      </w:r>
      <w:r w:rsidR="00DC17EE">
        <w:t xml:space="preserve"> other decision-making contexts</w:t>
      </w:r>
      <w:r w:rsidR="008D11C1">
        <w:t xml:space="preserve"> which this model has not explored. Given the</w:t>
      </w:r>
      <w:r w:rsidR="00F15320">
        <w:t xml:space="preserve"> very small one-off</w:t>
      </w:r>
      <w:r w:rsidR="008D11C1">
        <w:t xml:space="preserve"> cost of a single TTE test in the </w:t>
      </w:r>
      <w:r w:rsidR="00F15320">
        <w:t>context of large ongoing costs</w:t>
      </w:r>
      <w:r w:rsidR="008D11C1">
        <w:t xml:space="preserve"> of lifelong patient management for people with AF, TTE may represent a cost-effective use of resources overall even if not when making the OAC decision.</w:t>
      </w:r>
    </w:p>
    <w:p w:rsidR="00795047" w:rsidRDefault="00795047" w:rsidP="00EB5B27">
      <w:pPr>
        <w:pStyle w:val="Header"/>
        <w:spacing w:before="60" w:after="60" w:line="360" w:lineRule="auto"/>
        <w:rPr>
          <w:sz w:val="22"/>
          <w:szCs w:val="22"/>
        </w:rPr>
      </w:pPr>
    </w:p>
    <w:p w:rsidR="00155DF4" w:rsidRDefault="00155DF4" w:rsidP="00EB5B27">
      <w:pPr>
        <w:pStyle w:val="Header"/>
        <w:spacing w:before="60" w:after="60" w:line="360" w:lineRule="auto"/>
        <w:rPr>
          <w:sz w:val="22"/>
          <w:szCs w:val="22"/>
        </w:rPr>
      </w:pPr>
    </w:p>
    <w:p w:rsidR="00D20CA0" w:rsidRDefault="00D20CA0">
      <w:pPr>
        <w:pStyle w:val="NormalWeb"/>
        <w:ind w:left="640" w:hanging="640"/>
        <w:divId w:val="570163234"/>
        <w:sectPr w:rsidR="00D20CA0" w:rsidSect="00834F71">
          <w:pgSz w:w="11906" w:h="16838"/>
          <w:pgMar w:top="1440" w:right="1440" w:bottom="1440" w:left="1440" w:header="709" w:footer="709" w:gutter="0"/>
          <w:cols w:space="708"/>
          <w:docGrid w:linePitch="360"/>
        </w:sectPr>
      </w:pPr>
    </w:p>
    <w:p w:rsidR="00D20CA0" w:rsidRDefault="00D20CA0" w:rsidP="00D20CA0">
      <w:pPr>
        <w:pStyle w:val="Heading1"/>
        <w:divId w:val="570163234"/>
      </w:pPr>
      <w:r>
        <w:t>References</w:t>
      </w:r>
    </w:p>
    <w:p w:rsidR="009C7509" w:rsidRPr="009C7509" w:rsidRDefault="00374E80">
      <w:pPr>
        <w:pStyle w:val="NormalWeb"/>
        <w:ind w:left="640" w:hanging="640"/>
        <w:divId w:val="77218782"/>
      </w:pPr>
      <w:r>
        <w:fldChar w:fldCharType="begin" w:fldLock="1"/>
      </w:r>
      <w:r w:rsidR="009C2038">
        <w:instrText xml:space="preserve">ADDIN Mendeley Bibliography CSL_BIBLIOGRAPHY </w:instrText>
      </w:r>
      <w:r>
        <w:fldChar w:fldCharType="separate"/>
      </w:r>
      <w:r w:rsidR="009C7509" w:rsidRPr="009C7509">
        <w:t xml:space="preserve">1. </w:t>
      </w:r>
      <w:r w:rsidR="009C7509" w:rsidRPr="009C7509">
        <w:tab/>
        <w:t xml:space="preserve">Go AS, </w:t>
      </w:r>
      <w:proofErr w:type="spellStart"/>
      <w:r w:rsidR="009C7509" w:rsidRPr="009C7509">
        <w:t>Hylek</w:t>
      </w:r>
      <w:proofErr w:type="spellEnd"/>
      <w:r w:rsidR="009C7509" w:rsidRPr="009C7509">
        <w:t xml:space="preserve"> EM, Phillips KA, Chang Y, </w:t>
      </w:r>
      <w:proofErr w:type="spellStart"/>
      <w:r w:rsidR="009C7509" w:rsidRPr="009C7509">
        <w:t>Henault</w:t>
      </w:r>
      <w:proofErr w:type="spellEnd"/>
      <w:r w:rsidR="009C7509" w:rsidRPr="009C7509">
        <w:t xml:space="preserve"> LE, Selby JV, et al. Prevalence of diagnosed </w:t>
      </w:r>
      <w:proofErr w:type="spellStart"/>
      <w:r w:rsidR="009C7509" w:rsidRPr="009C7509">
        <w:t>atrial</w:t>
      </w:r>
      <w:proofErr w:type="spellEnd"/>
      <w:r w:rsidR="009C7509" w:rsidRPr="009C7509">
        <w:t xml:space="preserve"> fibrillation in adults: national implications for rhythm management and stroke prevention: the </w:t>
      </w:r>
      <w:proofErr w:type="spellStart"/>
      <w:r w:rsidR="009C7509" w:rsidRPr="009C7509">
        <w:t>AnTicoagulation</w:t>
      </w:r>
      <w:proofErr w:type="spellEnd"/>
      <w:r w:rsidR="009C7509" w:rsidRPr="009C7509">
        <w:t xml:space="preserve"> and Risk Factors in </w:t>
      </w:r>
      <w:proofErr w:type="spellStart"/>
      <w:r w:rsidR="009C7509" w:rsidRPr="009C7509">
        <w:t>Atrial</w:t>
      </w:r>
      <w:proofErr w:type="spellEnd"/>
      <w:r w:rsidR="009C7509" w:rsidRPr="009C7509">
        <w:t xml:space="preserve"> Fibrillation (ATRIA) Study. JAMA : the journal of the American Medical Association [Internet]. 2001 May 9 [cited 2012 Mar 8]</w:t>
      </w:r>
      <w:proofErr w:type="gramStart"/>
      <w:r w:rsidR="009C7509" w:rsidRPr="009C7509">
        <w:t>;285</w:t>
      </w:r>
      <w:proofErr w:type="gramEnd"/>
      <w:r w:rsidR="009C7509" w:rsidRPr="009C7509">
        <w:t>(18):2370–5. Available from: http://www.ncbi.nlm.nih.gov/pubmed/11343485</w:t>
      </w:r>
    </w:p>
    <w:p w:rsidR="009C7509" w:rsidRPr="009C7509" w:rsidRDefault="009C7509">
      <w:pPr>
        <w:pStyle w:val="NormalWeb"/>
        <w:ind w:left="640" w:hanging="640"/>
        <w:divId w:val="77218782"/>
      </w:pPr>
      <w:r w:rsidRPr="009C7509">
        <w:t xml:space="preserve">2. </w:t>
      </w:r>
      <w:r w:rsidRPr="009C7509">
        <w:tab/>
      </w:r>
      <w:proofErr w:type="spellStart"/>
      <w:r w:rsidRPr="009C7509">
        <w:t>Rivaroxaban</w:t>
      </w:r>
      <w:proofErr w:type="spellEnd"/>
      <w:r w:rsidRPr="009C7509">
        <w:t xml:space="preserve">-once daily, oral, direct factor </w:t>
      </w:r>
      <w:proofErr w:type="spellStart"/>
      <w:r w:rsidRPr="009C7509">
        <w:t>Xa</w:t>
      </w:r>
      <w:proofErr w:type="spellEnd"/>
      <w:r w:rsidRPr="009C7509">
        <w:t xml:space="preserve"> inhibition compared with vitamin K antagonism for prevention of stroke and Embolism Trial in </w:t>
      </w:r>
      <w:proofErr w:type="spellStart"/>
      <w:r w:rsidRPr="009C7509">
        <w:t>Atrial</w:t>
      </w:r>
      <w:proofErr w:type="spellEnd"/>
      <w:r w:rsidRPr="009C7509">
        <w:t xml:space="preserve"> Fibrillation: rationale and design of the ROCKET AF study. </w:t>
      </w:r>
      <w:proofErr w:type="gramStart"/>
      <w:r w:rsidRPr="009C7509">
        <w:t>American heart journal [Internet].</w:t>
      </w:r>
      <w:proofErr w:type="gramEnd"/>
      <w:r w:rsidRPr="009C7509">
        <w:t xml:space="preserve"> 2010 Mar [cited 2012 Apr 4]</w:t>
      </w:r>
      <w:proofErr w:type="gramStart"/>
      <w:r w:rsidRPr="009C7509">
        <w:t>;159</w:t>
      </w:r>
      <w:proofErr w:type="gramEnd"/>
      <w:r w:rsidRPr="009C7509">
        <w:t>(3):340–347.e1. Available from: http://www.ncbi.nlm.nih.gov/pubmed/20211293</w:t>
      </w:r>
    </w:p>
    <w:p w:rsidR="009C7509" w:rsidRPr="009C7509" w:rsidRDefault="009C7509">
      <w:pPr>
        <w:pStyle w:val="NormalWeb"/>
        <w:ind w:left="640" w:hanging="640"/>
        <w:divId w:val="77218782"/>
      </w:pPr>
      <w:r w:rsidRPr="009C7509">
        <w:t xml:space="preserve">3. </w:t>
      </w:r>
      <w:r w:rsidRPr="009C7509">
        <w:tab/>
      </w:r>
      <w:proofErr w:type="spellStart"/>
      <w:r w:rsidRPr="009C7509">
        <w:t>Camm</w:t>
      </w:r>
      <w:proofErr w:type="spellEnd"/>
      <w:r w:rsidRPr="009C7509">
        <w:t xml:space="preserve"> AJ, </w:t>
      </w:r>
      <w:proofErr w:type="spellStart"/>
      <w:r w:rsidRPr="009C7509">
        <w:t>Kirchhof</w:t>
      </w:r>
      <w:proofErr w:type="spellEnd"/>
      <w:r w:rsidRPr="009C7509">
        <w:t xml:space="preserve"> P, Lip GY, </w:t>
      </w:r>
      <w:proofErr w:type="spellStart"/>
      <w:r w:rsidRPr="009C7509">
        <w:t>Schotten</w:t>
      </w:r>
      <w:proofErr w:type="spellEnd"/>
      <w:r w:rsidRPr="009C7509">
        <w:t xml:space="preserve"> U, </w:t>
      </w:r>
      <w:proofErr w:type="spellStart"/>
      <w:r w:rsidRPr="009C7509">
        <w:t>Savelieva</w:t>
      </w:r>
      <w:proofErr w:type="spellEnd"/>
      <w:r w:rsidRPr="009C7509">
        <w:t xml:space="preserve"> I, Ernst S, et al. Guidelines for the management of </w:t>
      </w:r>
      <w:proofErr w:type="spellStart"/>
      <w:r w:rsidRPr="009C7509">
        <w:t>atrial</w:t>
      </w:r>
      <w:proofErr w:type="spellEnd"/>
      <w:r w:rsidRPr="009C7509">
        <w:t xml:space="preserve"> fibrillation: the Task Force for the Management of </w:t>
      </w:r>
      <w:proofErr w:type="spellStart"/>
      <w:r w:rsidRPr="009C7509">
        <w:t>Atrial</w:t>
      </w:r>
      <w:proofErr w:type="spellEnd"/>
      <w:r w:rsidRPr="009C7509">
        <w:t xml:space="preserve"> Fibrillation of the European Society of Cardiology (ESC). </w:t>
      </w:r>
      <w:proofErr w:type="spellStart"/>
      <w:r w:rsidRPr="009C7509">
        <w:t>Eur</w:t>
      </w:r>
      <w:proofErr w:type="spellEnd"/>
      <w:r w:rsidRPr="009C7509">
        <w:t xml:space="preserve"> Heart J [Internet]. 2010</w:t>
      </w:r>
      <w:proofErr w:type="gramStart"/>
      <w:r w:rsidRPr="009C7509">
        <w:t>;31</w:t>
      </w:r>
      <w:proofErr w:type="gramEnd"/>
      <w:r w:rsidRPr="009C7509">
        <w:t>(19):2369–429. Available from: http://www.ncbi.nlm.nih.gov/pubmed/20802247</w:t>
      </w:r>
    </w:p>
    <w:p w:rsidR="009C7509" w:rsidRPr="009C7509" w:rsidRDefault="009C7509">
      <w:pPr>
        <w:pStyle w:val="NormalWeb"/>
        <w:ind w:left="640" w:hanging="640"/>
        <w:divId w:val="77218782"/>
      </w:pPr>
      <w:r w:rsidRPr="009C7509">
        <w:t xml:space="preserve">4. </w:t>
      </w:r>
      <w:r w:rsidRPr="009C7509">
        <w:tab/>
        <w:t xml:space="preserve">NICE. </w:t>
      </w:r>
      <w:proofErr w:type="gramStart"/>
      <w:r w:rsidRPr="009C7509">
        <w:t xml:space="preserve">Final appraisal determination – </w:t>
      </w:r>
      <w:proofErr w:type="spellStart"/>
      <w:r w:rsidRPr="009C7509">
        <w:t>Dabigatran</w:t>
      </w:r>
      <w:proofErr w:type="spellEnd"/>
      <w:r w:rsidRPr="009C7509">
        <w:t xml:space="preserve"> </w:t>
      </w:r>
      <w:proofErr w:type="spellStart"/>
      <w:r w:rsidRPr="009C7509">
        <w:t>etexilate</w:t>
      </w:r>
      <w:proofErr w:type="spellEnd"/>
      <w:r w:rsidRPr="009C7509">
        <w:t xml:space="preserve"> for the prevention of stroke and systemic embolism in </w:t>
      </w:r>
      <w:proofErr w:type="spellStart"/>
      <w:r w:rsidRPr="009C7509">
        <w:t>atrial</w:t>
      </w:r>
      <w:proofErr w:type="spellEnd"/>
      <w:r w:rsidRPr="009C7509">
        <w:t xml:space="preserve"> fibrillation [Internet].</w:t>
      </w:r>
      <w:proofErr w:type="gramEnd"/>
      <w:r w:rsidRPr="009C7509">
        <w:t xml:space="preserve"> 2012. Available from: http://www.nice.org.uk/nicemedia/live/12225/56899/56899.pdf</w:t>
      </w:r>
    </w:p>
    <w:p w:rsidR="009C7509" w:rsidRPr="009C7509" w:rsidRDefault="009C7509">
      <w:pPr>
        <w:pStyle w:val="NormalWeb"/>
        <w:ind w:left="640" w:hanging="640"/>
        <w:divId w:val="77218782"/>
      </w:pPr>
      <w:r w:rsidRPr="009C7509">
        <w:t xml:space="preserve">5. </w:t>
      </w:r>
      <w:r w:rsidRPr="009C7509">
        <w:tab/>
      </w:r>
      <w:proofErr w:type="spellStart"/>
      <w:r w:rsidRPr="009C7509">
        <w:t>Eikelboom</w:t>
      </w:r>
      <w:proofErr w:type="spellEnd"/>
      <w:r w:rsidRPr="009C7509">
        <w:t xml:space="preserve"> JW, </w:t>
      </w:r>
      <w:proofErr w:type="spellStart"/>
      <w:r w:rsidRPr="009C7509">
        <w:t>Wallentin</w:t>
      </w:r>
      <w:proofErr w:type="spellEnd"/>
      <w:r w:rsidRPr="009C7509">
        <w:t xml:space="preserve"> L, Connolly SJ, </w:t>
      </w:r>
      <w:proofErr w:type="spellStart"/>
      <w:r w:rsidRPr="009C7509">
        <w:t>Ezekowitz</w:t>
      </w:r>
      <w:proofErr w:type="spellEnd"/>
      <w:r w:rsidRPr="009C7509">
        <w:t xml:space="preserve"> M, Healey JS, </w:t>
      </w:r>
      <w:proofErr w:type="spellStart"/>
      <w:r w:rsidRPr="009C7509">
        <w:t>Oldgren</w:t>
      </w:r>
      <w:proofErr w:type="spellEnd"/>
      <w:r w:rsidRPr="009C7509">
        <w:t xml:space="preserve"> J, et al. Risk of bleeding with 2 doses of </w:t>
      </w:r>
      <w:proofErr w:type="spellStart"/>
      <w:r w:rsidRPr="009C7509">
        <w:t>dabigatran</w:t>
      </w:r>
      <w:proofErr w:type="spellEnd"/>
      <w:r w:rsidRPr="009C7509">
        <w:t xml:space="preserve"> compared with </w:t>
      </w:r>
      <w:proofErr w:type="spellStart"/>
      <w:r w:rsidRPr="009C7509">
        <w:t>warfarin</w:t>
      </w:r>
      <w:proofErr w:type="spellEnd"/>
      <w:r w:rsidRPr="009C7509">
        <w:t xml:space="preserve"> in older and younger patients with </w:t>
      </w:r>
      <w:proofErr w:type="spellStart"/>
      <w:r w:rsidRPr="009C7509">
        <w:t>atrial</w:t>
      </w:r>
      <w:proofErr w:type="spellEnd"/>
      <w:r w:rsidRPr="009C7509">
        <w:t xml:space="preserve"> fibrillation: an analysis of the randomized evaluation of long-term anticoagulant therapy (RE-LY) trial. </w:t>
      </w:r>
      <w:proofErr w:type="gramStart"/>
      <w:r w:rsidRPr="009C7509">
        <w:t>Circulation [Internet].</w:t>
      </w:r>
      <w:proofErr w:type="gramEnd"/>
      <w:r w:rsidRPr="009C7509">
        <w:t xml:space="preserve"> 2011</w:t>
      </w:r>
      <w:proofErr w:type="gramStart"/>
      <w:r w:rsidRPr="009C7509">
        <w:t>;123</w:t>
      </w:r>
      <w:proofErr w:type="gramEnd"/>
      <w:r w:rsidRPr="009C7509">
        <w:t>(21):2363–72. Available from: http://www.ncbi.nlm.nih.gov/pubmed/21576658</w:t>
      </w:r>
    </w:p>
    <w:p w:rsidR="009C7509" w:rsidRPr="009C7509" w:rsidRDefault="009C7509">
      <w:pPr>
        <w:pStyle w:val="NormalWeb"/>
        <w:ind w:left="640" w:hanging="640"/>
        <w:divId w:val="77218782"/>
      </w:pPr>
      <w:r w:rsidRPr="009C7509">
        <w:t xml:space="preserve">6. </w:t>
      </w:r>
      <w:r w:rsidRPr="009C7509">
        <w:tab/>
      </w:r>
      <w:proofErr w:type="spellStart"/>
      <w:r w:rsidRPr="009C7509">
        <w:t>Transesophageal</w:t>
      </w:r>
      <w:proofErr w:type="spellEnd"/>
      <w:r w:rsidRPr="009C7509">
        <w:t xml:space="preserve"> </w:t>
      </w:r>
      <w:proofErr w:type="spellStart"/>
      <w:r w:rsidRPr="009C7509">
        <w:t>echocardiographic</w:t>
      </w:r>
      <w:proofErr w:type="spellEnd"/>
      <w:r w:rsidRPr="009C7509">
        <w:t xml:space="preserve"> correlates of </w:t>
      </w:r>
      <w:proofErr w:type="spellStart"/>
      <w:r w:rsidRPr="009C7509">
        <w:t>thromboembolism</w:t>
      </w:r>
      <w:proofErr w:type="spellEnd"/>
      <w:r w:rsidRPr="009C7509">
        <w:t xml:space="preserve"> in high-risk patients with </w:t>
      </w:r>
      <w:proofErr w:type="spellStart"/>
      <w:r w:rsidRPr="009C7509">
        <w:t>nonvalvular</w:t>
      </w:r>
      <w:proofErr w:type="spellEnd"/>
      <w:r w:rsidRPr="009C7509">
        <w:t xml:space="preserve"> </w:t>
      </w:r>
      <w:proofErr w:type="spellStart"/>
      <w:r w:rsidRPr="009C7509">
        <w:t>atrial</w:t>
      </w:r>
      <w:proofErr w:type="spellEnd"/>
      <w:r w:rsidRPr="009C7509">
        <w:t xml:space="preserve"> fibrillation. </w:t>
      </w:r>
      <w:proofErr w:type="gramStart"/>
      <w:r w:rsidRPr="009C7509">
        <w:t xml:space="preserve">The Stroke Prevention in </w:t>
      </w:r>
      <w:proofErr w:type="spellStart"/>
      <w:r w:rsidRPr="009C7509">
        <w:t>Atrial</w:t>
      </w:r>
      <w:proofErr w:type="spellEnd"/>
      <w:r w:rsidRPr="009C7509">
        <w:t xml:space="preserve"> Fibrillation Investigators Committee on Echocardiography.</w:t>
      </w:r>
      <w:proofErr w:type="gramEnd"/>
      <w:r w:rsidRPr="009C7509">
        <w:t xml:space="preserve"> </w:t>
      </w:r>
      <w:proofErr w:type="gramStart"/>
      <w:r w:rsidRPr="009C7509">
        <w:t>Ann Intern Med [Internet].</w:t>
      </w:r>
      <w:proofErr w:type="gramEnd"/>
      <w:r w:rsidRPr="009C7509">
        <w:t xml:space="preserve"> 1998</w:t>
      </w:r>
      <w:proofErr w:type="gramStart"/>
      <w:r w:rsidRPr="009C7509">
        <w:t>;128</w:t>
      </w:r>
      <w:proofErr w:type="gramEnd"/>
      <w:r w:rsidRPr="009C7509">
        <w:t>(8):639–47. Available from: http://www.ncbi.nlm.nih.gov/pubmed/9537937</w:t>
      </w:r>
    </w:p>
    <w:p w:rsidR="009C7509" w:rsidRPr="009C7509" w:rsidRDefault="009C7509">
      <w:pPr>
        <w:pStyle w:val="NormalWeb"/>
        <w:ind w:left="640" w:hanging="640"/>
        <w:divId w:val="77218782"/>
      </w:pPr>
      <w:r w:rsidRPr="009C7509">
        <w:t xml:space="preserve">7. </w:t>
      </w:r>
      <w:r w:rsidRPr="009C7509">
        <w:tab/>
        <w:t xml:space="preserve">NICE. Guide to the methods of </w:t>
      </w:r>
      <w:proofErr w:type="spellStart"/>
      <w:r w:rsidRPr="009C7509">
        <w:t>technoloy</w:t>
      </w:r>
      <w:proofErr w:type="spellEnd"/>
      <w:r w:rsidRPr="009C7509">
        <w:t xml:space="preserve"> appraisal. 2008. </w:t>
      </w:r>
    </w:p>
    <w:p w:rsidR="009C7509" w:rsidRPr="009C7509" w:rsidRDefault="009C7509">
      <w:pPr>
        <w:pStyle w:val="NormalWeb"/>
        <w:ind w:left="640" w:hanging="640"/>
        <w:divId w:val="77218782"/>
      </w:pPr>
      <w:r w:rsidRPr="009C7509">
        <w:t xml:space="preserve">8. </w:t>
      </w:r>
      <w:r w:rsidRPr="009C7509">
        <w:tab/>
      </w:r>
      <w:proofErr w:type="spellStart"/>
      <w:r w:rsidRPr="009C7509">
        <w:t>Providencia</w:t>
      </w:r>
      <w:proofErr w:type="spellEnd"/>
      <w:r w:rsidRPr="009C7509">
        <w:t xml:space="preserve"> R, </w:t>
      </w:r>
      <w:proofErr w:type="spellStart"/>
      <w:r w:rsidRPr="009C7509">
        <w:t>Botelho</w:t>
      </w:r>
      <w:proofErr w:type="spellEnd"/>
      <w:r w:rsidRPr="009C7509">
        <w:t xml:space="preserve"> A, </w:t>
      </w:r>
      <w:proofErr w:type="spellStart"/>
      <w:r w:rsidRPr="009C7509">
        <w:t>Trigo</w:t>
      </w:r>
      <w:proofErr w:type="spellEnd"/>
      <w:r w:rsidRPr="009C7509">
        <w:t xml:space="preserve"> J, Quintal N, </w:t>
      </w:r>
      <w:proofErr w:type="spellStart"/>
      <w:r w:rsidRPr="009C7509">
        <w:t>Nascimento</w:t>
      </w:r>
      <w:proofErr w:type="spellEnd"/>
      <w:r w:rsidRPr="009C7509">
        <w:t xml:space="preserve"> J, </w:t>
      </w:r>
      <w:proofErr w:type="spellStart"/>
      <w:r w:rsidRPr="009C7509">
        <w:t>Mota</w:t>
      </w:r>
      <w:proofErr w:type="spellEnd"/>
      <w:r w:rsidRPr="009C7509">
        <w:t xml:space="preserve"> P, et al. Possible refinement of clinical </w:t>
      </w:r>
      <w:proofErr w:type="spellStart"/>
      <w:r w:rsidRPr="009C7509">
        <w:t>thromboembolism</w:t>
      </w:r>
      <w:proofErr w:type="spellEnd"/>
      <w:r w:rsidRPr="009C7509">
        <w:t xml:space="preserve"> assessment in patients with </w:t>
      </w:r>
      <w:proofErr w:type="spellStart"/>
      <w:r w:rsidRPr="009C7509">
        <w:t>atrial</w:t>
      </w:r>
      <w:proofErr w:type="spellEnd"/>
      <w:r w:rsidRPr="009C7509">
        <w:t xml:space="preserve"> fibrillation using </w:t>
      </w:r>
      <w:proofErr w:type="spellStart"/>
      <w:r w:rsidRPr="009C7509">
        <w:t>echocardiographic</w:t>
      </w:r>
      <w:proofErr w:type="spellEnd"/>
      <w:r w:rsidRPr="009C7509">
        <w:t xml:space="preserve"> parameters. </w:t>
      </w:r>
      <w:proofErr w:type="spellStart"/>
      <w:r w:rsidRPr="009C7509">
        <w:t>Europace</w:t>
      </w:r>
      <w:proofErr w:type="spellEnd"/>
      <w:r w:rsidRPr="009C7509">
        <w:t xml:space="preserve"> [Internet]. 2012</w:t>
      </w:r>
      <w:proofErr w:type="gramStart"/>
      <w:r w:rsidRPr="009C7509">
        <w:t>;14</w:t>
      </w:r>
      <w:proofErr w:type="gramEnd"/>
      <w:r w:rsidRPr="009C7509">
        <w:t>(1):36–45. Available from: http://www.ncbi.nlm.nih.gov/pubmed/21868410</w:t>
      </w:r>
    </w:p>
    <w:p w:rsidR="009C7509" w:rsidRPr="009C7509" w:rsidRDefault="009C7509">
      <w:pPr>
        <w:pStyle w:val="NormalWeb"/>
        <w:ind w:left="640" w:hanging="640"/>
        <w:divId w:val="77218782"/>
      </w:pPr>
      <w:r w:rsidRPr="009C7509">
        <w:t xml:space="preserve">9. </w:t>
      </w:r>
      <w:r w:rsidRPr="009C7509">
        <w:tab/>
        <w:t xml:space="preserve">Simpson EL, Stevenson MD, Scope </w:t>
      </w:r>
      <w:proofErr w:type="gramStart"/>
      <w:r w:rsidRPr="009C7509">
        <w:t>A</w:t>
      </w:r>
      <w:proofErr w:type="gramEnd"/>
      <w:r w:rsidRPr="009C7509">
        <w:t xml:space="preserve">, </w:t>
      </w:r>
      <w:proofErr w:type="spellStart"/>
      <w:r w:rsidRPr="009C7509">
        <w:t>Poku</w:t>
      </w:r>
      <w:proofErr w:type="spellEnd"/>
      <w:r w:rsidRPr="009C7509">
        <w:t xml:space="preserve"> E, Minton J, Evans P. Echocardiography in newly diagnosed </w:t>
      </w:r>
      <w:proofErr w:type="spellStart"/>
      <w:r w:rsidRPr="009C7509">
        <w:t>atrial</w:t>
      </w:r>
      <w:proofErr w:type="spellEnd"/>
      <w:r w:rsidRPr="009C7509">
        <w:t xml:space="preserve"> fibrillation patients: a systematic review and economic evaluation. 2012. </w:t>
      </w:r>
    </w:p>
    <w:p w:rsidR="009C7509" w:rsidRPr="009C7509" w:rsidRDefault="009C7509">
      <w:pPr>
        <w:pStyle w:val="NormalWeb"/>
        <w:ind w:left="640" w:hanging="640"/>
        <w:divId w:val="77218782"/>
      </w:pPr>
      <w:r w:rsidRPr="009C7509">
        <w:t xml:space="preserve">10. </w:t>
      </w:r>
      <w:r w:rsidRPr="009C7509">
        <w:tab/>
        <w:t xml:space="preserve">PVS TM-STF on. Medical aspects of the persistent vegetative state: second of two parts. </w:t>
      </w:r>
      <w:proofErr w:type="gramStart"/>
      <w:r w:rsidRPr="009C7509">
        <w:t>The New England Journal of Medicine [Internet].</w:t>
      </w:r>
      <w:proofErr w:type="gramEnd"/>
      <w:r w:rsidRPr="009C7509">
        <w:t xml:space="preserve"> 1994</w:t>
      </w:r>
      <w:proofErr w:type="gramStart"/>
      <w:r w:rsidRPr="009C7509">
        <w:t>;330</w:t>
      </w:r>
      <w:proofErr w:type="gramEnd"/>
      <w:r w:rsidRPr="009C7509">
        <w:t>(22). Available from: http://www.nejm.org/doi/full/10.1056/NEJM199406023302206</w:t>
      </w:r>
    </w:p>
    <w:p w:rsidR="009C7509" w:rsidRPr="009C7509" w:rsidRDefault="009C7509">
      <w:pPr>
        <w:pStyle w:val="NormalWeb"/>
        <w:ind w:left="640" w:hanging="640"/>
        <w:divId w:val="77218782"/>
      </w:pPr>
      <w:r w:rsidRPr="009C7509">
        <w:t xml:space="preserve">11. </w:t>
      </w:r>
      <w:r w:rsidRPr="009C7509">
        <w:tab/>
        <w:t>NICE. Guide to the methods of technology appraisal [Internet]. 2008</w:t>
      </w:r>
      <w:proofErr w:type="gramStart"/>
      <w:r w:rsidRPr="009C7509">
        <w:t>;Available</w:t>
      </w:r>
      <w:proofErr w:type="gramEnd"/>
      <w:r w:rsidRPr="009C7509">
        <w:t xml:space="preserve"> from: http://www.nice.org.uk/media/B52/A7/TAMethodsGuideUpdatedJune2008.pdf</w:t>
      </w:r>
    </w:p>
    <w:p w:rsidR="009C7509" w:rsidRPr="009C7509" w:rsidRDefault="009C7509">
      <w:pPr>
        <w:pStyle w:val="NormalWeb"/>
        <w:ind w:left="640" w:hanging="640"/>
        <w:divId w:val="77218782"/>
      </w:pPr>
      <w:r w:rsidRPr="009C7509">
        <w:t xml:space="preserve">12. </w:t>
      </w:r>
      <w:r w:rsidRPr="009C7509">
        <w:tab/>
        <w:t xml:space="preserve">Claxton K, </w:t>
      </w:r>
      <w:proofErr w:type="spellStart"/>
      <w:r w:rsidRPr="009C7509">
        <w:t>Posnett</w:t>
      </w:r>
      <w:proofErr w:type="spellEnd"/>
      <w:r w:rsidRPr="009C7509">
        <w:t xml:space="preserve"> J. </w:t>
      </w:r>
      <w:proofErr w:type="gramStart"/>
      <w:r w:rsidRPr="009C7509">
        <w:t>An economic approach to clinical trial design and research priority-setting.</w:t>
      </w:r>
      <w:proofErr w:type="gramEnd"/>
      <w:r w:rsidRPr="009C7509">
        <w:t xml:space="preserve"> </w:t>
      </w:r>
      <w:proofErr w:type="gramStart"/>
      <w:r w:rsidRPr="009C7509">
        <w:t>Health Economics [Internet].</w:t>
      </w:r>
      <w:proofErr w:type="gramEnd"/>
      <w:r w:rsidRPr="009C7509">
        <w:t xml:space="preserve"> 1996</w:t>
      </w:r>
      <w:proofErr w:type="gramStart"/>
      <w:r w:rsidRPr="009C7509">
        <w:t>;5</w:t>
      </w:r>
      <w:proofErr w:type="gramEnd"/>
      <w:r w:rsidRPr="009C7509">
        <w:t>(6):513–24. Available from: http://www.ncbi.nlm.nih.gov/pubmed/9003938</w:t>
      </w:r>
    </w:p>
    <w:p w:rsidR="009C7509" w:rsidRPr="009C7509" w:rsidRDefault="009C7509">
      <w:pPr>
        <w:pStyle w:val="NormalWeb"/>
        <w:ind w:left="640" w:hanging="640"/>
        <w:divId w:val="77218782"/>
      </w:pPr>
      <w:r w:rsidRPr="009C7509">
        <w:t xml:space="preserve">13. </w:t>
      </w:r>
      <w:r w:rsidRPr="009C7509">
        <w:tab/>
        <w:t xml:space="preserve">Office for National Statistics. Population Estimates by Marital Status, Mid-2010. </w:t>
      </w:r>
      <w:proofErr w:type="gramStart"/>
      <w:r w:rsidRPr="009C7509">
        <w:t>2012 [Internet].</w:t>
      </w:r>
      <w:proofErr w:type="gramEnd"/>
      <w:r w:rsidRPr="009C7509">
        <w:t xml:space="preserve"> Available from: http://www.ons.gov.uk/ons/publications/re-reference-tables.html?edition=tcm:77-231283</w:t>
      </w:r>
    </w:p>
    <w:p w:rsidR="009C7509" w:rsidRPr="009C7509" w:rsidRDefault="009C7509">
      <w:pPr>
        <w:pStyle w:val="NormalWeb"/>
        <w:ind w:left="640" w:hanging="640"/>
        <w:divId w:val="77218782"/>
      </w:pPr>
      <w:r w:rsidRPr="009C7509">
        <w:t xml:space="preserve">14. </w:t>
      </w:r>
      <w:r w:rsidRPr="009C7509">
        <w:tab/>
        <w:t xml:space="preserve">Stewart S. Population prevalence, incidence, and predictors of </w:t>
      </w:r>
      <w:proofErr w:type="spellStart"/>
      <w:r w:rsidRPr="009C7509">
        <w:t>atrial</w:t>
      </w:r>
      <w:proofErr w:type="spellEnd"/>
      <w:r w:rsidRPr="009C7509">
        <w:t xml:space="preserve"> fibrillation in the Renfrew/Paisley study. Heart [Internet]. 2001 Nov 1 [cited 2012 Mar 17]</w:t>
      </w:r>
      <w:proofErr w:type="gramStart"/>
      <w:r w:rsidRPr="009C7509">
        <w:t>;86</w:t>
      </w:r>
      <w:proofErr w:type="gramEnd"/>
      <w:r w:rsidRPr="009C7509">
        <w:t>(5):516–21. Available from: http://heart.bmj.com/cgi/doi/10.1136/heart.86.5.516</w:t>
      </w:r>
    </w:p>
    <w:p w:rsidR="009C7509" w:rsidRPr="009C7509" w:rsidRDefault="009C7509">
      <w:pPr>
        <w:pStyle w:val="NormalWeb"/>
        <w:ind w:left="640" w:hanging="640"/>
        <w:divId w:val="77218782"/>
      </w:pPr>
      <w:r w:rsidRPr="009C7509">
        <w:t xml:space="preserve">15. </w:t>
      </w:r>
      <w:r w:rsidRPr="009C7509">
        <w:tab/>
      </w:r>
      <w:proofErr w:type="spellStart"/>
      <w:r w:rsidRPr="009C7509">
        <w:t>Eckman</w:t>
      </w:r>
      <w:proofErr w:type="spellEnd"/>
      <w:r w:rsidRPr="009C7509">
        <w:t xml:space="preserve"> MH, Singer DE, </w:t>
      </w:r>
      <w:proofErr w:type="spellStart"/>
      <w:r w:rsidRPr="009C7509">
        <w:t>Rosand</w:t>
      </w:r>
      <w:proofErr w:type="spellEnd"/>
      <w:r w:rsidRPr="009C7509">
        <w:t xml:space="preserve"> J, Greenberg SM. Moving the tipping point: the decision to </w:t>
      </w:r>
      <w:proofErr w:type="spellStart"/>
      <w:r w:rsidRPr="009C7509">
        <w:t>anticoagulate</w:t>
      </w:r>
      <w:proofErr w:type="spellEnd"/>
      <w:r w:rsidRPr="009C7509">
        <w:t xml:space="preserve"> patients with </w:t>
      </w:r>
      <w:proofErr w:type="spellStart"/>
      <w:r w:rsidRPr="009C7509">
        <w:t>atrial</w:t>
      </w:r>
      <w:proofErr w:type="spellEnd"/>
      <w:r w:rsidRPr="009C7509">
        <w:t xml:space="preserve"> fibrillation. </w:t>
      </w:r>
      <w:proofErr w:type="gramStart"/>
      <w:r w:rsidRPr="009C7509">
        <w:t xml:space="preserve">Circ </w:t>
      </w:r>
      <w:proofErr w:type="spellStart"/>
      <w:r w:rsidRPr="009C7509">
        <w:t>Cardiovasc</w:t>
      </w:r>
      <w:proofErr w:type="spellEnd"/>
      <w:r w:rsidRPr="009C7509">
        <w:t xml:space="preserve"> </w:t>
      </w:r>
      <w:proofErr w:type="spellStart"/>
      <w:r w:rsidRPr="009C7509">
        <w:t>Qual</w:t>
      </w:r>
      <w:proofErr w:type="spellEnd"/>
      <w:r w:rsidRPr="009C7509">
        <w:t xml:space="preserve"> Outcomes [Internet].</w:t>
      </w:r>
      <w:proofErr w:type="gramEnd"/>
      <w:r w:rsidRPr="009C7509">
        <w:t xml:space="preserve"> 2011</w:t>
      </w:r>
      <w:proofErr w:type="gramStart"/>
      <w:r w:rsidRPr="009C7509">
        <w:t>;4</w:t>
      </w:r>
      <w:proofErr w:type="gramEnd"/>
      <w:r w:rsidRPr="009C7509">
        <w:t>(1):14–21. Available from: http://www.ncbi.nlm.nih.gov/pubmed/21139092</w:t>
      </w:r>
    </w:p>
    <w:p w:rsidR="009C7509" w:rsidRPr="009C7509" w:rsidRDefault="009C7509">
      <w:pPr>
        <w:pStyle w:val="NormalWeb"/>
        <w:ind w:left="640" w:hanging="640"/>
        <w:divId w:val="77218782"/>
      </w:pPr>
      <w:r w:rsidRPr="009C7509">
        <w:t xml:space="preserve">16. </w:t>
      </w:r>
      <w:r w:rsidRPr="009C7509">
        <w:tab/>
        <w:t>ONS. Interim Life Tables [Internet]. 2011</w:t>
      </w:r>
      <w:proofErr w:type="gramStart"/>
      <w:r w:rsidRPr="009C7509">
        <w:t>;2012</w:t>
      </w:r>
      <w:proofErr w:type="gramEnd"/>
      <w:r w:rsidRPr="009C7509">
        <w:t>(12 January). Available from: http://www.ons.gov.uk/ons/taxonomy/index.html?nscl=Interim+Life+Tables</w:t>
      </w:r>
    </w:p>
    <w:p w:rsidR="009C7509" w:rsidRPr="009C7509" w:rsidRDefault="009C7509">
      <w:pPr>
        <w:pStyle w:val="NormalWeb"/>
        <w:ind w:left="640" w:hanging="640"/>
        <w:divId w:val="77218782"/>
      </w:pPr>
      <w:r w:rsidRPr="009C7509">
        <w:t xml:space="preserve">17. </w:t>
      </w:r>
      <w:r w:rsidRPr="009C7509">
        <w:tab/>
        <w:t xml:space="preserve">Gage BF, van </w:t>
      </w:r>
      <w:proofErr w:type="spellStart"/>
      <w:r w:rsidRPr="009C7509">
        <w:t>Walraven</w:t>
      </w:r>
      <w:proofErr w:type="spellEnd"/>
      <w:r w:rsidRPr="009C7509">
        <w:t xml:space="preserve"> C, Pearce L, Hart RG, </w:t>
      </w:r>
      <w:proofErr w:type="spellStart"/>
      <w:r w:rsidRPr="009C7509">
        <w:t>Koudstaal</w:t>
      </w:r>
      <w:proofErr w:type="spellEnd"/>
      <w:r w:rsidRPr="009C7509">
        <w:t xml:space="preserve"> PJ, </w:t>
      </w:r>
      <w:proofErr w:type="spellStart"/>
      <w:r w:rsidRPr="009C7509">
        <w:t>Boode</w:t>
      </w:r>
      <w:proofErr w:type="spellEnd"/>
      <w:r w:rsidRPr="009C7509">
        <w:t xml:space="preserve"> BS, et al. Selecting patients with </w:t>
      </w:r>
      <w:proofErr w:type="spellStart"/>
      <w:r w:rsidRPr="009C7509">
        <w:t>atrial</w:t>
      </w:r>
      <w:proofErr w:type="spellEnd"/>
      <w:r w:rsidRPr="009C7509">
        <w:t xml:space="preserve"> fibrillation for anticoagulation: stroke risk stratification in patients taking aspirin. </w:t>
      </w:r>
      <w:proofErr w:type="gramStart"/>
      <w:r w:rsidRPr="009C7509">
        <w:t>Circulation [Internet].</w:t>
      </w:r>
      <w:proofErr w:type="gramEnd"/>
      <w:r w:rsidRPr="009C7509">
        <w:t xml:space="preserve"> 2004</w:t>
      </w:r>
      <w:proofErr w:type="gramStart"/>
      <w:r w:rsidRPr="009C7509">
        <w:t>;110</w:t>
      </w:r>
      <w:proofErr w:type="gramEnd"/>
      <w:r w:rsidRPr="009C7509">
        <w:t>(16):2287–92. Available from: http://www.ncbi.nlm.nih.gov/pubmed/15477396</w:t>
      </w:r>
    </w:p>
    <w:p w:rsidR="009C7509" w:rsidRPr="009C7509" w:rsidRDefault="009C7509">
      <w:pPr>
        <w:pStyle w:val="NormalWeb"/>
        <w:ind w:left="640" w:hanging="640"/>
        <w:divId w:val="77218782"/>
      </w:pPr>
      <w:r w:rsidRPr="009C7509">
        <w:t xml:space="preserve">18. </w:t>
      </w:r>
      <w:r w:rsidRPr="009C7509">
        <w:tab/>
        <w:t xml:space="preserve">Connolly SJ, </w:t>
      </w:r>
      <w:proofErr w:type="spellStart"/>
      <w:r w:rsidRPr="009C7509">
        <w:t>Ezekowitz</w:t>
      </w:r>
      <w:proofErr w:type="spellEnd"/>
      <w:r w:rsidRPr="009C7509">
        <w:t xml:space="preserve"> MD, Yusuf S, </w:t>
      </w:r>
      <w:proofErr w:type="spellStart"/>
      <w:r w:rsidRPr="009C7509">
        <w:t>Eikelboom</w:t>
      </w:r>
      <w:proofErr w:type="spellEnd"/>
      <w:r w:rsidRPr="009C7509">
        <w:t xml:space="preserve"> J, </w:t>
      </w:r>
      <w:proofErr w:type="spellStart"/>
      <w:r w:rsidRPr="009C7509">
        <w:t>Oldgren</w:t>
      </w:r>
      <w:proofErr w:type="spellEnd"/>
      <w:r w:rsidRPr="009C7509">
        <w:t xml:space="preserve"> J, Parekh A, et al. </w:t>
      </w:r>
      <w:proofErr w:type="spellStart"/>
      <w:r w:rsidRPr="009C7509">
        <w:t>Dabigatran</w:t>
      </w:r>
      <w:proofErr w:type="spellEnd"/>
      <w:r w:rsidRPr="009C7509">
        <w:t xml:space="preserve"> versus </w:t>
      </w:r>
      <w:proofErr w:type="spellStart"/>
      <w:r w:rsidRPr="009C7509">
        <w:t>warfarin</w:t>
      </w:r>
      <w:proofErr w:type="spellEnd"/>
      <w:r w:rsidRPr="009C7509">
        <w:t xml:space="preserve"> in patients with </w:t>
      </w:r>
      <w:proofErr w:type="spellStart"/>
      <w:r w:rsidRPr="009C7509">
        <w:t>atrial</w:t>
      </w:r>
      <w:proofErr w:type="spellEnd"/>
      <w:r w:rsidRPr="009C7509">
        <w:t xml:space="preserve"> fibrillation. </w:t>
      </w:r>
      <w:proofErr w:type="gramStart"/>
      <w:r w:rsidRPr="009C7509">
        <w:t xml:space="preserve">N </w:t>
      </w:r>
      <w:proofErr w:type="spellStart"/>
      <w:r w:rsidRPr="009C7509">
        <w:t>Engl</w:t>
      </w:r>
      <w:proofErr w:type="spellEnd"/>
      <w:r w:rsidRPr="009C7509">
        <w:t xml:space="preserve"> J Med [Internet].</w:t>
      </w:r>
      <w:proofErr w:type="gramEnd"/>
      <w:r w:rsidRPr="009C7509">
        <w:t xml:space="preserve"> 2009</w:t>
      </w:r>
      <w:proofErr w:type="gramStart"/>
      <w:r w:rsidRPr="009C7509">
        <w:t>;361</w:t>
      </w:r>
      <w:proofErr w:type="gramEnd"/>
      <w:r w:rsidRPr="009C7509">
        <w:t>(12):1139–51. Available from: http://www.ncbi.nlm.nih.gov/pubmed/19717844</w:t>
      </w:r>
    </w:p>
    <w:p w:rsidR="009C7509" w:rsidRPr="009C7509" w:rsidRDefault="009C7509">
      <w:pPr>
        <w:pStyle w:val="NormalWeb"/>
        <w:ind w:left="640" w:hanging="640"/>
        <w:divId w:val="77218782"/>
      </w:pPr>
      <w:r w:rsidRPr="009C7509">
        <w:t xml:space="preserve">19. </w:t>
      </w:r>
      <w:r w:rsidRPr="009C7509">
        <w:tab/>
        <w:t xml:space="preserve">Lip GYH, Edwards SJ. Stroke prevention with aspirin, </w:t>
      </w:r>
      <w:proofErr w:type="spellStart"/>
      <w:r w:rsidRPr="009C7509">
        <w:t>warfarin</w:t>
      </w:r>
      <w:proofErr w:type="spellEnd"/>
      <w:r w:rsidRPr="009C7509">
        <w:t xml:space="preserve"> and </w:t>
      </w:r>
      <w:proofErr w:type="spellStart"/>
      <w:r w:rsidRPr="009C7509">
        <w:t>ximelagatran</w:t>
      </w:r>
      <w:proofErr w:type="spellEnd"/>
      <w:r w:rsidRPr="009C7509">
        <w:t xml:space="preserve"> in patients with non-</w:t>
      </w:r>
      <w:proofErr w:type="spellStart"/>
      <w:r w:rsidRPr="009C7509">
        <w:t>valvular</w:t>
      </w:r>
      <w:proofErr w:type="spellEnd"/>
      <w:r w:rsidRPr="009C7509">
        <w:t xml:space="preserve"> </w:t>
      </w:r>
      <w:proofErr w:type="spellStart"/>
      <w:r w:rsidRPr="009C7509">
        <w:t>atrial</w:t>
      </w:r>
      <w:proofErr w:type="spellEnd"/>
      <w:r w:rsidRPr="009C7509">
        <w:t xml:space="preserve"> fibrillation: a systematic review and meta-analysis. Thrombosis research [Internet]. 2006 Jan [cited 2012 Apr 5]</w:t>
      </w:r>
      <w:proofErr w:type="gramStart"/>
      <w:r w:rsidRPr="009C7509">
        <w:t>;118</w:t>
      </w:r>
      <w:proofErr w:type="gramEnd"/>
      <w:r w:rsidRPr="009C7509">
        <w:t>(3):321–33. Available from: http://www.ncbi.nlm.nih.gov/pubmed/16198396</w:t>
      </w:r>
    </w:p>
    <w:p w:rsidR="009C7509" w:rsidRPr="009C7509" w:rsidRDefault="009C7509">
      <w:pPr>
        <w:pStyle w:val="NormalWeb"/>
        <w:ind w:left="640" w:hanging="640"/>
        <w:divId w:val="77218782"/>
      </w:pPr>
      <w:r w:rsidRPr="009C7509">
        <w:t xml:space="preserve">20. </w:t>
      </w:r>
      <w:r w:rsidRPr="009C7509">
        <w:tab/>
      </w:r>
      <w:proofErr w:type="spellStart"/>
      <w:r w:rsidRPr="009C7509">
        <w:t>Rivero</w:t>
      </w:r>
      <w:proofErr w:type="spellEnd"/>
      <w:r w:rsidRPr="009C7509">
        <w:t xml:space="preserve">-Arias O, </w:t>
      </w:r>
      <w:proofErr w:type="spellStart"/>
      <w:r w:rsidRPr="009C7509">
        <w:t>Ouellet</w:t>
      </w:r>
      <w:proofErr w:type="spellEnd"/>
      <w:r w:rsidRPr="009C7509">
        <w:t xml:space="preserve"> M, Gray A, </w:t>
      </w:r>
      <w:proofErr w:type="spellStart"/>
      <w:r w:rsidRPr="009C7509">
        <w:t>Wolstenholme</w:t>
      </w:r>
      <w:proofErr w:type="spellEnd"/>
      <w:r w:rsidRPr="009C7509">
        <w:t xml:space="preserve"> J, </w:t>
      </w:r>
      <w:proofErr w:type="spellStart"/>
      <w:r w:rsidRPr="009C7509">
        <w:t>Rothwell</w:t>
      </w:r>
      <w:proofErr w:type="spellEnd"/>
      <w:r w:rsidRPr="009C7509">
        <w:t xml:space="preserve"> PM, </w:t>
      </w:r>
      <w:proofErr w:type="spellStart"/>
      <w:r w:rsidRPr="009C7509">
        <w:t>Luengo</w:t>
      </w:r>
      <w:proofErr w:type="spellEnd"/>
      <w:r w:rsidRPr="009C7509">
        <w:t>-Fernandez R. Mapping the Modified Rankin Scale (</w:t>
      </w:r>
      <w:proofErr w:type="spellStart"/>
      <w:r w:rsidRPr="009C7509">
        <w:t>mRS</w:t>
      </w:r>
      <w:proofErr w:type="spellEnd"/>
      <w:r w:rsidRPr="009C7509">
        <w:t xml:space="preserve">) Measurement into the Generic </w:t>
      </w:r>
      <w:proofErr w:type="spellStart"/>
      <w:r w:rsidRPr="009C7509">
        <w:t>EuroQol</w:t>
      </w:r>
      <w:proofErr w:type="spellEnd"/>
      <w:r w:rsidRPr="009C7509">
        <w:t xml:space="preserve"> (EQ-5D) Health Outcome. </w:t>
      </w:r>
      <w:proofErr w:type="gramStart"/>
      <w:r w:rsidRPr="009C7509">
        <w:t>Medical Decision Making [Internet].</w:t>
      </w:r>
      <w:proofErr w:type="gramEnd"/>
      <w:r w:rsidRPr="009C7509">
        <w:t xml:space="preserve"> 2010</w:t>
      </w:r>
      <w:proofErr w:type="gramStart"/>
      <w:r w:rsidRPr="009C7509">
        <w:t>;30</w:t>
      </w:r>
      <w:proofErr w:type="gramEnd"/>
      <w:r w:rsidRPr="009C7509">
        <w:t>(3):341–54. Available from: &lt;Go to ISI&gt;://000277892800009</w:t>
      </w:r>
    </w:p>
    <w:p w:rsidR="009C7509" w:rsidRPr="009C7509" w:rsidRDefault="009C7509">
      <w:pPr>
        <w:pStyle w:val="NormalWeb"/>
        <w:ind w:left="640" w:hanging="640"/>
        <w:divId w:val="77218782"/>
      </w:pPr>
      <w:r w:rsidRPr="009C7509">
        <w:t xml:space="preserve">21. </w:t>
      </w:r>
      <w:r w:rsidRPr="009C7509">
        <w:tab/>
        <w:t xml:space="preserve">Simpson EL, Stevenson MD, </w:t>
      </w:r>
      <w:proofErr w:type="spellStart"/>
      <w:r w:rsidRPr="009C7509">
        <w:t>Rawdin</w:t>
      </w:r>
      <w:proofErr w:type="spellEnd"/>
      <w:r w:rsidRPr="009C7509">
        <w:t xml:space="preserve"> A, </w:t>
      </w:r>
      <w:proofErr w:type="spellStart"/>
      <w:r w:rsidRPr="009C7509">
        <w:t>Papaioannou</w:t>
      </w:r>
      <w:proofErr w:type="spellEnd"/>
      <w:r w:rsidRPr="009C7509">
        <w:t xml:space="preserve"> D. </w:t>
      </w:r>
      <w:proofErr w:type="spellStart"/>
      <w:r w:rsidRPr="009C7509">
        <w:t>Thrombophilia</w:t>
      </w:r>
      <w:proofErr w:type="spellEnd"/>
      <w:r w:rsidRPr="009C7509">
        <w:t xml:space="preserve"> testing in people with venous </w:t>
      </w:r>
      <w:proofErr w:type="spellStart"/>
      <w:r w:rsidRPr="009C7509">
        <w:t>thromboembolism</w:t>
      </w:r>
      <w:proofErr w:type="spellEnd"/>
      <w:r w:rsidRPr="009C7509">
        <w:t xml:space="preserve">: systematic review and cost-effectiveness analysis. </w:t>
      </w:r>
      <w:proofErr w:type="gramStart"/>
      <w:r w:rsidRPr="009C7509">
        <w:t>Health Technology Assessment.</w:t>
      </w:r>
      <w:proofErr w:type="gramEnd"/>
      <w:r w:rsidRPr="009C7509">
        <w:t xml:space="preserve"> 2009</w:t>
      </w:r>
      <w:proofErr w:type="gramStart"/>
      <w:r w:rsidRPr="009C7509">
        <w:t>;13</w:t>
      </w:r>
      <w:proofErr w:type="gramEnd"/>
      <w:r w:rsidRPr="009C7509">
        <w:t xml:space="preserve">(2). </w:t>
      </w:r>
    </w:p>
    <w:p w:rsidR="009C7509" w:rsidRPr="009C7509" w:rsidRDefault="009C7509">
      <w:pPr>
        <w:pStyle w:val="NormalWeb"/>
        <w:ind w:left="640" w:hanging="640"/>
        <w:divId w:val="77218782"/>
      </w:pPr>
      <w:r w:rsidRPr="009C7509">
        <w:t xml:space="preserve">22. </w:t>
      </w:r>
      <w:r w:rsidRPr="009C7509">
        <w:tab/>
      </w:r>
      <w:proofErr w:type="spellStart"/>
      <w:r w:rsidRPr="009C7509">
        <w:t>Ara</w:t>
      </w:r>
      <w:proofErr w:type="spellEnd"/>
      <w:r w:rsidRPr="009C7509">
        <w:t xml:space="preserve"> R, Brazier JE. </w:t>
      </w:r>
      <w:proofErr w:type="gramStart"/>
      <w:r w:rsidRPr="009C7509">
        <w:t>Populating an economic model with health state utility values: moving toward better practice.</w:t>
      </w:r>
      <w:proofErr w:type="gramEnd"/>
      <w:r w:rsidRPr="009C7509">
        <w:t xml:space="preserve"> Value in health : the journal of the International Society for </w:t>
      </w:r>
      <w:proofErr w:type="spellStart"/>
      <w:r w:rsidRPr="009C7509">
        <w:t>Pharmacoeconomics</w:t>
      </w:r>
      <w:proofErr w:type="spellEnd"/>
      <w:r w:rsidRPr="009C7509">
        <w:t xml:space="preserve"> and Outcomes Research [Internet]. 2010 Aug [cited 2012 Apr 4]</w:t>
      </w:r>
      <w:proofErr w:type="gramStart"/>
      <w:r w:rsidRPr="009C7509">
        <w:t>;13</w:t>
      </w:r>
      <w:proofErr w:type="gramEnd"/>
      <w:r w:rsidRPr="009C7509">
        <w:t>(5):509–18. Available from: http://www.ncbi.nlm.nih.gov/pubmed/20230546</w:t>
      </w:r>
    </w:p>
    <w:p w:rsidR="009C7509" w:rsidRPr="009C7509" w:rsidRDefault="009C7509">
      <w:pPr>
        <w:pStyle w:val="NormalWeb"/>
        <w:ind w:left="640" w:hanging="640"/>
        <w:divId w:val="77218782"/>
      </w:pPr>
      <w:r w:rsidRPr="009C7509">
        <w:t xml:space="preserve">23. </w:t>
      </w:r>
      <w:r w:rsidRPr="009C7509">
        <w:tab/>
        <w:t xml:space="preserve">NICE. </w:t>
      </w:r>
      <w:proofErr w:type="spellStart"/>
      <w:r w:rsidRPr="009C7509">
        <w:t>Dabigatran</w:t>
      </w:r>
      <w:proofErr w:type="spellEnd"/>
      <w:r w:rsidRPr="009C7509">
        <w:t xml:space="preserve"> </w:t>
      </w:r>
      <w:proofErr w:type="spellStart"/>
      <w:r w:rsidRPr="009C7509">
        <w:t>etexilate</w:t>
      </w:r>
      <w:proofErr w:type="spellEnd"/>
      <w:r w:rsidRPr="009C7509">
        <w:t xml:space="preserve"> for the prevention of stroke and systemic embolism in </w:t>
      </w:r>
      <w:proofErr w:type="spellStart"/>
      <w:r w:rsidRPr="009C7509">
        <w:t>atrial</w:t>
      </w:r>
      <w:proofErr w:type="spellEnd"/>
      <w:r w:rsidRPr="009C7509">
        <w:t xml:space="preserve"> fibrillation: Final appraisal determination [Internet]. 2011</w:t>
      </w:r>
      <w:proofErr w:type="gramStart"/>
      <w:r w:rsidRPr="009C7509">
        <w:t>;2012</w:t>
      </w:r>
      <w:proofErr w:type="gramEnd"/>
      <w:r w:rsidRPr="009C7509">
        <w:t>(12 January). Available from: http://www.nice.org.uk/nicemedia/live/12225/56899/56899.pdf</w:t>
      </w:r>
    </w:p>
    <w:p w:rsidR="009C7509" w:rsidRPr="009C7509" w:rsidRDefault="009C7509">
      <w:pPr>
        <w:pStyle w:val="NormalWeb"/>
        <w:ind w:left="640" w:hanging="640"/>
        <w:divId w:val="77218782"/>
      </w:pPr>
      <w:r w:rsidRPr="009C7509">
        <w:t xml:space="preserve">24. </w:t>
      </w:r>
      <w:r w:rsidRPr="009C7509">
        <w:tab/>
      </w:r>
      <w:proofErr w:type="spellStart"/>
      <w:r w:rsidRPr="009C7509">
        <w:t>DoH</w:t>
      </w:r>
      <w:proofErr w:type="spellEnd"/>
      <w:r w:rsidRPr="009C7509">
        <w:t>. NHS Reference Costs 2009-2010 [Internet]. 2011</w:t>
      </w:r>
      <w:proofErr w:type="gramStart"/>
      <w:r w:rsidRPr="009C7509">
        <w:t>;2012</w:t>
      </w:r>
      <w:proofErr w:type="gramEnd"/>
      <w:r w:rsidRPr="009C7509">
        <w:t>(12 January). Available from: http://www.dh.gov.uk/en/Publicationsandstatistics/Publications/PublicationsPolicyAndGuidance/DH_123459</w:t>
      </w:r>
    </w:p>
    <w:p w:rsidR="009C7509" w:rsidRPr="009C7509" w:rsidRDefault="009C7509">
      <w:pPr>
        <w:pStyle w:val="NormalWeb"/>
        <w:ind w:left="640" w:hanging="640"/>
        <w:divId w:val="77218782"/>
      </w:pPr>
      <w:r w:rsidRPr="009C7509">
        <w:t xml:space="preserve">25. </w:t>
      </w:r>
      <w:r w:rsidRPr="009C7509">
        <w:tab/>
      </w:r>
      <w:proofErr w:type="spellStart"/>
      <w:r w:rsidRPr="009C7509">
        <w:t>Sandercock</w:t>
      </w:r>
      <w:proofErr w:type="spellEnd"/>
      <w:r w:rsidRPr="009C7509">
        <w:t xml:space="preserve"> P, Berge E, Dennis M, Forbes J, Hand P, Kwan J, et al. </w:t>
      </w:r>
      <w:proofErr w:type="gramStart"/>
      <w:r w:rsidRPr="009C7509">
        <w:t xml:space="preserve">A systematic review of the effectiveness, cost-effectiveness and barriers to implementation of thrombolytic and </w:t>
      </w:r>
      <w:proofErr w:type="spellStart"/>
      <w:r w:rsidRPr="009C7509">
        <w:t>neuroprotective</w:t>
      </w:r>
      <w:proofErr w:type="spellEnd"/>
      <w:r w:rsidRPr="009C7509">
        <w:t xml:space="preserve"> therapy for acute </w:t>
      </w:r>
      <w:proofErr w:type="spellStart"/>
      <w:r w:rsidRPr="009C7509">
        <w:t>ischaemic</w:t>
      </w:r>
      <w:proofErr w:type="spellEnd"/>
      <w:r w:rsidRPr="009C7509">
        <w:t xml:space="preserve"> stroke in the NHS.</w:t>
      </w:r>
      <w:proofErr w:type="gramEnd"/>
      <w:r w:rsidRPr="009C7509">
        <w:t xml:space="preserve"> </w:t>
      </w:r>
      <w:proofErr w:type="gramStart"/>
      <w:r w:rsidRPr="009C7509">
        <w:t>Health Technology Assessment.</w:t>
      </w:r>
      <w:proofErr w:type="gramEnd"/>
      <w:r w:rsidRPr="009C7509">
        <w:t xml:space="preserve"> 2002</w:t>
      </w:r>
      <w:proofErr w:type="gramStart"/>
      <w:r w:rsidRPr="009C7509">
        <w:t>;6</w:t>
      </w:r>
      <w:proofErr w:type="gramEnd"/>
      <w:r w:rsidRPr="009C7509">
        <w:t xml:space="preserve">(26). </w:t>
      </w:r>
    </w:p>
    <w:p w:rsidR="009C7509" w:rsidRPr="009C7509" w:rsidRDefault="009C7509">
      <w:pPr>
        <w:pStyle w:val="NormalWeb"/>
        <w:ind w:left="640" w:hanging="640"/>
        <w:divId w:val="77218782"/>
      </w:pPr>
      <w:r w:rsidRPr="009C7509">
        <w:t xml:space="preserve">26. </w:t>
      </w:r>
      <w:r w:rsidRPr="009C7509">
        <w:tab/>
        <w:t xml:space="preserve">NHS. </w:t>
      </w:r>
      <w:proofErr w:type="gramStart"/>
      <w:r w:rsidRPr="009C7509">
        <w:t>National Stroke Strategy Impact Assessment [Internet].</w:t>
      </w:r>
      <w:proofErr w:type="gramEnd"/>
      <w:r w:rsidRPr="009C7509">
        <w:t xml:space="preserve"> 2007</w:t>
      </w:r>
      <w:proofErr w:type="gramStart"/>
      <w:r w:rsidRPr="009C7509">
        <w:t>;2012</w:t>
      </w:r>
      <w:proofErr w:type="gramEnd"/>
      <w:r w:rsidRPr="009C7509">
        <w:t>(13 January). Available from: http://www.dh.gov.uk/prod_consum_dh/groups/dh_digitalassets/documents/digitalasset/dh_081054.pdf</w:t>
      </w:r>
    </w:p>
    <w:p w:rsidR="009C7509" w:rsidRPr="009C7509" w:rsidRDefault="009C7509">
      <w:pPr>
        <w:pStyle w:val="NormalWeb"/>
        <w:ind w:left="640" w:hanging="640"/>
        <w:divId w:val="77218782"/>
      </w:pPr>
      <w:r w:rsidRPr="009C7509">
        <w:t xml:space="preserve">27. </w:t>
      </w:r>
      <w:r w:rsidRPr="009C7509">
        <w:tab/>
        <w:t xml:space="preserve">Curtis L. Unit Costs of Health and Social Care 2010 [Internet]. Kent: 2010. Available from: http://www.pssru.ac.uk/archive/pdf/uc/uc2010/uc2010.pdf </w:t>
      </w:r>
    </w:p>
    <w:p w:rsidR="00834F71" w:rsidRDefault="00374E80" w:rsidP="009C7509">
      <w:pPr>
        <w:pStyle w:val="NormalWeb"/>
        <w:ind w:left="640" w:hanging="640"/>
        <w:divId w:val="570163234"/>
        <w:sectPr w:rsidR="00834F71" w:rsidSect="00834F71">
          <w:pgSz w:w="11906" w:h="16838"/>
          <w:pgMar w:top="1440" w:right="1440" w:bottom="1440" w:left="1440" w:header="709" w:footer="709" w:gutter="0"/>
          <w:cols w:space="708"/>
          <w:docGrid w:linePitch="360"/>
        </w:sectPr>
      </w:pPr>
      <w:r>
        <w:fldChar w:fldCharType="end"/>
      </w:r>
    </w:p>
    <w:p w:rsidR="00834F71" w:rsidRDefault="00834F71">
      <w:pPr>
        <w:spacing w:line="276" w:lineRule="auto"/>
        <w:jc w:val="left"/>
      </w:pPr>
    </w:p>
    <w:p w:rsidR="00834F71" w:rsidRDefault="00834F71">
      <w:pPr>
        <w:spacing w:line="276" w:lineRule="auto"/>
        <w:jc w:val="left"/>
        <w:rPr>
          <w:rFonts w:ascii="Times New Roman" w:hAnsi="Times New Roman" w:cs="Times New Roman"/>
          <w:sz w:val="24"/>
          <w:szCs w:val="24"/>
          <w:lang w:val="en-GB" w:eastAsia="en-GB" w:bidi="ar-SA"/>
        </w:rPr>
      </w:pPr>
    </w:p>
    <w:p w:rsidR="00834F71" w:rsidRDefault="00834F71" w:rsidP="00834F71">
      <w:pPr>
        <w:divId w:val="1548566716"/>
      </w:pPr>
      <w:r w:rsidRPr="00EF4EB9">
        <w:rPr>
          <w:noProof/>
          <w:lang w:val="en-GB" w:eastAsia="en-GB" w:bidi="ar-SA"/>
        </w:rPr>
        <w:drawing>
          <wp:inline distT="0" distB="0" distL="0" distR="0">
            <wp:extent cx="8863330" cy="3696970"/>
            <wp:effectExtent l="19050" t="0" r="0" b="0"/>
            <wp:docPr id="2" name="Picture 5" descr="Conceptual Model of Matt's S8 Model v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 Model of Matt's S8 Model v2.jpeg"/>
                    <pic:cNvPicPr/>
                  </pic:nvPicPr>
                  <pic:blipFill>
                    <a:blip r:embed="rId9" cstate="print"/>
                    <a:stretch>
                      <a:fillRect/>
                    </a:stretch>
                  </pic:blipFill>
                  <pic:spPr>
                    <a:xfrm>
                      <a:off x="0" y="0"/>
                      <a:ext cx="8863330" cy="3696970"/>
                    </a:xfrm>
                    <a:prstGeom prst="rect">
                      <a:avLst/>
                    </a:prstGeom>
                  </pic:spPr>
                </pic:pic>
              </a:graphicData>
            </a:graphic>
          </wp:inline>
        </w:drawing>
      </w:r>
    </w:p>
    <w:p w:rsidR="00834F71" w:rsidRPr="00EF4EB9" w:rsidRDefault="00834F71" w:rsidP="00834F71">
      <w:pPr>
        <w:pStyle w:val="Caption"/>
        <w:divId w:val="1548566716"/>
      </w:pPr>
      <w:bookmarkStart w:id="2" w:name="_Ref321241706"/>
      <w:r>
        <w:t xml:space="preserve">Figure </w:t>
      </w:r>
      <w:fldSimple w:instr=" SEQ Figure \* ARABIC ">
        <w:r w:rsidR="00850455">
          <w:rPr>
            <w:noProof/>
          </w:rPr>
          <w:t>1</w:t>
        </w:r>
      </w:fldSimple>
      <w:bookmarkEnd w:id="2"/>
      <w:r>
        <w:t xml:space="preserve"> Graphical representation of the mathematical model</w:t>
      </w:r>
    </w:p>
    <w:p w:rsidR="00834F71" w:rsidRDefault="00834F71" w:rsidP="00C42A71">
      <w:pPr>
        <w:pStyle w:val="NormalWeb"/>
        <w:ind w:left="640" w:hanging="640"/>
        <w:divId w:val="1548566716"/>
      </w:pPr>
    </w:p>
    <w:p w:rsidR="00834F71" w:rsidRDefault="00834F71" w:rsidP="00C42A71">
      <w:pPr>
        <w:pStyle w:val="NormalWeb"/>
        <w:ind w:left="640" w:hanging="640"/>
        <w:divId w:val="1548566716"/>
        <w:sectPr w:rsidR="00834F71" w:rsidSect="00834F71">
          <w:pgSz w:w="16838" w:h="11906" w:orient="landscape"/>
          <w:pgMar w:top="1440" w:right="1440" w:bottom="1440" w:left="1440" w:header="709" w:footer="709" w:gutter="0"/>
          <w:cols w:space="708"/>
          <w:docGrid w:linePitch="360"/>
        </w:sectPr>
      </w:pPr>
    </w:p>
    <w:p w:rsidR="00834F71" w:rsidRDefault="00834F71" w:rsidP="00834F71">
      <w:pPr>
        <w:divId w:val="1548566716"/>
      </w:pPr>
    </w:p>
    <w:tbl>
      <w:tblPr>
        <w:tblStyle w:val="TableGrid"/>
        <w:tblW w:w="0" w:type="auto"/>
        <w:tblLook w:val="04A0"/>
      </w:tblPr>
      <w:tblGrid>
        <w:gridCol w:w="960"/>
        <w:gridCol w:w="2692"/>
        <w:gridCol w:w="969"/>
        <w:gridCol w:w="945"/>
        <w:gridCol w:w="2764"/>
        <w:gridCol w:w="912"/>
      </w:tblGrid>
      <w:tr w:rsidR="00834F71" w:rsidTr="00834F71">
        <w:trPr>
          <w:divId w:val="1548566716"/>
        </w:trPr>
        <w:tc>
          <w:tcPr>
            <w:tcW w:w="4621" w:type="dxa"/>
            <w:gridSpan w:val="3"/>
          </w:tcPr>
          <w:p w:rsidR="00834F71" w:rsidRPr="00FD30C1" w:rsidRDefault="00834F71" w:rsidP="00834F71">
            <w:pPr>
              <w:rPr>
                <w:sz w:val="22"/>
              </w:rPr>
            </w:pPr>
            <w:r w:rsidRPr="004111A3">
              <w:t>CHADS</w:t>
            </w:r>
            <w:r w:rsidRPr="00FD30C1">
              <w:rPr>
                <w:vertAlign w:val="subscript"/>
              </w:rPr>
              <w:t>2</w:t>
            </w:r>
          </w:p>
        </w:tc>
        <w:tc>
          <w:tcPr>
            <w:tcW w:w="4621" w:type="dxa"/>
            <w:gridSpan w:val="3"/>
          </w:tcPr>
          <w:p w:rsidR="00834F71" w:rsidRPr="00FD30C1" w:rsidRDefault="00834F71" w:rsidP="00834F71">
            <w:pPr>
              <w:rPr>
                <w:sz w:val="22"/>
              </w:rPr>
            </w:pPr>
            <w:r w:rsidRPr="004111A3">
              <w:t>CHA</w:t>
            </w:r>
            <w:r w:rsidRPr="00FD30C1">
              <w:rPr>
                <w:vertAlign w:val="subscript"/>
              </w:rPr>
              <w:t>2</w:t>
            </w:r>
            <w:r w:rsidRPr="004111A3">
              <w:t>DS</w:t>
            </w:r>
            <w:r w:rsidRPr="00FD30C1">
              <w:rPr>
                <w:vertAlign w:val="subscript"/>
              </w:rPr>
              <w:t>2</w:t>
            </w:r>
            <w:r w:rsidRPr="004111A3">
              <w:t>-VASC</w:t>
            </w:r>
          </w:p>
        </w:tc>
      </w:tr>
      <w:tr w:rsidR="00834F71" w:rsidTr="00834F71">
        <w:trPr>
          <w:divId w:val="1548566716"/>
          <w:trHeight w:val="210"/>
        </w:trPr>
        <w:tc>
          <w:tcPr>
            <w:tcW w:w="960" w:type="dxa"/>
          </w:tcPr>
          <w:p w:rsidR="00834F71" w:rsidRDefault="00834F71" w:rsidP="00834F71">
            <w:r w:rsidRPr="00EF4EB9">
              <w:t>Code</w:t>
            </w:r>
          </w:p>
        </w:tc>
        <w:tc>
          <w:tcPr>
            <w:tcW w:w="2692" w:type="dxa"/>
          </w:tcPr>
          <w:p w:rsidR="00834F71" w:rsidRDefault="00834F71" w:rsidP="00834F71">
            <w:r w:rsidRPr="00EF4EB9">
              <w:t>Condition</w:t>
            </w:r>
          </w:p>
        </w:tc>
        <w:tc>
          <w:tcPr>
            <w:tcW w:w="969" w:type="dxa"/>
          </w:tcPr>
          <w:p w:rsidR="00834F71" w:rsidRDefault="00834F71" w:rsidP="00834F71">
            <w:r w:rsidRPr="00EF4EB9">
              <w:t>Points</w:t>
            </w:r>
          </w:p>
        </w:tc>
        <w:tc>
          <w:tcPr>
            <w:tcW w:w="945" w:type="dxa"/>
          </w:tcPr>
          <w:p w:rsidR="00834F71" w:rsidRDefault="00834F71" w:rsidP="00834F71">
            <w:r w:rsidRPr="00EF4EB9">
              <w:t>Code</w:t>
            </w:r>
          </w:p>
        </w:tc>
        <w:tc>
          <w:tcPr>
            <w:tcW w:w="2764" w:type="dxa"/>
          </w:tcPr>
          <w:p w:rsidR="00834F71" w:rsidRDefault="00834F71" w:rsidP="00834F71">
            <w:r w:rsidRPr="00EF4EB9">
              <w:t>Condition</w:t>
            </w:r>
          </w:p>
        </w:tc>
        <w:tc>
          <w:tcPr>
            <w:tcW w:w="912" w:type="dxa"/>
          </w:tcPr>
          <w:p w:rsidR="00834F71" w:rsidRDefault="00834F71" w:rsidP="00834F71">
            <w:r w:rsidRPr="00EF4EB9">
              <w:t>Points</w:t>
            </w:r>
          </w:p>
        </w:tc>
      </w:tr>
      <w:tr w:rsidR="00834F71" w:rsidTr="00834F71">
        <w:trPr>
          <w:divId w:val="1548566716"/>
          <w:trHeight w:val="171"/>
        </w:trPr>
        <w:tc>
          <w:tcPr>
            <w:tcW w:w="960" w:type="dxa"/>
          </w:tcPr>
          <w:p w:rsidR="00834F71" w:rsidRDefault="00834F71" w:rsidP="00834F71">
            <w:r w:rsidRPr="00EF4EB9">
              <w:t>C</w:t>
            </w:r>
          </w:p>
        </w:tc>
        <w:tc>
          <w:tcPr>
            <w:tcW w:w="2692" w:type="dxa"/>
          </w:tcPr>
          <w:p w:rsidR="00834F71" w:rsidRDefault="00834F71" w:rsidP="00834F71">
            <w:r w:rsidRPr="00EF4EB9">
              <w:t>Congestive heart failure</w:t>
            </w:r>
          </w:p>
        </w:tc>
        <w:tc>
          <w:tcPr>
            <w:tcW w:w="969" w:type="dxa"/>
          </w:tcPr>
          <w:p w:rsidR="00834F71" w:rsidRDefault="00834F71" w:rsidP="00834F71">
            <w:r w:rsidRPr="00EF4EB9">
              <w:t>1</w:t>
            </w:r>
          </w:p>
        </w:tc>
        <w:tc>
          <w:tcPr>
            <w:tcW w:w="945" w:type="dxa"/>
          </w:tcPr>
          <w:p w:rsidR="00834F71" w:rsidRDefault="00834F71" w:rsidP="00834F71">
            <w:r w:rsidRPr="00EF4EB9">
              <w:t>C</w:t>
            </w:r>
          </w:p>
        </w:tc>
        <w:tc>
          <w:tcPr>
            <w:tcW w:w="2764" w:type="dxa"/>
          </w:tcPr>
          <w:p w:rsidR="00834F71" w:rsidRDefault="00834F71" w:rsidP="00834F71">
            <w:r w:rsidRPr="00EF4EB9">
              <w:t>Congestive heart failure</w:t>
            </w:r>
          </w:p>
        </w:tc>
        <w:tc>
          <w:tcPr>
            <w:tcW w:w="912" w:type="dxa"/>
          </w:tcPr>
          <w:p w:rsidR="00834F71" w:rsidRDefault="00834F71" w:rsidP="00834F71">
            <w:r w:rsidRPr="00EF4EB9">
              <w:t>1</w:t>
            </w:r>
          </w:p>
        </w:tc>
      </w:tr>
      <w:tr w:rsidR="00834F71" w:rsidTr="00834F71">
        <w:trPr>
          <w:divId w:val="1548566716"/>
          <w:trHeight w:val="240"/>
        </w:trPr>
        <w:tc>
          <w:tcPr>
            <w:tcW w:w="960" w:type="dxa"/>
          </w:tcPr>
          <w:p w:rsidR="00834F71" w:rsidRDefault="00834F71" w:rsidP="00834F71">
            <w:r w:rsidRPr="00EF4EB9">
              <w:t>H</w:t>
            </w:r>
          </w:p>
        </w:tc>
        <w:tc>
          <w:tcPr>
            <w:tcW w:w="2692" w:type="dxa"/>
          </w:tcPr>
          <w:p w:rsidR="00834F71" w:rsidRDefault="00834F71" w:rsidP="00834F71">
            <w:r w:rsidRPr="00EF4EB9">
              <w:t>Hypertension</w:t>
            </w:r>
          </w:p>
        </w:tc>
        <w:tc>
          <w:tcPr>
            <w:tcW w:w="969" w:type="dxa"/>
          </w:tcPr>
          <w:p w:rsidR="00834F71" w:rsidRDefault="00834F71" w:rsidP="00834F71">
            <w:r w:rsidRPr="00EF4EB9">
              <w:t>1</w:t>
            </w:r>
          </w:p>
        </w:tc>
        <w:tc>
          <w:tcPr>
            <w:tcW w:w="945" w:type="dxa"/>
          </w:tcPr>
          <w:p w:rsidR="00834F71" w:rsidRDefault="00834F71" w:rsidP="00834F71">
            <w:r w:rsidRPr="00EF4EB9">
              <w:t>H</w:t>
            </w:r>
          </w:p>
        </w:tc>
        <w:tc>
          <w:tcPr>
            <w:tcW w:w="2764" w:type="dxa"/>
          </w:tcPr>
          <w:p w:rsidR="00834F71" w:rsidRDefault="00834F71" w:rsidP="00834F71">
            <w:r w:rsidRPr="00EF4EB9">
              <w:t>Hypertension</w:t>
            </w:r>
          </w:p>
        </w:tc>
        <w:tc>
          <w:tcPr>
            <w:tcW w:w="912" w:type="dxa"/>
          </w:tcPr>
          <w:p w:rsidR="00834F71" w:rsidRDefault="00834F71" w:rsidP="00834F71">
            <w:r w:rsidRPr="00EF4EB9">
              <w:t>1</w:t>
            </w:r>
          </w:p>
        </w:tc>
      </w:tr>
      <w:tr w:rsidR="00834F71" w:rsidTr="00834F71">
        <w:trPr>
          <w:divId w:val="1548566716"/>
          <w:trHeight w:val="141"/>
        </w:trPr>
        <w:tc>
          <w:tcPr>
            <w:tcW w:w="960" w:type="dxa"/>
          </w:tcPr>
          <w:p w:rsidR="00834F71" w:rsidRDefault="00834F71" w:rsidP="00834F71">
            <w:r w:rsidRPr="00EF4EB9">
              <w:t>A</w:t>
            </w:r>
          </w:p>
        </w:tc>
        <w:tc>
          <w:tcPr>
            <w:tcW w:w="2692" w:type="dxa"/>
          </w:tcPr>
          <w:p w:rsidR="00834F71" w:rsidRDefault="00834F71" w:rsidP="00834F71">
            <w:r w:rsidRPr="00EF4EB9">
              <w:t>Age ≥ 75 years</w:t>
            </w:r>
          </w:p>
        </w:tc>
        <w:tc>
          <w:tcPr>
            <w:tcW w:w="969" w:type="dxa"/>
          </w:tcPr>
          <w:p w:rsidR="00834F71" w:rsidRDefault="00834F71" w:rsidP="00834F71">
            <w:r w:rsidRPr="00EF4EB9">
              <w:t>1</w:t>
            </w:r>
          </w:p>
        </w:tc>
        <w:tc>
          <w:tcPr>
            <w:tcW w:w="945" w:type="dxa"/>
          </w:tcPr>
          <w:p w:rsidR="00834F71" w:rsidRDefault="00834F71" w:rsidP="00834F71">
            <w:r w:rsidRPr="00EF4EB9">
              <w:t>A</w:t>
            </w:r>
            <w:r w:rsidRPr="00EF4EB9">
              <w:rPr>
                <w:vertAlign w:val="subscript"/>
              </w:rPr>
              <w:t>2</w:t>
            </w:r>
          </w:p>
        </w:tc>
        <w:tc>
          <w:tcPr>
            <w:tcW w:w="2764" w:type="dxa"/>
          </w:tcPr>
          <w:p w:rsidR="00834F71" w:rsidRDefault="00834F71" w:rsidP="00834F71">
            <w:r w:rsidRPr="00EF4EB9">
              <w:t>Age ≥ 75 years</w:t>
            </w:r>
          </w:p>
        </w:tc>
        <w:tc>
          <w:tcPr>
            <w:tcW w:w="912" w:type="dxa"/>
          </w:tcPr>
          <w:p w:rsidR="00834F71" w:rsidRDefault="00834F71" w:rsidP="00834F71">
            <w:r w:rsidRPr="00EF4EB9">
              <w:t>2</w:t>
            </w:r>
          </w:p>
        </w:tc>
      </w:tr>
      <w:tr w:rsidR="00834F71" w:rsidTr="00834F71">
        <w:trPr>
          <w:divId w:val="1548566716"/>
          <w:trHeight w:val="180"/>
        </w:trPr>
        <w:tc>
          <w:tcPr>
            <w:tcW w:w="960" w:type="dxa"/>
          </w:tcPr>
          <w:p w:rsidR="00834F71" w:rsidRDefault="00834F71" w:rsidP="00834F71">
            <w:r w:rsidRPr="00EF4EB9">
              <w:t>D</w:t>
            </w:r>
          </w:p>
        </w:tc>
        <w:tc>
          <w:tcPr>
            <w:tcW w:w="2692" w:type="dxa"/>
          </w:tcPr>
          <w:p w:rsidR="00834F71" w:rsidRDefault="00834F71" w:rsidP="00834F71">
            <w:r w:rsidRPr="00EF4EB9">
              <w:t>Diabetes mellitus</w:t>
            </w:r>
          </w:p>
        </w:tc>
        <w:tc>
          <w:tcPr>
            <w:tcW w:w="969" w:type="dxa"/>
          </w:tcPr>
          <w:p w:rsidR="00834F71" w:rsidRDefault="00834F71" w:rsidP="00834F71">
            <w:r w:rsidRPr="00EF4EB9">
              <w:t>1</w:t>
            </w:r>
          </w:p>
        </w:tc>
        <w:tc>
          <w:tcPr>
            <w:tcW w:w="945" w:type="dxa"/>
          </w:tcPr>
          <w:p w:rsidR="00834F71" w:rsidRDefault="00834F71" w:rsidP="00834F71">
            <w:r w:rsidRPr="00EF4EB9">
              <w:t>D</w:t>
            </w:r>
          </w:p>
        </w:tc>
        <w:tc>
          <w:tcPr>
            <w:tcW w:w="2764" w:type="dxa"/>
          </w:tcPr>
          <w:p w:rsidR="00834F71" w:rsidRDefault="00834F71" w:rsidP="00834F71">
            <w:r w:rsidRPr="00EF4EB9">
              <w:t>Diabetes mellitus</w:t>
            </w:r>
          </w:p>
        </w:tc>
        <w:tc>
          <w:tcPr>
            <w:tcW w:w="912" w:type="dxa"/>
          </w:tcPr>
          <w:p w:rsidR="00834F71" w:rsidRDefault="00834F71" w:rsidP="00834F71">
            <w:r w:rsidRPr="00EF4EB9">
              <w:t>1</w:t>
            </w:r>
          </w:p>
        </w:tc>
      </w:tr>
      <w:tr w:rsidR="00834F71" w:rsidTr="00834F71">
        <w:trPr>
          <w:divId w:val="1548566716"/>
          <w:trHeight w:val="180"/>
        </w:trPr>
        <w:tc>
          <w:tcPr>
            <w:tcW w:w="960" w:type="dxa"/>
          </w:tcPr>
          <w:p w:rsidR="00834F71" w:rsidRDefault="00834F71" w:rsidP="00834F71">
            <w:r w:rsidRPr="00EF4EB9">
              <w:t>S</w:t>
            </w:r>
            <w:r w:rsidRPr="00EF4EB9">
              <w:softHyphen/>
            </w:r>
            <w:r w:rsidRPr="00EF4EB9">
              <w:rPr>
                <w:vertAlign w:val="superscript"/>
              </w:rPr>
              <w:softHyphen/>
            </w:r>
            <w:r w:rsidRPr="00EF4EB9">
              <w:softHyphen/>
            </w:r>
            <w:r w:rsidRPr="00EF4EB9">
              <w:rPr>
                <w:vertAlign w:val="subscript"/>
              </w:rPr>
              <w:t>2</w:t>
            </w:r>
          </w:p>
        </w:tc>
        <w:tc>
          <w:tcPr>
            <w:tcW w:w="2692" w:type="dxa"/>
          </w:tcPr>
          <w:p w:rsidR="00834F71" w:rsidRDefault="00834F71" w:rsidP="00834F71">
            <w:r w:rsidRPr="00EF4EB9">
              <w:t>Prior stroke or TIA</w:t>
            </w:r>
          </w:p>
        </w:tc>
        <w:tc>
          <w:tcPr>
            <w:tcW w:w="969" w:type="dxa"/>
          </w:tcPr>
          <w:p w:rsidR="00834F71" w:rsidRDefault="00834F71" w:rsidP="00834F71">
            <w:r w:rsidRPr="00EF4EB9">
              <w:t>2</w:t>
            </w:r>
          </w:p>
        </w:tc>
        <w:tc>
          <w:tcPr>
            <w:tcW w:w="945" w:type="dxa"/>
          </w:tcPr>
          <w:p w:rsidR="00834F71" w:rsidRDefault="00834F71" w:rsidP="00834F71">
            <w:r w:rsidRPr="00EF4EB9">
              <w:t>S</w:t>
            </w:r>
            <w:r w:rsidRPr="00EF4EB9">
              <w:softHyphen/>
            </w:r>
            <w:r w:rsidRPr="00EF4EB9">
              <w:rPr>
                <w:vertAlign w:val="superscript"/>
              </w:rPr>
              <w:softHyphen/>
            </w:r>
            <w:r w:rsidRPr="00EF4EB9">
              <w:softHyphen/>
            </w:r>
            <w:r w:rsidRPr="00EF4EB9">
              <w:rPr>
                <w:vertAlign w:val="subscript"/>
              </w:rPr>
              <w:t>2</w:t>
            </w:r>
          </w:p>
        </w:tc>
        <w:tc>
          <w:tcPr>
            <w:tcW w:w="2764" w:type="dxa"/>
          </w:tcPr>
          <w:p w:rsidR="00834F71" w:rsidRDefault="00834F71" w:rsidP="00834F71">
            <w:r w:rsidRPr="00EF4EB9">
              <w:t>Prior stroke or TIA</w:t>
            </w:r>
          </w:p>
        </w:tc>
        <w:tc>
          <w:tcPr>
            <w:tcW w:w="912" w:type="dxa"/>
          </w:tcPr>
          <w:p w:rsidR="00834F71" w:rsidRDefault="00834F71" w:rsidP="00834F71">
            <w:r w:rsidRPr="00EF4EB9">
              <w:t>2</w:t>
            </w:r>
          </w:p>
        </w:tc>
      </w:tr>
      <w:tr w:rsidR="00834F71" w:rsidTr="00834F71">
        <w:trPr>
          <w:divId w:val="1548566716"/>
          <w:trHeight w:val="225"/>
        </w:trPr>
        <w:tc>
          <w:tcPr>
            <w:tcW w:w="4621" w:type="dxa"/>
            <w:gridSpan w:val="3"/>
            <w:vMerge w:val="restart"/>
            <w:tcBorders>
              <w:left w:val="nil"/>
              <w:bottom w:val="nil"/>
            </w:tcBorders>
          </w:tcPr>
          <w:p w:rsidR="00834F71" w:rsidRDefault="00834F71" w:rsidP="00834F71"/>
        </w:tc>
        <w:tc>
          <w:tcPr>
            <w:tcW w:w="945" w:type="dxa"/>
          </w:tcPr>
          <w:p w:rsidR="00834F71" w:rsidRDefault="00834F71" w:rsidP="00834F71">
            <w:r w:rsidRPr="00EF4EB9">
              <w:t>V</w:t>
            </w:r>
          </w:p>
        </w:tc>
        <w:tc>
          <w:tcPr>
            <w:tcW w:w="2764" w:type="dxa"/>
          </w:tcPr>
          <w:p w:rsidR="00834F71" w:rsidRDefault="00834F71" w:rsidP="00834F71">
            <w:r w:rsidRPr="00EF4EB9">
              <w:t>Vascular disease</w:t>
            </w:r>
          </w:p>
        </w:tc>
        <w:tc>
          <w:tcPr>
            <w:tcW w:w="912" w:type="dxa"/>
          </w:tcPr>
          <w:p w:rsidR="00834F71" w:rsidRDefault="00834F71" w:rsidP="00834F71">
            <w:r w:rsidRPr="00EF4EB9">
              <w:t>1</w:t>
            </w:r>
          </w:p>
        </w:tc>
      </w:tr>
      <w:tr w:rsidR="00834F71" w:rsidTr="00834F71">
        <w:trPr>
          <w:divId w:val="1548566716"/>
          <w:trHeight w:val="141"/>
        </w:trPr>
        <w:tc>
          <w:tcPr>
            <w:tcW w:w="4621" w:type="dxa"/>
            <w:gridSpan w:val="3"/>
            <w:vMerge/>
            <w:tcBorders>
              <w:left w:val="nil"/>
              <w:bottom w:val="nil"/>
            </w:tcBorders>
          </w:tcPr>
          <w:p w:rsidR="00834F71" w:rsidRDefault="00834F71" w:rsidP="00834F71"/>
        </w:tc>
        <w:tc>
          <w:tcPr>
            <w:tcW w:w="945" w:type="dxa"/>
          </w:tcPr>
          <w:p w:rsidR="00834F71" w:rsidRDefault="00834F71" w:rsidP="00834F71">
            <w:r w:rsidRPr="00EF4EB9">
              <w:t>A</w:t>
            </w:r>
          </w:p>
        </w:tc>
        <w:tc>
          <w:tcPr>
            <w:tcW w:w="2764" w:type="dxa"/>
          </w:tcPr>
          <w:p w:rsidR="00834F71" w:rsidRDefault="00834F71" w:rsidP="00834F71">
            <w:r w:rsidRPr="00EF4EB9">
              <w:t>Age 65-74 years</w:t>
            </w:r>
          </w:p>
        </w:tc>
        <w:tc>
          <w:tcPr>
            <w:tcW w:w="912" w:type="dxa"/>
          </w:tcPr>
          <w:p w:rsidR="00834F71" w:rsidRDefault="00834F71" w:rsidP="00834F71">
            <w:r w:rsidRPr="00EF4EB9">
              <w:t>1</w:t>
            </w:r>
          </w:p>
        </w:tc>
      </w:tr>
      <w:tr w:rsidR="00834F71" w:rsidTr="00834F71">
        <w:trPr>
          <w:divId w:val="1548566716"/>
          <w:trHeight w:val="171"/>
        </w:trPr>
        <w:tc>
          <w:tcPr>
            <w:tcW w:w="4621" w:type="dxa"/>
            <w:gridSpan w:val="3"/>
            <w:vMerge/>
            <w:tcBorders>
              <w:left w:val="nil"/>
              <w:bottom w:val="nil"/>
            </w:tcBorders>
          </w:tcPr>
          <w:p w:rsidR="00834F71" w:rsidRDefault="00834F71" w:rsidP="00834F71"/>
        </w:tc>
        <w:tc>
          <w:tcPr>
            <w:tcW w:w="945" w:type="dxa"/>
          </w:tcPr>
          <w:p w:rsidR="00834F71" w:rsidRDefault="00834F71" w:rsidP="00834F71">
            <w:r w:rsidRPr="00EF4EB9">
              <w:t>Sc</w:t>
            </w:r>
          </w:p>
        </w:tc>
        <w:tc>
          <w:tcPr>
            <w:tcW w:w="2764" w:type="dxa"/>
          </w:tcPr>
          <w:p w:rsidR="00834F71" w:rsidRDefault="00834F71" w:rsidP="00834F71">
            <w:r w:rsidRPr="00EF4EB9">
              <w:t>Sex category (female)</w:t>
            </w:r>
          </w:p>
        </w:tc>
        <w:tc>
          <w:tcPr>
            <w:tcW w:w="912" w:type="dxa"/>
          </w:tcPr>
          <w:p w:rsidR="00834F71" w:rsidRDefault="00834F71" w:rsidP="00834F71">
            <w:pPr>
              <w:rPr>
                <w:rFonts w:asciiTheme="minorHAnsi" w:eastAsiaTheme="minorEastAsia" w:hAnsiTheme="minorHAnsi" w:cstheme="minorBidi"/>
                <w:sz w:val="22"/>
                <w:szCs w:val="22"/>
                <w:lang w:bidi="en-US"/>
              </w:rPr>
            </w:pPr>
            <w:r w:rsidRPr="00EF4EB9">
              <w:t>1</w:t>
            </w:r>
          </w:p>
        </w:tc>
      </w:tr>
    </w:tbl>
    <w:p w:rsidR="00834F71" w:rsidRDefault="00834F71" w:rsidP="00834F71">
      <w:pPr>
        <w:pStyle w:val="Caption"/>
        <w:divId w:val="1548566716"/>
      </w:pPr>
      <w:bookmarkStart w:id="3" w:name="_Ref321227101"/>
      <w:r>
        <w:t xml:space="preserve">Table </w:t>
      </w:r>
      <w:fldSimple w:instr=" SEQ Table \* ARABIC ">
        <w:r>
          <w:rPr>
            <w:noProof/>
          </w:rPr>
          <w:t>1</w:t>
        </w:r>
      </w:fldSimple>
      <w:bookmarkEnd w:id="3"/>
      <w:r>
        <w:t xml:space="preserve"> CHADS</w:t>
      </w:r>
      <w:r w:rsidRPr="00FD30C1">
        <w:rPr>
          <w:vertAlign w:val="subscript"/>
        </w:rPr>
        <w:t>2</w:t>
      </w:r>
      <w:r>
        <w:t xml:space="preserve"> and CHA</w:t>
      </w:r>
      <w:r w:rsidRPr="00FD30C1">
        <w:rPr>
          <w:vertAlign w:val="subscript"/>
        </w:rPr>
        <w:t>2</w:t>
      </w:r>
      <w:r>
        <w:t>DS</w:t>
      </w:r>
      <w:r w:rsidRPr="00FD30C1">
        <w:rPr>
          <w:vertAlign w:val="subscript"/>
        </w:rPr>
        <w:t>2</w:t>
      </w:r>
      <w:r>
        <w:t>-VASc</w:t>
      </w:r>
    </w:p>
    <w:tbl>
      <w:tblPr>
        <w:tblStyle w:val="TableGrid"/>
        <w:tblW w:w="0" w:type="auto"/>
        <w:tblLook w:val="04A0"/>
      </w:tblPr>
      <w:tblGrid>
        <w:gridCol w:w="1809"/>
        <w:gridCol w:w="2835"/>
      </w:tblGrid>
      <w:tr w:rsidR="00834F71" w:rsidTr="00834F71">
        <w:trPr>
          <w:divId w:val="1548566716"/>
        </w:trPr>
        <w:tc>
          <w:tcPr>
            <w:tcW w:w="1809" w:type="dxa"/>
          </w:tcPr>
          <w:p w:rsidR="00834F71" w:rsidRPr="00FD30C1" w:rsidRDefault="00834F71" w:rsidP="00834F71">
            <w:pPr>
              <w:spacing w:after="200"/>
            </w:pPr>
            <w:r w:rsidRPr="004111A3">
              <w:t>Population Type</w:t>
            </w:r>
          </w:p>
        </w:tc>
        <w:tc>
          <w:tcPr>
            <w:tcW w:w="2835" w:type="dxa"/>
          </w:tcPr>
          <w:p w:rsidR="00834F71" w:rsidRPr="00FD30C1" w:rsidRDefault="00834F71" w:rsidP="00834F71">
            <w:pPr>
              <w:spacing w:after="200"/>
            </w:pPr>
            <w:r w:rsidRPr="004111A3">
              <w:t>Proportion of total population</w:t>
            </w:r>
          </w:p>
        </w:tc>
      </w:tr>
      <w:tr w:rsidR="00834F71" w:rsidTr="00834F71">
        <w:trPr>
          <w:divId w:val="1548566716"/>
        </w:trPr>
        <w:tc>
          <w:tcPr>
            <w:tcW w:w="1809" w:type="dxa"/>
          </w:tcPr>
          <w:p w:rsidR="00834F71" w:rsidRDefault="00834F71" w:rsidP="00834F71">
            <w:r>
              <w:t>True Positive</w:t>
            </w:r>
          </w:p>
        </w:tc>
        <w:tc>
          <w:tcPr>
            <w:tcW w:w="2835" w:type="dxa"/>
          </w:tcPr>
          <w:p w:rsidR="00834F71" w:rsidRDefault="00834F71" w:rsidP="00834F71">
            <w:r>
              <w:t>TPHR x sensitivity</w:t>
            </w:r>
          </w:p>
        </w:tc>
      </w:tr>
      <w:tr w:rsidR="00834F71" w:rsidTr="00834F71">
        <w:trPr>
          <w:divId w:val="1548566716"/>
        </w:trPr>
        <w:tc>
          <w:tcPr>
            <w:tcW w:w="1809" w:type="dxa"/>
          </w:tcPr>
          <w:p w:rsidR="00834F71" w:rsidRDefault="00834F71" w:rsidP="00834F71">
            <w:r>
              <w:t>True Negative</w:t>
            </w:r>
          </w:p>
        </w:tc>
        <w:tc>
          <w:tcPr>
            <w:tcW w:w="2835" w:type="dxa"/>
          </w:tcPr>
          <w:p w:rsidR="00834F71" w:rsidRDefault="00834F71" w:rsidP="00834F71">
            <w:r>
              <w:t>(1 – TPHR) x specificity</w:t>
            </w:r>
          </w:p>
        </w:tc>
      </w:tr>
      <w:tr w:rsidR="00834F71" w:rsidTr="00834F71">
        <w:trPr>
          <w:divId w:val="1548566716"/>
        </w:trPr>
        <w:tc>
          <w:tcPr>
            <w:tcW w:w="1809" w:type="dxa"/>
          </w:tcPr>
          <w:p w:rsidR="00834F71" w:rsidRDefault="00834F71" w:rsidP="00834F71">
            <w:r>
              <w:t>False Positive</w:t>
            </w:r>
          </w:p>
        </w:tc>
        <w:tc>
          <w:tcPr>
            <w:tcW w:w="2835" w:type="dxa"/>
          </w:tcPr>
          <w:p w:rsidR="00834F71" w:rsidRDefault="00834F71" w:rsidP="00834F71">
            <w:r>
              <w:t>(1 – TPHR) x (1 – specificity)</w:t>
            </w:r>
          </w:p>
        </w:tc>
      </w:tr>
      <w:tr w:rsidR="00834F71" w:rsidTr="00834F71">
        <w:trPr>
          <w:divId w:val="1548566716"/>
        </w:trPr>
        <w:tc>
          <w:tcPr>
            <w:tcW w:w="1809" w:type="dxa"/>
          </w:tcPr>
          <w:p w:rsidR="00834F71" w:rsidRDefault="00834F71" w:rsidP="00834F71">
            <w:r>
              <w:t>False Negative</w:t>
            </w:r>
          </w:p>
        </w:tc>
        <w:tc>
          <w:tcPr>
            <w:tcW w:w="2835" w:type="dxa"/>
          </w:tcPr>
          <w:p w:rsidR="00834F71" w:rsidRDefault="00834F71" w:rsidP="00834F71">
            <w:pPr>
              <w:rPr>
                <w:rFonts w:asciiTheme="minorHAnsi" w:eastAsiaTheme="minorEastAsia" w:hAnsiTheme="minorHAnsi" w:cstheme="minorBidi"/>
                <w:sz w:val="22"/>
                <w:szCs w:val="22"/>
                <w:lang w:bidi="en-US"/>
              </w:rPr>
            </w:pPr>
            <w:r>
              <w:t>TPHR x (1 – sensitivity)</w:t>
            </w:r>
          </w:p>
        </w:tc>
      </w:tr>
    </w:tbl>
    <w:p w:rsidR="00834F71" w:rsidRDefault="00834F71" w:rsidP="00834F71">
      <w:pPr>
        <w:pStyle w:val="Caption"/>
        <w:divId w:val="1548566716"/>
      </w:pPr>
      <w:bookmarkStart w:id="4" w:name="_Ref321228259"/>
      <w:r>
        <w:t xml:space="preserve">Table </w:t>
      </w:r>
      <w:fldSimple w:instr=" SEQ Table \* ARABIC ">
        <w:r>
          <w:rPr>
            <w:noProof/>
          </w:rPr>
          <w:t>2</w:t>
        </w:r>
      </w:fldSimple>
      <w:bookmarkEnd w:id="4"/>
      <w:r>
        <w:t xml:space="preserve"> </w:t>
      </w:r>
      <w:proofErr w:type="gramStart"/>
      <w:r>
        <w:t>Defining</w:t>
      </w:r>
      <w:proofErr w:type="gramEnd"/>
      <w:r>
        <w:t xml:space="preserve"> the population mix.</w:t>
      </w:r>
    </w:p>
    <w:p w:rsidR="00834F71" w:rsidRDefault="00834F71" w:rsidP="00834F71">
      <w:pPr>
        <w:divId w:val="1548566716"/>
      </w:pPr>
    </w:p>
    <w:tbl>
      <w:tblPr>
        <w:tblStyle w:val="TableGrid"/>
        <w:tblW w:w="0" w:type="auto"/>
        <w:tblLook w:val="04A0"/>
      </w:tblPr>
      <w:tblGrid>
        <w:gridCol w:w="2310"/>
        <w:gridCol w:w="2309"/>
        <w:gridCol w:w="2311"/>
        <w:gridCol w:w="2312"/>
      </w:tblGrid>
      <w:tr w:rsidR="00834F71" w:rsidTr="00834F71">
        <w:trPr>
          <w:divId w:val="1548566716"/>
        </w:trPr>
        <w:tc>
          <w:tcPr>
            <w:tcW w:w="2310" w:type="dxa"/>
            <w:tcBorders>
              <w:top w:val="nil"/>
              <w:left w:val="nil"/>
            </w:tcBorders>
          </w:tcPr>
          <w:p w:rsidR="00834F71" w:rsidRDefault="00834F71" w:rsidP="00834F71"/>
        </w:tc>
        <w:tc>
          <w:tcPr>
            <w:tcW w:w="2309" w:type="dxa"/>
          </w:tcPr>
          <w:p w:rsidR="00834F71" w:rsidRPr="00F15320" w:rsidRDefault="00834F71" w:rsidP="00834F71">
            <w:pPr>
              <w:rPr>
                <w:b/>
              </w:rPr>
            </w:pPr>
            <w:r w:rsidRPr="00F15320">
              <w:rPr>
                <w:b/>
              </w:rPr>
              <w:t>Category</w:t>
            </w:r>
          </w:p>
        </w:tc>
        <w:tc>
          <w:tcPr>
            <w:tcW w:w="2311" w:type="dxa"/>
          </w:tcPr>
          <w:p w:rsidR="00834F71" w:rsidRPr="00F15320" w:rsidRDefault="00834F71" w:rsidP="00834F71">
            <w:pPr>
              <w:rPr>
                <w:b/>
              </w:rPr>
            </w:pPr>
            <w:r w:rsidRPr="00F15320">
              <w:rPr>
                <w:b/>
              </w:rPr>
              <w:t>Description</w:t>
            </w:r>
          </w:p>
        </w:tc>
        <w:tc>
          <w:tcPr>
            <w:tcW w:w="2312" w:type="dxa"/>
          </w:tcPr>
          <w:p w:rsidR="00834F71" w:rsidRPr="00F15320" w:rsidRDefault="00834F71" w:rsidP="00834F71">
            <w:pPr>
              <w:rPr>
                <w:b/>
              </w:rPr>
            </w:pPr>
            <w:r w:rsidRPr="00F15320">
              <w:rPr>
                <w:b/>
              </w:rPr>
              <w:t>References</w:t>
            </w:r>
          </w:p>
        </w:tc>
      </w:tr>
      <w:tr w:rsidR="00834F71" w:rsidTr="00834F71">
        <w:trPr>
          <w:divId w:val="1548566716"/>
          <w:trHeight w:val="217"/>
        </w:trPr>
        <w:tc>
          <w:tcPr>
            <w:tcW w:w="2310" w:type="dxa"/>
            <w:vMerge w:val="restart"/>
          </w:tcPr>
          <w:p w:rsidR="00834F71" w:rsidRPr="00F15320" w:rsidRDefault="00834F71" w:rsidP="00834F71">
            <w:pPr>
              <w:rPr>
                <w:b/>
              </w:rPr>
            </w:pPr>
            <w:r w:rsidRPr="00F15320">
              <w:rPr>
                <w:b/>
              </w:rPr>
              <w:t>Risks/Probabilities</w:t>
            </w:r>
          </w:p>
        </w:tc>
        <w:tc>
          <w:tcPr>
            <w:tcW w:w="2309" w:type="dxa"/>
          </w:tcPr>
          <w:p w:rsidR="00834F71" w:rsidRDefault="00834F71" w:rsidP="00834F71">
            <w:r>
              <w:t>Death from other causes</w:t>
            </w:r>
          </w:p>
        </w:tc>
        <w:tc>
          <w:tcPr>
            <w:tcW w:w="2311" w:type="dxa"/>
          </w:tcPr>
          <w:p w:rsidR="00834F71" w:rsidRDefault="00834F71" w:rsidP="00834F71">
            <w:r>
              <w:t>Nonparametric</w:t>
            </w:r>
          </w:p>
        </w:tc>
        <w:tc>
          <w:tcPr>
            <w:tcW w:w="2312" w:type="dxa"/>
          </w:tcPr>
          <w:p w:rsidR="00834F71" w:rsidRDefault="00834F71" w:rsidP="00834F71">
            <w:r>
              <w:t xml:space="preserve">UK </w:t>
            </w:r>
            <w:proofErr w:type="spellStart"/>
            <w:r>
              <w:t>Lifetables</w:t>
            </w:r>
            <w:proofErr w:type="spellEnd"/>
            <w:r>
              <w:t xml:space="preserve">. </w:t>
            </w:r>
            <w:r w:rsidR="00374E80">
              <w:fldChar w:fldCharType="begin" w:fldLock="1"/>
            </w:r>
            <w:r w:rsidR="009C7509">
              <w:instrText>ADDIN CSL_CITATION { "citationItems" : [ { "id" : "ITEM-1", "itemData" : { "author" : [ { "family" : "ONS", "given" : "" } ], "id" : "ITEM-1", "issue" : "12 January", "issued" : { "date-parts" : [ [ "2011" ] ] }, "note" : "&lt;m:note&gt;&lt;/m:note&gt;", "publisher" : "ONS", "publisher-place" : "Cardiff", "title" : "Interim Life Tables", "type" : "article", "volume" : "2012" }, "uris" : [ "http://www.mendeley.com/documents/?uuid=259139d0-3b10-43e3-97d9-041d472bd4a9" ] } ], "mendeley" : { "previouslyFormattedCitation" : "(16)" }, "properties" : { "noteIndex" : 0 }, "schema" : "https://github.com/citation-style-language/schema/raw/master/csl-citation.json" }</w:instrText>
            </w:r>
            <w:r w:rsidR="00374E80">
              <w:fldChar w:fldCharType="separate"/>
            </w:r>
            <w:r w:rsidR="009C7509" w:rsidRPr="009C7509">
              <w:rPr>
                <w:noProof/>
              </w:rPr>
              <w:t>(16)</w:t>
            </w:r>
            <w:r w:rsidR="00374E80">
              <w:fldChar w:fldCharType="end"/>
            </w:r>
          </w:p>
          <w:p w:rsidR="00834F71" w:rsidRDefault="00834F71" w:rsidP="00834F71"/>
        </w:tc>
      </w:tr>
      <w:tr w:rsidR="00834F71" w:rsidTr="00834F71">
        <w:trPr>
          <w:divId w:val="1548566716"/>
          <w:trHeight w:val="1331"/>
        </w:trPr>
        <w:tc>
          <w:tcPr>
            <w:tcW w:w="2310" w:type="dxa"/>
            <w:vMerge/>
          </w:tcPr>
          <w:p w:rsidR="00834F71" w:rsidRPr="00F15320" w:rsidRDefault="00834F71" w:rsidP="00834F71">
            <w:pPr>
              <w:rPr>
                <w:b/>
              </w:rPr>
            </w:pPr>
          </w:p>
        </w:tc>
        <w:tc>
          <w:tcPr>
            <w:tcW w:w="2309" w:type="dxa"/>
          </w:tcPr>
          <w:p w:rsidR="00834F71" w:rsidRDefault="00834F71" w:rsidP="00834F71">
            <w:r>
              <w:t>Sensitivity and Specificity of TTE in detecting LA ABN</w:t>
            </w:r>
          </w:p>
        </w:tc>
        <w:tc>
          <w:tcPr>
            <w:tcW w:w="2311" w:type="dxa"/>
          </w:tcPr>
          <w:p w:rsidR="00834F71" w:rsidRDefault="00834F71" w:rsidP="00834F71">
            <w:r>
              <w:t xml:space="preserve">Jointly estimated from </w:t>
            </w:r>
            <w:proofErr w:type="spellStart"/>
            <w:r>
              <w:t>Dirichlet</w:t>
            </w:r>
            <w:proofErr w:type="spellEnd"/>
            <w:r>
              <w:t xml:space="preserve"> distribution </w:t>
            </w:r>
          </w:p>
          <w:p w:rsidR="00834F71" w:rsidRDefault="00834F71" w:rsidP="00834F71">
            <w:r>
              <w:t xml:space="preserve">(FN, TP, TN, FP) = </w:t>
            </w:r>
          </w:p>
          <w:p w:rsidR="00834F71" w:rsidRDefault="00834F71" w:rsidP="00834F71">
            <w:r>
              <w:t>(5, 87, 83, 159)</w:t>
            </w:r>
          </w:p>
        </w:tc>
        <w:tc>
          <w:tcPr>
            <w:tcW w:w="2312" w:type="dxa"/>
          </w:tcPr>
          <w:p w:rsidR="00834F71" w:rsidRDefault="00834F71" w:rsidP="00834F71">
            <w:r>
              <w:t xml:space="preserve">Table 2 of </w:t>
            </w:r>
            <w:r w:rsidR="00374E80">
              <w:fldChar w:fldCharType="begin" w:fldLock="1"/>
            </w:r>
            <w:r w:rsidR="009C7509">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"family" : "Providencia", "given" : "R" }, { "family" : "Botelho", "given" : "A" }, { "family" : "Trigo", "given" : "J" }, { "family" : "Quintal", "given" : "N" }, { "family" : "Nascimento", "given" : "J" }, { "family" : "Mota", "given" : "P" }, { "family" : "Leitao-Marques", "given" : "A" } ], "container-title" : "Europace", "edition" : "2011/08/27", "id" : "ITEM-1", "issue" : "1", "issued" : { "date-parts" : [ [ "2012" ] ] }, "note" : "&lt;m:note&gt;Providencia, Rui&lt;m:linebreak/&gt;Botelho, Ana&lt;m:linebreak/&gt;Trigo, Joana&lt;m:linebreak/&gt;Quintal, Nuno&lt;m:linebreak/&gt;Nascimento, Jose&lt;m:linebreak/&gt;Mota, Paula&lt;m:linebreak/&gt;Leitao-Marques, Antonio&lt;m:linebreak/&gt;England&lt;m:linebreak/&gt;Europace : European pacing, arrhythmias, and cardiac electrophysiology : journal of the working groups on cardiac pacing, arrhythmias, and cardiac cellular electrophysiology of the European Society of Cardiology&lt;m:linebreak/&gt;Europace. 2012 Jan;14(1):36-45. Epub 2011 Aug 24.&lt;/m:note&gt;",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"(8)" }, "properties" : { "noteIndex" : 0 }, "schema" : "https://github.com/citation-style-language/schema/raw/master/csl-citation.json" }</w:instrText>
            </w:r>
            <w:r w:rsidR="00374E80">
              <w:fldChar w:fldCharType="separate"/>
            </w:r>
            <w:r w:rsidRPr="004B7B0B">
              <w:rPr>
                <w:noProof/>
              </w:rPr>
              <w:t>(8)</w:t>
            </w:r>
            <w:r w:rsidR="00374E80">
              <w:fldChar w:fldCharType="end"/>
            </w:r>
            <w:r>
              <w:t xml:space="preserve"> </w:t>
            </w:r>
            <w:proofErr w:type="spellStart"/>
            <w:r>
              <w:t>Providencia</w:t>
            </w:r>
            <w:proofErr w:type="spellEnd"/>
            <w:r>
              <w:t xml:space="preserve"> et al 2012</w:t>
            </w:r>
          </w:p>
        </w:tc>
      </w:tr>
      <w:tr w:rsidR="00834F71" w:rsidTr="00834F71">
        <w:trPr>
          <w:divId w:val="1548566716"/>
          <w:trHeight w:val="2472"/>
        </w:trPr>
        <w:tc>
          <w:tcPr>
            <w:tcW w:w="2310" w:type="dxa"/>
            <w:vMerge/>
          </w:tcPr>
          <w:p w:rsidR="00834F71" w:rsidRPr="00F15320" w:rsidRDefault="00834F71" w:rsidP="00834F71">
            <w:pPr>
              <w:rPr>
                <w:b/>
              </w:rPr>
            </w:pPr>
          </w:p>
        </w:tc>
        <w:tc>
          <w:tcPr>
            <w:tcW w:w="2309" w:type="dxa"/>
          </w:tcPr>
          <w:p w:rsidR="00834F71" w:rsidRDefault="00834F71" w:rsidP="00834F71">
            <w:r>
              <w:t>Proportion of patients with LA ABN</w:t>
            </w:r>
          </w:p>
        </w:tc>
        <w:tc>
          <w:tcPr>
            <w:tcW w:w="2311" w:type="dxa"/>
          </w:tcPr>
          <w:p w:rsidR="00834F71" w:rsidRDefault="00834F71" w:rsidP="00834F71">
            <w:r>
              <w:t>Beta(2.5, 22.5) for CHADS</w:t>
            </w:r>
            <w:r w:rsidRPr="00305A5B">
              <w:rPr>
                <w:vertAlign w:val="subscript"/>
              </w:rPr>
              <w:t>2</w:t>
            </w:r>
          </w:p>
          <w:p w:rsidR="00834F71" w:rsidRDefault="00834F71" w:rsidP="00834F71">
            <w:pPr>
              <w:jc w:val="left"/>
            </w:pPr>
            <w:r>
              <w:t>Beta(0.5, 11.5) for CHA</w:t>
            </w:r>
            <w:r w:rsidRPr="00305A5B">
              <w:rPr>
                <w:vertAlign w:val="subscript"/>
              </w:rPr>
              <w:t>2</w:t>
            </w:r>
            <w:r>
              <w:t>DS</w:t>
            </w:r>
            <w:r w:rsidRPr="00305A5B">
              <w:rPr>
                <w:sz w:val="22"/>
                <w:vertAlign w:val="subscript"/>
              </w:rPr>
              <w:t>2</w:t>
            </w:r>
            <w:r>
              <w:t xml:space="preserve">-VASc </w:t>
            </w:r>
          </w:p>
          <w:p w:rsidR="00834F71" w:rsidRDefault="00834F71" w:rsidP="00834F71">
            <w:pPr>
              <w:jc w:val="left"/>
            </w:pPr>
            <w:r>
              <w:t>(Both with prior of 0.5 added to both cell counts.)</w:t>
            </w:r>
          </w:p>
        </w:tc>
        <w:tc>
          <w:tcPr>
            <w:tcW w:w="2312" w:type="dxa"/>
          </w:tcPr>
          <w:p w:rsidR="00834F71" w:rsidRDefault="00834F71" w:rsidP="00834F71">
            <w:r>
              <w:t xml:space="preserve">Table 2 of </w:t>
            </w:r>
            <w:r w:rsidR="00374E80">
              <w:fldChar w:fldCharType="begin" w:fldLock="1"/>
            </w:r>
            <w:r w:rsidR="009C7509">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"family" : "Providencia", "given" : "R" }, { "family" : "Botelho", "given" : "A" }, { "family" : "Trigo", "given" : "J" }, { "family" : "Quintal", "given" : "N" }, { "family" : "Nascimento", "given" : "J" }, { "family" : "Mota", "given" : "P" }, { "family" : "Leitao-Marques", "given" : "A" } ], "container-title" : "Europace", "edition" : "2011/08/27", "id" : "ITEM-1", "issue" : "1", "issued" : { "date-parts" : [ [ "2012" ] ] }, "note" : "&lt;m:note&gt;Providencia, Rui&lt;m:linebreak/&gt;Botelho, Ana&lt;m:linebreak/&gt;Trigo, Joana&lt;m:linebreak/&gt;Quintal, Nuno&lt;m:linebreak/&gt;Nascimento, Jose&lt;m:linebreak/&gt;Mota, Paula&lt;m:linebreak/&gt;Leitao-Marques, Antonio&lt;m:linebreak/&gt;England&lt;m:linebreak/&gt;Europace : European pacing, arrhythmias, and cardiac electrophysiology : journal of the working groups on cardiac pacing, arrhythmias, and cardiac cellular electrophysiology of the European Society of Cardiology&lt;m:linebreak/&gt;Europace. 2012 Jan;14(1):36-45. Epub 2011 Aug 24.&lt;/m:note&gt;",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"(8)" }, "properties" : { "noteIndex" : 0 }, "schema" : "https://github.com/citation-style-language/schema/raw/master/csl-citation.json" }</w:instrText>
            </w:r>
            <w:r w:rsidR="00374E80">
              <w:fldChar w:fldCharType="separate"/>
            </w:r>
            <w:r w:rsidRPr="004B7B0B">
              <w:rPr>
                <w:noProof/>
              </w:rPr>
              <w:t>(8)</w:t>
            </w:r>
            <w:r w:rsidR="00374E80">
              <w:fldChar w:fldCharType="end"/>
            </w:r>
            <w:r>
              <w:t xml:space="preserve"> </w:t>
            </w:r>
            <w:proofErr w:type="spellStart"/>
            <w:r>
              <w:t>Providencia</w:t>
            </w:r>
            <w:proofErr w:type="spellEnd"/>
            <w:r>
              <w:t xml:space="preserve"> et al 2012</w:t>
            </w:r>
          </w:p>
        </w:tc>
      </w:tr>
      <w:tr w:rsidR="00834F71" w:rsidTr="00834F71">
        <w:trPr>
          <w:divId w:val="1548566716"/>
          <w:trHeight w:val="597"/>
        </w:trPr>
        <w:tc>
          <w:tcPr>
            <w:tcW w:w="2310" w:type="dxa"/>
            <w:vMerge/>
          </w:tcPr>
          <w:p w:rsidR="00834F71" w:rsidRPr="00F15320" w:rsidRDefault="00834F71" w:rsidP="00834F71">
            <w:pPr>
              <w:rPr>
                <w:b/>
              </w:rPr>
            </w:pPr>
          </w:p>
        </w:tc>
        <w:tc>
          <w:tcPr>
            <w:tcW w:w="2309" w:type="dxa"/>
          </w:tcPr>
          <w:p w:rsidR="00834F71" w:rsidRDefault="00834F71" w:rsidP="00834F71">
            <w:r>
              <w:t>Annual stroke risk by CHADS</w:t>
            </w:r>
            <w:r w:rsidRPr="00A12911">
              <w:rPr>
                <w:vertAlign w:val="subscript"/>
              </w:rPr>
              <w:t>2</w:t>
            </w:r>
            <w:r>
              <w:t xml:space="preserve"> score</w:t>
            </w:r>
          </w:p>
        </w:tc>
        <w:tc>
          <w:tcPr>
            <w:tcW w:w="2311" w:type="dxa"/>
          </w:tcPr>
          <w:p w:rsidR="00834F71" w:rsidRDefault="00834F71" w:rsidP="00834F71">
            <w:pPr>
              <w:jc w:val="left"/>
            </w:pPr>
            <w:r>
              <w:t>Simulated from Lognormal distribution</w:t>
            </w:r>
          </w:p>
        </w:tc>
        <w:tc>
          <w:tcPr>
            <w:tcW w:w="2312" w:type="dxa"/>
          </w:tcPr>
          <w:p w:rsidR="00834F71" w:rsidRDefault="00834F71" w:rsidP="00834F71"/>
          <w:p w:rsidR="00834F71" w:rsidRDefault="00834F71" w:rsidP="00834F71">
            <w:r>
              <w:t>Gage et al 2004</w:t>
            </w:r>
            <w:r w:rsidR="00374E80">
              <w:fldChar w:fldCharType="begin" w:fldLock="1"/>
            </w:r>
            <w:r w:rsidR="009C7509">
              <w:instrText>ADDIN CSL_CITATION { "citationItems" : [ { "id" : "ITEM-1", "itemData" : { "DOI" : "01.CIR.0000145172.55640.93 [pii]\n10.1161/01.CIR.0000145172.55640.93", "ISBN" : "1524-4539 (Electronic)\n0009-7322 (Linking)", "abstract" : "BACKGROUND: The rate of stroke in atrial fibrillation (AF) depends on the presence of comorbid conditions and the use of antithrombotic therapy. Although adjusted-dose warfarin is superior to aspirin for reducing stroke in AF, the absolute risk reduction of warfarin depends on the stroke rate with aspirin. This prospective cohort study tested the predictive accuracy of 5 stroke risk stratification schemes. METHODS AND RESULTS: The study pooled individual data from 2580 participants with nonvalvular AF who were prescribed aspirin in a multicenter trial (Atrial Fibrillation, Aspirin, Anticoagulation I study [AFASAK-1], AFASAK-2, European Atrial Fibrillation Trial, Primary Prevention of Arterial Thromboembolism in patients with nonrheumatic Atrial Fibrillation in primary care study, and Stroke Prevention and Atrial Fibrillation [SPAF]-III high risk or SPAF-III low risk). There were 207 ischemic strokes during 4887 patient-years of aspirin therapy. All schemes predicted stroke better than chance, but the number of patients categorized as low and high risk varied substantially. AF patients with prior cerebral ischemia were classified as high risk by all 5 schemes and had 10.8 strokes per 100 patient-years. The CHADS(2) scheme (an acronym for Congestive heart failure, Hypertension, Age &gt;75, Diabetes mellitus, and prior Stroke or transient ischemic attack) successfully identified primary prevention patients who were at high risk of stroke (5.3 strokes per 100 patient-years). In contrast, patients identified as high risk by other schemes had 3.0 to 4.2 strokes per 100 patient-years. Low-risk patients identified by all schemes had 0.5 to 1.4 strokes per 100 patient-years of therapy. CONCLUSIONS: Patients with AF who have high and low rates of stroke when given aspirin can be reliably identified, allowing selection of antithrombotic prophylaxis to be individualized.", "author" : [ { "family" : "Gage", "given" : "B F" }, { "family" : "van Walraven", "given" : "C" }, { "family" : "Pearce", "given" : "L" }, { "family" : "Hart", "given" : "R G" }, { "family" : "Koudstaal", "given" : "P J" }, { "family" : "Boode", "given" : "B S" }, { "family" : "Petersen", "given" : "P" } ], "container-title" : "Circulation", "edition" : "2004/10/13", "id" : "ITEM-1", "issue" : "16", "issued" : { "date-parts" : [ [ "2004" ] ] }, "note" : "&lt;m:note&gt;Gage, Brian F&lt;m:linebreak/&gt;van Walraven, Carl&lt;m:linebreak/&gt;Pearce, Lesly&lt;m:linebreak/&gt;Hart, Robert G&lt;m:linebreak/&gt;Koudstaal, Peter J&lt;m:linebreak/&gt;Boode, B S P&lt;m:linebreak/&gt;Petersen, Palle&lt;m:linebreak/&gt;R01 NS 24224/NS/NINDS NIH HHS/United States&lt;m:linebreak/&gt;Meta-Analysis&lt;m:linebreak/&gt;Research Support, N.I.H., Extramural&lt;m:linebreak/&gt;Research Support, Non-U.S. Gov't&lt;m:linebreak/&gt;Research Support, U.S. Gov't, P.H.S.&lt;m:linebreak/&gt;Validation Studies&lt;m:linebreak/&gt;United States&lt;m:linebreak/&gt;Circulation&lt;m:linebreak/&gt;Circulation. 2004 Oct 19;110(16):2287-92. Epub 2004 Oct 11.&lt;/m:note&gt;", "page" : "2287-2292", "title" : "Selecting patients with atrial fibrillation for anticoagulation: stroke risk stratification in patients taking aspirin", "type" : "article-journal", "volume" : "110" }, "uris" : [ "http://www.mendeley.com/documents/?uuid=161baf1f-1b50-41fc-b041-a2f76dfe6f6b" ] } ], "mendeley" : { "previouslyFormattedCitation" : "(17)" }, "properties" : { "noteIndex" : 0 }, "schema" : "https://github.com/citation-style-language/schema/raw/master/csl-citation.json" }</w:instrText>
            </w:r>
            <w:r w:rsidR="00374E80">
              <w:fldChar w:fldCharType="separate"/>
            </w:r>
            <w:r w:rsidR="009C7509" w:rsidRPr="009C7509">
              <w:rPr>
                <w:noProof/>
              </w:rPr>
              <w:t>(17)</w:t>
            </w:r>
            <w:r w:rsidR="00374E80">
              <w:fldChar w:fldCharType="end"/>
            </w:r>
          </w:p>
        </w:tc>
      </w:tr>
      <w:tr w:rsidR="00834F71" w:rsidTr="00834F71">
        <w:trPr>
          <w:divId w:val="1548566716"/>
          <w:trHeight w:val="597"/>
        </w:trPr>
        <w:tc>
          <w:tcPr>
            <w:tcW w:w="2310" w:type="dxa"/>
            <w:vMerge/>
          </w:tcPr>
          <w:p w:rsidR="00834F71" w:rsidRPr="00F15320" w:rsidRDefault="00834F71" w:rsidP="00834F71">
            <w:pPr>
              <w:rPr>
                <w:b/>
              </w:rPr>
            </w:pPr>
          </w:p>
        </w:tc>
        <w:tc>
          <w:tcPr>
            <w:tcW w:w="2309" w:type="dxa"/>
          </w:tcPr>
          <w:p w:rsidR="00834F71" w:rsidRDefault="00834F71" w:rsidP="00834F71">
            <w:r>
              <w:t>Annual stroke risk by CHA</w:t>
            </w:r>
            <w:r w:rsidRPr="00A12911">
              <w:rPr>
                <w:vertAlign w:val="subscript"/>
              </w:rPr>
              <w:t>2</w:t>
            </w:r>
            <w:r>
              <w:t>DS</w:t>
            </w:r>
            <w:r w:rsidRPr="00A12911">
              <w:rPr>
                <w:vertAlign w:val="subscript"/>
              </w:rPr>
              <w:t>2</w:t>
            </w:r>
            <w:r>
              <w:t>-VASc score</w:t>
            </w:r>
          </w:p>
        </w:tc>
        <w:tc>
          <w:tcPr>
            <w:tcW w:w="2311" w:type="dxa"/>
          </w:tcPr>
          <w:p w:rsidR="00834F71" w:rsidRDefault="00834F71" w:rsidP="00834F71">
            <w:pPr>
              <w:jc w:val="left"/>
            </w:pPr>
            <w:r>
              <w:t>Assumed identical to risk by CHADS</w:t>
            </w:r>
            <w:r w:rsidRPr="00A12911">
              <w:rPr>
                <w:vertAlign w:val="subscript"/>
              </w:rPr>
              <w:t>2</w:t>
            </w:r>
            <w:r>
              <w:t xml:space="preserve"> score</w:t>
            </w:r>
          </w:p>
        </w:tc>
        <w:tc>
          <w:tcPr>
            <w:tcW w:w="2312" w:type="dxa"/>
          </w:tcPr>
          <w:p w:rsidR="00834F71" w:rsidRDefault="00834F71" w:rsidP="00834F71"/>
          <w:p w:rsidR="00834F71" w:rsidRDefault="00834F71" w:rsidP="00834F71">
            <w:r>
              <w:t xml:space="preserve">Gage et al 2004 </w:t>
            </w:r>
            <w:r w:rsidR="00374E80">
              <w:fldChar w:fldCharType="begin" w:fldLock="1"/>
            </w:r>
            <w:r w:rsidR="009C7509">
              <w:instrText>ADDIN CSL_CITATION { "citationItems" : [ { "id" : "ITEM-1", "itemData" : { "DOI" : "01.CIR.0000145172.55640.93 [pii]\n10.1161/01.CIR.0000145172.55640.93", "ISBN" : "1524-4539 (Electronic)\n0009-7322 (Linking)", "abstract" : "BACKGROUND: The rate of stroke in atrial fibrillation (AF) depends on the presence of comorbid conditions and the use of antithrombotic therapy. Although adjusted-dose warfarin is superior to aspirin for reducing stroke in AF, the absolute risk reduction of warfarin depends on the stroke rate with aspirin. This prospective cohort study tested the predictive accuracy of 5 stroke risk stratification schemes. METHODS AND RESULTS: The study pooled individual data from 2580 participants with nonvalvular AF who were prescribed aspirin in a multicenter trial (Atrial Fibrillation, Aspirin, Anticoagulation I study [AFASAK-1], AFASAK-2, European Atrial Fibrillation Trial, Primary Prevention of Arterial Thromboembolism in patients with nonrheumatic Atrial Fibrillation in primary care study, and Stroke Prevention and Atrial Fibrillation [SPAF]-III high risk or SPAF-III low risk). There were 207 ischemic strokes during 4887 patient-years of aspirin therapy. All schemes predicted stroke better than chance, but the number of patients categorized as low and high risk varied substantially. AF patients with prior cerebral ischemia were classified as high risk by all 5 schemes and had 10.8 strokes per 100 patient-years. The CHADS(2) scheme (an acronym for Congestive heart failure, Hypertension, Age &gt;75, Diabetes mellitus, and prior Stroke or transient ischemic attack) successfully identified primary prevention patients who were at high risk of stroke (5.3 strokes per 100 patient-years). In contrast, patients identified as high risk by other schemes had 3.0 to 4.2 strokes per 100 patient-years. Low-risk patients identified by all schemes had 0.5 to 1.4 strokes per 100 patient-years of therapy. CONCLUSIONS: Patients with AF who have high and low rates of stroke when given aspirin can be reliably identified, allowing selection of antithrombotic prophylaxis to be individualized.", "author" : [ { "family" : "Gage", "given" : "B F" }, { "family" : "van Walraven", "given" : "C" }, { "family" : "Pearce", "given" : "L" }, { "family" : "Hart", "given" : "R G" }, { "family" : "Koudstaal", "given" : "P J" }, { "family" : "Boode", "given" : "B S" }, { "family" : "Petersen", "given" : "P" } ], "container-title" : "Circulation", "edition" : "2004/10/13", "id" : "ITEM-1", "issue" : "16", "issued" : { "date-parts" : [ [ "2004" ] ] }, "note" : "&lt;m:note&gt;Gage, Brian F&lt;m:linebreak/&gt;van Walraven, Carl&lt;m:linebreak/&gt;Pearce, Lesly&lt;m:linebreak/&gt;Hart, Robert G&lt;m:linebreak/&gt;Koudstaal, Peter J&lt;m:linebreak/&gt;Boode, B S P&lt;m:linebreak/&gt;Petersen, Palle&lt;m:linebreak/&gt;R01 NS 24224/NS/NINDS NIH HHS/United States&lt;m:linebreak/&gt;Meta-Analysis&lt;m:linebreak/&gt;Research Support, N.I.H., Extramural&lt;m:linebreak/&gt;Research Support, Non-U.S. Gov't&lt;m:linebreak/&gt;Research Support, U.S. Gov't, P.H.S.&lt;m:linebreak/&gt;Validation Studies&lt;m:linebreak/&gt;United States&lt;m:linebreak/&gt;Circulation&lt;m:linebreak/&gt;Circulation. 2004 Oct 19;110(16):2287-92. Epub 2004 Oct 11.&lt;/m:note&gt;", "page" : "2287-2292", "title" : "Selecting patients with atrial fibrillation for anticoagulation: stroke risk stratification in patients taking aspirin", "type" : "article-journal", "volume" : "110" }, "uris" : [ "http://www.mendeley.com/documents/?uuid=161baf1f-1b50-41fc-b041-a2f76dfe6f6b" ] } ], "mendeley" : { "previouslyFormattedCitation" : "(17)" }, "properties" : { "noteIndex" : 0 }, "schema" : "https://github.com/citation-style-language/schema/raw/master/csl-citation.json" }</w:instrText>
            </w:r>
            <w:r w:rsidR="00374E80">
              <w:fldChar w:fldCharType="separate"/>
            </w:r>
            <w:r w:rsidR="009C7509" w:rsidRPr="009C7509">
              <w:rPr>
                <w:noProof/>
              </w:rPr>
              <w:t>(17)</w:t>
            </w:r>
            <w:r w:rsidR="00374E80">
              <w:fldChar w:fldCharType="end"/>
            </w:r>
          </w:p>
        </w:tc>
      </w:tr>
      <w:tr w:rsidR="00834F71" w:rsidTr="00834F71">
        <w:trPr>
          <w:divId w:val="1548566716"/>
          <w:trHeight w:val="529"/>
        </w:trPr>
        <w:tc>
          <w:tcPr>
            <w:tcW w:w="2310" w:type="dxa"/>
            <w:vMerge/>
          </w:tcPr>
          <w:p w:rsidR="00834F71" w:rsidRPr="00F15320" w:rsidRDefault="00834F71" w:rsidP="00834F71">
            <w:pPr>
              <w:rPr>
                <w:b/>
              </w:rPr>
            </w:pPr>
          </w:p>
        </w:tc>
        <w:tc>
          <w:tcPr>
            <w:tcW w:w="2309" w:type="dxa"/>
          </w:tcPr>
          <w:p w:rsidR="00834F71" w:rsidRDefault="00834F71" w:rsidP="00834F71">
            <w:r>
              <w:t xml:space="preserve">Annual stroke risk in those with LA ABN </w:t>
            </w:r>
          </w:p>
        </w:tc>
        <w:tc>
          <w:tcPr>
            <w:tcW w:w="2311" w:type="dxa"/>
          </w:tcPr>
          <w:p w:rsidR="00834F71" w:rsidRDefault="00834F71" w:rsidP="00834F71">
            <w:pPr>
              <w:jc w:val="left"/>
            </w:pPr>
            <w:r>
              <w:t>Simulated from Lognormal distribution</w:t>
            </w:r>
          </w:p>
        </w:tc>
        <w:tc>
          <w:tcPr>
            <w:tcW w:w="2312" w:type="dxa"/>
          </w:tcPr>
          <w:p w:rsidR="00834F71" w:rsidRDefault="00834F71" w:rsidP="00834F71">
            <w:r>
              <w:t>Connolly et al 2009</w:t>
            </w:r>
            <w:r w:rsidR="00374E80">
              <w:fldChar w:fldCharType="begin" w:fldLock="1"/>
            </w:r>
            <w:r w:rsidR="009C7509">
              <w:instrText>ADDIN CSL_CITATION { "citationItems" : [ { "id" : "ITEM-1", "itemData" : { "DOI" : "NEJMoa0905561 [pii]\n10.1056/NEJMoa0905561", "ISBN" : "1533-4406 (Electronic)\n0028-4793 (Linking)", "abstract" : "BACKGROUND: Warfarin reduces the risk of stroke in patients with atrial fibrillation but increases the risk of hemorrhage and is difficult to use. Dabigatran is a new oral direct thrombin inhibitor. METHODS: In this noninferiority trial, we randomly assigned 18,113 patients who had atrial fibrillation and a risk of stroke to receive, in a blinded fashion, fixed doses of dabigatran--110 mg or 150 mg twice daily--or, in an unblinded fashion, adjusted-dose warfarin. The median duration of the follow-up period was 2.0 years. The primary outcome was stroke or systemic embolism. RESULTS: Rates of the primary outcome were 1.69% per year in the warfarin group, as compared with 1.53% per year in the group that received 110 mg of dabigatran (relative risk with dabigatran, 0.91; 95% confidence interval [CI], 0.74 to 1.11; P&lt;0.001 for noninferiority) and 1.11% per year in the group that received 150 mg of dabigatran (relative risk, 0.66; 95% CI, 0.53 to 0.82; P&lt;0.001 for superiority). The rate of major bleeding was 3.36% per year in the warfarin group, as compared with 2.71% per year in the group receiving 110 mg of dabigatran (P=0.003) and 3.11% per year in the group receiving 150 mg of dabigatran (P=0.31). The rate of hemorrhagic stroke was 0.38% per year in the warfarin group, as compared with 0.12% per year with 110 mg of dabigatran (P&lt;0.001) and 0.10% per year with 150 mg of dabigatran (P&lt;0.001). The mortality rate was 4.13% per year in the warfarin group, as compared with 3.75% per year with 110 mg of dabigatran (P=0.13) and 3.64% per year with 150 mg of dabigatran (P=0.051). CONCLUSIONS: In patients with atrial fibrillation, dabigatran given at a dose of 110 mg was associated with rates of stroke and systemic embolism that were similar to those associated with warfarin, as well as lower rates of major hemorrhage. Dabigatran administered at a dose of 150 mg, as compared with warfarin, was associated with lower rates of stroke and systemic embolism but similar rates of major hemorrhage. (ClinicalTrials.gov number, NCT00262600.)", "author" : [ { "family" : "Connolly", "given" : "S J" }, { "family" : "Ezekowitz", "given" : "M D" }, { "family" : "Yusuf", "given" : "S" }, { "family" : "Eikelboom", "given" : "J" }, { "family" : "Oldgren", "given" : "J" }, { "family" : "Parekh", "given" : "A" }, { "family" : "Pogue", "given" : "J" }, { "family" : "Reilly", "given" : "P A" }, { "family" : "Themeles", "given" : "E" }, { "family" : "Varrone", "given" : "J" }, { "family" : "Wang", "given" : "S" }, { "family" : "Alings", "given" : "M" }, { "family" : "Xavier", "given" : "D" }, { "family" : "Zhu", "given" : "J" }, { "family" : "Diaz", "given" : "R" }, { "family" : "Lewis", "given" : "B S" }, { "family" : "Darius", "given" : "H" }, { "family" : "Diener", "given" : "H C" }, { "family" : "Joyner", "given" : "C D" }, { "family" : "Wallentin", "given" : "L" } ], "container-title" : "N Engl J Med", "edition" : "2009/09/01", "id" : "ITEM-1", "issue" : "12", "issued" : { "date-parts" : [ [ "2009" ] ] }, "note" : "&lt;m:note&gt;Connolly, Stuart J&lt;m:linebreak/&gt;Ezekowitz, Michael D&lt;m:linebreak/&gt;Yusuf, Salim&lt;m:linebreak/&gt;Eikelboom, John&lt;m:linebreak/&gt;Oldgren, Jonas&lt;m:linebreak/&gt;Parekh, Amit&lt;m:linebreak/&gt;Pogue, Janice&lt;m:linebreak/&gt;Reilly, Paul A&lt;m:linebreak/&gt;Themeles, Ellison&lt;m:linebreak/&gt;Varrone, Jeanne&lt;m:linebreak/&gt;Wang, Susan&lt;m:linebreak/&gt;Alings, Marco&lt;m:linebreak/&gt;Xavier, Denis&lt;m:linebreak/&gt;Zhu, Jun&lt;m:linebreak/&gt;Diaz, Rafael&lt;m:linebreak/&gt;Lewis, Basil S&lt;m:linebreak/&gt;Darius, Harald&lt;m:linebreak/&gt;Diener, Hans-Christoph&lt;m:linebreak/&gt;Joyner, Campbell D&lt;m:linebreak/&gt;Wallentin, Lars&lt;m:linebreak/&gt;RE-LY Steering Committee and Investigators&lt;m:linebreak/&gt;Comparative Study&lt;m:linebreak/&gt;Multicenter Study&lt;m:linebreak/&gt;Randomized Controlled Trial&lt;m:linebreak/&gt;Research Support, Non-U.S. Gov't&lt;m:linebreak/&gt;United States&lt;m:linebreak/&gt;The New England journal of medicine&lt;m:linebreak/&gt;N Engl J Med. 2009 Sep 17;361(12):1139-51. Epub 2009 Aug 30.&lt;/m:note&gt;", "page" : "1139-1151", "title" : "Dabigatran versus warfarin in patients with atrial fibrillation", "type" : "article-journal", "volume" : "361" }, "uris" : [ "http://www.mendeley.com/documents/?uuid=b15534d5-dfe1-42ed-8f1a-7ade251f010e" ] } ], "mendeley" : { "previouslyFormattedCitation" : "(18)" }, "properties" : { "noteIndex" : 0 }, "schema" : "https://github.com/citation-style-language/schema/raw/master/csl-citation.json" }</w:instrText>
            </w:r>
            <w:r w:rsidR="00374E80">
              <w:fldChar w:fldCharType="separate"/>
            </w:r>
            <w:r w:rsidR="009C7509" w:rsidRPr="009C7509">
              <w:rPr>
                <w:noProof/>
              </w:rPr>
              <w:t>(18)</w:t>
            </w:r>
            <w:r w:rsidR="00374E80">
              <w:fldChar w:fldCharType="end"/>
            </w:r>
          </w:p>
          <w:p w:rsidR="00834F71" w:rsidRDefault="00834F71" w:rsidP="00834F71"/>
        </w:tc>
      </w:tr>
      <w:tr w:rsidR="00834F71" w:rsidTr="00834F71">
        <w:trPr>
          <w:divId w:val="1548566716"/>
          <w:trHeight w:val="1317"/>
        </w:trPr>
        <w:tc>
          <w:tcPr>
            <w:tcW w:w="2310" w:type="dxa"/>
            <w:vMerge/>
          </w:tcPr>
          <w:p w:rsidR="00834F71" w:rsidRPr="00F15320" w:rsidRDefault="00834F71" w:rsidP="00834F71">
            <w:pPr>
              <w:rPr>
                <w:b/>
              </w:rPr>
            </w:pPr>
          </w:p>
        </w:tc>
        <w:tc>
          <w:tcPr>
            <w:tcW w:w="2309" w:type="dxa"/>
          </w:tcPr>
          <w:p w:rsidR="00834F71" w:rsidRDefault="00834F71" w:rsidP="00834F71">
            <w:r>
              <w:t xml:space="preserve">Relative risk (RR) of stroke in patients receiving </w:t>
            </w:r>
            <w:proofErr w:type="spellStart"/>
            <w:r>
              <w:t>dabigatran</w:t>
            </w:r>
            <w:proofErr w:type="spellEnd"/>
          </w:p>
        </w:tc>
        <w:tc>
          <w:tcPr>
            <w:tcW w:w="2311" w:type="dxa"/>
          </w:tcPr>
          <w:p w:rsidR="00834F71" w:rsidRDefault="00834F71" w:rsidP="00834F71">
            <w:pPr>
              <w:jc w:val="left"/>
            </w:pPr>
            <w:r>
              <w:t>Indirect comparison simulation approach</w:t>
            </w:r>
          </w:p>
        </w:tc>
        <w:tc>
          <w:tcPr>
            <w:tcW w:w="2312" w:type="dxa"/>
          </w:tcPr>
          <w:p w:rsidR="00834F71" w:rsidRDefault="00834F71" w:rsidP="00834F71">
            <w:r>
              <w:t xml:space="preserve">Lip et al 2006 </w:t>
            </w:r>
            <w:r w:rsidR="00374E80">
              <w:fldChar w:fldCharType="begin" w:fldLock="1"/>
            </w:r>
            <w:r w:rsidR="009C7509">
              <w:instrText>ADDIN CSL_CITATION { "citationItems" : [ { "id" : "ITEM-1", "itemData" : { "DOI" : "10.1016/j.thromres.2005.08.007", "abstract" : "To compare the effectiveness of aspirin, warfarin, and ximelagatran as thromboprophylaxis in patients with non-valvular atrial fibrillation (NVAF).", "author" : [ { "family" : "Lip", "given" : "Gregory Y H" }, { "family" : "Edwards", "given" : "Steven J" } ], "container-title" : "Thrombosis research", "id" : "ITEM-1", "issue" : "3", "issued" : { "date-parts" : [ [ "2006", "1" ] ] }, "note" : "&lt;m:note&gt;&lt;/m:note&gt;", "page" : "321-33", "title" : "Stroke prevention with aspirin, warfarin and ximelagatran in patients with non-valvular atrial fibrillation: a systematic review and meta-analysis.", "type" : "article-journal", "volume" : "118" }, "uris" : [ "http://www.mendeley.com/documents/?uuid=44a35ec8-9a44-4e09-b53d-e00b8d8fd08e" ] } ], "mendeley" : { "previouslyFormattedCitation" : "(19)" }, "properties" : { "noteIndex" : 0 }, "schema" : "https://github.com/citation-style-language/schema/raw/master/csl-citation.json" }</w:instrText>
            </w:r>
            <w:r w:rsidR="00374E80">
              <w:fldChar w:fldCharType="separate"/>
            </w:r>
            <w:r w:rsidR="009C7509" w:rsidRPr="009C7509">
              <w:rPr>
                <w:noProof/>
              </w:rPr>
              <w:t>(19)</w:t>
            </w:r>
            <w:r w:rsidR="00374E80">
              <w:fldChar w:fldCharType="end"/>
            </w:r>
            <w:r>
              <w:t xml:space="preserve"> for RR of </w:t>
            </w:r>
            <w:proofErr w:type="spellStart"/>
            <w:r>
              <w:t>warfarin</w:t>
            </w:r>
            <w:proofErr w:type="spellEnd"/>
            <w:r>
              <w:t xml:space="preserve"> compared with placebo</w:t>
            </w:r>
          </w:p>
          <w:p w:rsidR="00834F71" w:rsidRDefault="00834F71" w:rsidP="00834F71"/>
          <w:p w:rsidR="00834F71" w:rsidRDefault="00834F71" w:rsidP="00834F71">
            <w:proofErr w:type="spellStart"/>
            <w:r>
              <w:t>Eikelboom</w:t>
            </w:r>
            <w:proofErr w:type="spellEnd"/>
            <w:r>
              <w:t xml:space="preserve"> et al 2011</w:t>
            </w:r>
            <w:r w:rsidR="00374E80">
              <w:fldChar w:fldCharType="begin" w:fldLock="1"/>
            </w:r>
            <w:r w:rsidR="009C7509">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"family" : "Eikelboom", "given" : "J W" }, { "family" : "Wallentin", "given" : "L" }, { "family" : "Connolly", "given" : "S J" }, { "family" : "Ezekowitz", "given" : "M" }, { "family" : "Healey", "given" : "J S" }, { "family" : "Oldgren", "given" : "J" }, { "family" : "Yang", "given" : "S" }, { "family" : "Alings", "given" : "M" }, { "family" : "Kaatz", "given" : "S" }, { "family" : "Hohnloser", "given" : "S H" }, { "family" : "Diener", "given" : "H C" }, { "family" : "Franzosi", "given" : "M G" }, { "family" : "Huber", "given" : "K" }, { "family" : "Reilly", "given" : "P" }, { "family" : "Varrone", "given" : "J" }, { "family" : "Yusuf", "given" : "S" } ], "container-title" : "Circulation", "edition" : "2011/05/18", "id" : "ITEM-1", "issue" : "21", "issued" : { "date-parts" : [ [ "2011" ] ] }, "note" : "&lt;m:note&gt;Eikelboom, John W&lt;m:linebreak/&gt;Wallentin, Lars&lt;m:linebreak/&gt;Connolly, Stuart J&lt;m:linebreak/&gt;Ezekowitz, Mike&lt;m:linebreak/&gt;Healey, Jeff S&lt;m:linebreak/&gt;Oldgren, Jonas&lt;m:linebreak/&gt;Yang, Sean&lt;m:linebreak/&gt;Alings, Marco&lt;m:linebreak/&gt;Kaatz, Scott&lt;m:linebreak/&gt;Hohnloser, Stefan H&lt;m:linebreak/&gt;Diener, Hans-Christoph&lt;m:linebreak/&gt;Franzosi, Maria Grazia&lt;m:linebreak/&gt;Huber, Kurt&lt;m:linebreak/&gt;Reilly, Paul&lt;m:linebreak/&gt;Varrone, Jeanne&lt;m:linebreak/&gt;Yusuf, Salim&lt;m:linebreak/&gt;Comparative Study&lt;m:linebreak/&gt;Randomized Controlled Trial&lt;m:linebreak/&gt;Research Support, Non-U.S. Gov't&lt;m:linebreak/&gt;United States&lt;m:linebreak/&gt;Circulation&lt;m:linebreak/&gt;Circulation. 2011 May 31;123(21):2363-72. Epub 2011 May 16.&lt;/m:note&gt;",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"(5)" }, "properties" : { "noteIndex" : 0 }, "schema" : "https://github.com/citation-style-language/schema/raw/master/csl-citation.json" }</w:instrText>
            </w:r>
            <w:r w:rsidR="00374E80">
              <w:fldChar w:fldCharType="separate"/>
            </w:r>
            <w:r w:rsidRPr="004B7B0B">
              <w:rPr>
                <w:noProof/>
              </w:rPr>
              <w:t>(5)</w:t>
            </w:r>
            <w:r w:rsidR="00374E80">
              <w:fldChar w:fldCharType="end"/>
            </w:r>
            <w:r>
              <w:t xml:space="preserve"> for RR of </w:t>
            </w:r>
            <w:proofErr w:type="spellStart"/>
            <w:r>
              <w:t>dabigatran</w:t>
            </w:r>
            <w:proofErr w:type="spellEnd"/>
            <w:r>
              <w:t xml:space="preserve"> compared with </w:t>
            </w:r>
            <w:proofErr w:type="spellStart"/>
            <w:r>
              <w:t>warfarin</w:t>
            </w:r>
            <w:proofErr w:type="spellEnd"/>
          </w:p>
          <w:p w:rsidR="00834F71" w:rsidRDefault="00834F71" w:rsidP="00834F71"/>
        </w:tc>
      </w:tr>
      <w:tr w:rsidR="00834F71" w:rsidTr="00834F71">
        <w:trPr>
          <w:divId w:val="1548566716"/>
          <w:trHeight w:val="978"/>
        </w:trPr>
        <w:tc>
          <w:tcPr>
            <w:tcW w:w="2310" w:type="dxa"/>
            <w:vMerge/>
          </w:tcPr>
          <w:p w:rsidR="00834F71" w:rsidRPr="00F15320" w:rsidRDefault="00834F71" w:rsidP="00834F71">
            <w:pPr>
              <w:rPr>
                <w:b/>
              </w:rPr>
            </w:pPr>
          </w:p>
        </w:tc>
        <w:tc>
          <w:tcPr>
            <w:tcW w:w="2309" w:type="dxa"/>
          </w:tcPr>
          <w:p w:rsidR="00834F71" w:rsidRDefault="00834F71" w:rsidP="00834F71">
            <w:r>
              <w:t xml:space="preserve">Annual major bleeding risk for patients receiving </w:t>
            </w:r>
            <w:proofErr w:type="spellStart"/>
            <w:r>
              <w:t>dabigatran</w:t>
            </w:r>
            <w:proofErr w:type="spellEnd"/>
          </w:p>
        </w:tc>
        <w:tc>
          <w:tcPr>
            <w:tcW w:w="2311" w:type="dxa"/>
          </w:tcPr>
          <w:p w:rsidR="00834F71" w:rsidRDefault="00834F71" w:rsidP="00834F71">
            <w:pPr>
              <w:jc w:val="left"/>
            </w:pPr>
            <w:proofErr w:type="spellStart"/>
            <w:r>
              <w:t>Statified</w:t>
            </w:r>
            <w:proofErr w:type="spellEnd"/>
            <w:r>
              <w:t xml:space="preserve"> by age. Credible interval calculated using simulation approach</w:t>
            </w:r>
          </w:p>
        </w:tc>
        <w:tc>
          <w:tcPr>
            <w:tcW w:w="2312" w:type="dxa"/>
          </w:tcPr>
          <w:p w:rsidR="00834F71" w:rsidRDefault="00834F71" w:rsidP="00834F71">
            <w:proofErr w:type="spellStart"/>
            <w:r>
              <w:t>Eikelboom</w:t>
            </w:r>
            <w:proofErr w:type="spellEnd"/>
            <w:r>
              <w:t xml:space="preserve"> et al 2011</w:t>
            </w:r>
            <w:r w:rsidR="00374E80">
              <w:fldChar w:fldCharType="begin" w:fldLock="1"/>
            </w:r>
            <w:r w:rsidR="009C7509">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"family" : "Eikelboom", "given" : "J W" }, { "family" : "Wallentin", "given" : "L" }, { "family" : "Connolly", "given" : "S J" }, { "family" : "Ezekowitz", "given" : "M" }, { "family" : "Healey", "given" : "J S" }, { "family" : "Oldgren", "given" : "J" }, { "family" : "Yang", "given" : "S" }, { "family" : "Alings", "given" : "M" }, { "family" : "Kaatz", "given" : "S" }, { "family" : "Hohnloser", "given" : "S H" }, { "family" : "Diener", "given" : "H C" }, { "family" : "Franzosi", "given" : "M G" }, { "family" : "Huber", "given" : "K" }, { "family" : "Reilly", "given" : "P" }, { "family" : "Varrone", "given" : "J" }, { "family" : "Yusuf", "given" : "S" } ], "container-title" : "Circulation", "edition" : "2011/05/18", "id" : "ITEM-1", "issue" : "21", "issued" : { "date-parts" : [ [ "2011" ] ] }, "note" : "&lt;m:note&gt;Eikelboom, John W&lt;m:linebreak/&gt;Wallentin, Lars&lt;m:linebreak/&gt;Connolly, Stuart J&lt;m:linebreak/&gt;Ezekowitz, Mike&lt;m:linebreak/&gt;Healey, Jeff S&lt;m:linebreak/&gt;Oldgren, Jonas&lt;m:linebreak/&gt;Yang, Sean&lt;m:linebreak/&gt;Alings, Marco&lt;m:linebreak/&gt;Kaatz, Scott&lt;m:linebreak/&gt;Hohnloser, Stefan H&lt;m:linebreak/&gt;Diener, Hans-Christoph&lt;m:linebreak/&gt;Franzosi, Maria Grazia&lt;m:linebreak/&gt;Huber, Kurt&lt;m:linebreak/&gt;Reilly, Paul&lt;m:linebreak/&gt;Varrone, Jeanne&lt;m:linebreak/&gt;Yusuf, Salim&lt;m:linebreak/&gt;Comparative Study&lt;m:linebreak/&gt;Randomized Controlled Trial&lt;m:linebreak/&gt;Research Support, Non-U.S. Gov't&lt;m:linebreak/&gt;United States&lt;m:linebreak/&gt;Circulation&lt;m:linebreak/&gt;Circulation. 2011 May 31;123(21):2363-72. Epub 2011 May 16.&lt;/m:note&gt;",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"(5)" }, "properties" : { "noteIndex" : 0 }, "schema" : "https://github.com/citation-style-language/schema/raw/master/csl-citation.json" }</w:instrText>
            </w:r>
            <w:r w:rsidR="00374E80">
              <w:fldChar w:fldCharType="separate"/>
            </w:r>
            <w:r w:rsidRPr="004B7B0B">
              <w:rPr>
                <w:noProof/>
              </w:rPr>
              <w:t>(5)</w:t>
            </w:r>
            <w:r w:rsidR="00374E80">
              <w:fldChar w:fldCharType="end"/>
            </w:r>
          </w:p>
          <w:p w:rsidR="00834F71" w:rsidRDefault="00834F71" w:rsidP="00834F71"/>
        </w:tc>
      </w:tr>
      <w:tr w:rsidR="00834F71" w:rsidTr="00834F71">
        <w:trPr>
          <w:divId w:val="1548566716"/>
          <w:trHeight w:val="1344"/>
        </w:trPr>
        <w:tc>
          <w:tcPr>
            <w:tcW w:w="2310" w:type="dxa"/>
            <w:vMerge/>
          </w:tcPr>
          <w:p w:rsidR="00834F71" w:rsidRPr="00F15320" w:rsidRDefault="00834F71" w:rsidP="00834F71">
            <w:pPr>
              <w:rPr>
                <w:b/>
              </w:rPr>
            </w:pPr>
          </w:p>
        </w:tc>
        <w:tc>
          <w:tcPr>
            <w:tcW w:w="2309" w:type="dxa"/>
          </w:tcPr>
          <w:p w:rsidR="00834F71" w:rsidRDefault="00834F71" w:rsidP="00834F71">
            <w:r>
              <w:t>Outcome following stroke</w:t>
            </w:r>
          </w:p>
        </w:tc>
        <w:tc>
          <w:tcPr>
            <w:tcW w:w="2311" w:type="dxa"/>
          </w:tcPr>
          <w:p w:rsidR="00834F71" w:rsidRDefault="00834F71" w:rsidP="00834F71">
            <w:pPr>
              <w:jc w:val="left"/>
            </w:pPr>
            <w:r>
              <w:t>Simulation &amp; mapping based approach</w:t>
            </w:r>
          </w:p>
        </w:tc>
        <w:tc>
          <w:tcPr>
            <w:tcW w:w="2312" w:type="dxa"/>
          </w:tcPr>
          <w:p w:rsidR="00834F71" w:rsidRDefault="00834F71" w:rsidP="00834F71">
            <w:r>
              <w:t xml:space="preserve">Method described in companion paper [Ref], using results published in </w:t>
            </w:r>
          </w:p>
          <w:p w:rsidR="00834F71" w:rsidRDefault="00834F71" w:rsidP="00834F71">
            <w:proofErr w:type="spellStart"/>
            <w:r>
              <w:t>Rivero</w:t>
            </w:r>
            <w:proofErr w:type="spellEnd"/>
            <w:r>
              <w:t>-Arias et al 2010</w:t>
            </w:r>
            <w:r w:rsidR="00374E80">
              <w:fldChar w:fldCharType="begin" w:fldLock="1"/>
            </w:r>
            <w:r w:rsidR="009C7509">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"family" : "Rivero-Arias", "given" : "O" }, { "family" : "Ouellet", "given" : "M" }, { "family" : "Gray", "given" : "A" }, { "family" : "Wolstenholme", "given" : "J" }, { "family" : "Rothwell", "given" : "P M" }, { "family" : "Luengo-Fernandez", "given" : "R" } ], "container-title" : "Medical Decision Making", "id" : "ITEM-1", "issue" : "3", "issued" : { "date-parts" : [ [ "2010" ] ] }, "note" : "&lt;m:note&gt;599EH&lt;m:linebreak/&gt;Times Cited:2&lt;m:linebreak/&gt;Cited References Count:28&lt;/m:note&gt;", "page" : "341-354", "title" : "Mapping the Modified Rankin Scale (mRS) Measurement into the Generic EuroQol (EQ-5D) Health Outcome", "type" : "article-journal", "volume" : "30" }, "uris" : [ "http://www.mendeley.com/documents/?uuid=46c5ac94-26e5-463f-b59e-19565ae7b9c4" ] } ], "mendeley" : { "previouslyFormattedCitation" : "(20)" }, "properties" : { "noteIndex" : 0 }, "schema" : "https://github.com/citation-style-language/schema/raw/master/csl-citation.json" }</w:instrText>
            </w:r>
            <w:r w:rsidR="00374E80">
              <w:fldChar w:fldCharType="separate"/>
            </w:r>
            <w:r w:rsidR="009C7509" w:rsidRPr="009C7509">
              <w:rPr>
                <w:noProof/>
              </w:rPr>
              <w:t>(20)</w:t>
            </w:r>
            <w:r w:rsidR="00374E80">
              <w:fldChar w:fldCharType="end"/>
            </w:r>
          </w:p>
        </w:tc>
      </w:tr>
      <w:tr w:rsidR="00834F71" w:rsidTr="00834F71">
        <w:trPr>
          <w:divId w:val="1548566716"/>
          <w:trHeight w:val="109"/>
        </w:trPr>
        <w:tc>
          <w:tcPr>
            <w:tcW w:w="2310" w:type="dxa"/>
            <w:vMerge/>
          </w:tcPr>
          <w:p w:rsidR="00834F71" w:rsidRPr="00F15320" w:rsidRDefault="00834F71" w:rsidP="00834F71">
            <w:pPr>
              <w:rPr>
                <w:b/>
              </w:rPr>
            </w:pPr>
          </w:p>
        </w:tc>
        <w:tc>
          <w:tcPr>
            <w:tcW w:w="2309" w:type="dxa"/>
          </w:tcPr>
          <w:p w:rsidR="00834F71" w:rsidRDefault="00834F71" w:rsidP="00834F71">
            <w:r>
              <w:t>Outcome following a major bleeding event</w:t>
            </w:r>
          </w:p>
        </w:tc>
        <w:tc>
          <w:tcPr>
            <w:tcW w:w="2311" w:type="dxa"/>
          </w:tcPr>
          <w:p w:rsidR="00834F71" w:rsidRDefault="00834F71" w:rsidP="00834F71">
            <w:pPr>
              <w:jc w:val="left"/>
            </w:pPr>
            <w:r>
              <w:t>Previous estimates</w:t>
            </w:r>
          </w:p>
        </w:tc>
        <w:tc>
          <w:tcPr>
            <w:tcW w:w="2312" w:type="dxa"/>
          </w:tcPr>
          <w:p w:rsidR="00834F71" w:rsidRDefault="00834F71" w:rsidP="00834F71"/>
          <w:p w:rsidR="00834F71" w:rsidRDefault="00834F71" w:rsidP="00834F71">
            <w:r>
              <w:t xml:space="preserve"> Simpson et al 2010</w:t>
            </w:r>
            <w:r w:rsidR="00374E80">
              <w:fldChar w:fldCharType="begin" w:fldLock="1"/>
            </w:r>
            <w:r w:rsidR="009C7509">
              <w:instrText>ADDIN CSL_CITATION { "citationItems" : [ { "id" : "ITEM-1", "itemData" : { "DOI" : "10.3310/hta13020", "author" : [ { "family" : "Simpson", "given" : "E L" }, { "family" : "Stevenson", "given" : "M D" }, { "family" : "Rawdin", "given" : "A" }, { "family" : "Papaioannou", "given" : "D" } ], "container-title" : "Health Technology Assessment", "id" : "ITEM-1", "issue" : "2", "issued" : { "date-parts" : [ [ "2009" ] ] }, "note" : "&lt;m:note&gt;&lt;/m:note&gt;", "title" : "Thrombophilia testing in people with venous thromboembolism: systematic review and cost-effectiveness analysis", "type" : "article-journal", "volume" : "13" }, "uris" : [ "http://www.mendeley.com/documents/?uuid=dbac3526-14ee-4ea7-9960-f60763d63120" ] } ], "mendeley" : { "previouslyFormattedCitation" : "(21)" }, "properties" : { "noteIndex" : 0 }, "schema" : "https://github.com/citation-style-language/schema/raw/master/csl-citation.json" }</w:instrText>
            </w:r>
            <w:r w:rsidR="00374E80">
              <w:fldChar w:fldCharType="separate"/>
            </w:r>
            <w:r w:rsidR="009C7509" w:rsidRPr="009C7509">
              <w:rPr>
                <w:noProof/>
              </w:rPr>
              <w:t>(21)</w:t>
            </w:r>
            <w:r w:rsidR="00374E80">
              <w:fldChar w:fldCharType="end"/>
            </w:r>
          </w:p>
        </w:tc>
      </w:tr>
      <w:tr w:rsidR="00834F71" w:rsidTr="00834F71">
        <w:trPr>
          <w:divId w:val="1548566716"/>
          <w:trHeight w:val="612"/>
        </w:trPr>
        <w:tc>
          <w:tcPr>
            <w:tcW w:w="2310" w:type="dxa"/>
            <w:vMerge w:val="restart"/>
          </w:tcPr>
          <w:p w:rsidR="00834F71" w:rsidRPr="00F15320" w:rsidRDefault="00834F71" w:rsidP="00834F71">
            <w:pPr>
              <w:rPr>
                <w:b/>
              </w:rPr>
            </w:pPr>
            <w:r w:rsidRPr="00F15320">
              <w:rPr>
                <w:b/>
              </w:rPr>
              <w:t>Utilities</w:t>
            </w:r>
          </w:p>
        </w:tc>
        <w:tc>
          <w:tcPr>
            <w:tcW w:w="2309" w:type="dxa"/>
          </w:tcPr>
          <w:p w:rsidR="00834F71" w:rsidRDefault="00834F71" w:rsidP="00834F71">
            <w:r>
              <w:t>Baseline utilities by age and gender</w:t>
            </w:r>
          </w:p>
        </w:tc>
        <w:tc>
          <w:tcPr>
            <w:tcW w:w="2311" w:type="dxa"/>
          </w:tcPr>
          <w:p w:rsidR="00834F71" w:rsidRDefault="00834F71" w:rsidP="00834F71">
            <w:r>
              <w:t>Regression based approach</w:t>
            </w:r>
          </w:p>
        </w:tc>
        <w:tc>
          <w:tcPr>
            <w:tcW w:w="2312" w:type="dxa"/>
          </w:tcPr>
          <w:p w:rsidR="00834F71" w:rsidRDefault="00834F71" w:rsidP="00834F71">
            <w:proofErr w:type="spellStart"/>
            <w:r>
              <w:t>Ara</w:t>
            </w:r>
            <w:proofErr w:type="spellEnd"/>
            <w:r>
              <w:t xml:space="preserve"> et al 2010</w:t>
            </w:r>
            <w:r w:rsidR="00374E80">
              <w:fldChar w:fldCharType="begin" w:fldLock="1"/>
            </w:r>
            <w:r w:rsidR="009C7509">
              <w:instrText>ADDIN CSL_CITATION { "citationItems" : [ { "id" : "ITEM-1", "itemData" : { "DOI" : "10.1111/j.1524-4733.2010.00700.x", "abstract" : "The methods used to estimate health-state utility values (HSUV) for multiple health conditions can produce very different values. Economic results generated using baselines of perfect health are not comparable with those generated using baselines adjusted to reflect the HSUVs associated with the health condition. Despite this, there is no guidance on the preferred techniques and little research describing the effect on cost per quality adjusted life-year (QALY) results when using the different methods.", "author" : [ { "family" : "Ara", "given" : "Roberta" }, { "family" : "Brazier", "given" : "John E" } ], "container-title" : "Value in health : the journal of the International Society for Pharmacoeconomics and Outcomes Research", "id" : "ITEM-1", "issue" : "5", "issued" : { "date-parts" : [ [ "2010", "8" ] ] }, "note" : "&lt;m:note&gt;&lt;/m:note&gt;", "page" : "509-18", "title" : "Populating an economic model with health state utility values: moving toward better practice.", "type" : "article-journal", "volume" : "13" }, "uris" : [ "http://www.mendeley.com/documents/?uuid=bfe4d3b7-823a-4c85-b21f-49ab22620108" ] } ], "mendeley" : { "previouslyFormattedCitation" : "(22)" }, "properties" : { "noteIndex" : 0 }, "schema" : "https://github.com/citation-style-language/schema/raw/master/csl-citation.json" }</w:instrText>
            </w:r>
            <w:r w:rsidR="00374E80">
              <w:fldChar w:fldCharType="separate"/>
            </w:r>
            <w:r w:rsidR="009C7509" w:rsidRPr="009C7509">
              <w:rPr>
                <w:noProof/>
              </w:rPr>
              <w:t>(22)</w:t>
            </w:r>
            <w:r w:rsidR="00374E80">
              <w:fldChar w:fldCharType="end"/>
            </w:r>
          </w:p>
          <w:p w:rsidR="00834F71" w:rsidRDefault="00834F71" w:rsidP="00834F71"/>
        </w:tc>
      </w:tr>
      <w:tr w:rsidR="00834F71" w:rsidTr="00834F71">
        <w:trPr>
          <w:divId w:val="1548566716"/>
          <w:trHeight w:val="122"/>
        </w:trPr>
        <w:tc>
          <w:tcPr>
            <w:tcW w:w="2310" w:type="dxa"/>
            <w:vMerge/>
          </w:tcPr>
          <w:p w:rsidR="00834F71" w:rsidRDefault="00834F71" w:rsidP="00834F71"/>
        </w:tc>
        <w:tc>
          <w:tcPr>
            <w:tcW w:w="2309" w:type="dxa"/>
          </w:tcPr>
          <w:p w:rsidR="00834F71" w:rsidRDefault="00834F71" w:rsidP="00834F71">
            <w:r>
              <w:t>Utility multiplier following stroke, utility multiplier following major non-fatal intracranial bleed</w:t>
            </w:r>
          </w:p>
        </w:tc>
        <w:tc>
          <w:tcPr>
            <w:tcW w:w="2311" w:type="dxa"/>
          </w:tcPr>
          <w:p w:rsidR="00834F71" w:rsidRDefault="00834F71" w:rsidP="00834F71">
            <w:pPr>
              <w:jc w:val="left"/>
            </w:pPr>
            <w:r>
              <w:t>Simulation &amp; mapping based approach</w:t>
            </w:r>
          </w:p>
        </w:tc>
        <w:tc>
          <w:tcPr>
            <w:tcW w:w="2312" w:type="dxa"/>
          </w:tcPr>
          <w:p w:rsidR="00834F71" w:rsidRDefault="00834F71" w:rsidP="00834F71">
            <w:r>
              <w:t xml:space="preserve">Method described in companion paper [Ref], using results published in </w:t>
            </w:r>
          </w:p>
          <w:p w:rsidR="00834F71" w:rsidRDefault="00834F71" w:rsidP="00834F71">
            <w:proofErr w:type="spellStart"/>
            <w:r>
              <w:t>Rivero</w:t>
            </w:r>
            <w:proofErr w:type="spellEnd"/>
            <w:r>
              <w:t>-Arias et al 2010</w:t>
            </w:r>
            <w:r w:rsidR="00374E80">
              <w:fldChar w:fldCharType="begin" w:fldLock="1"/>
            </w:r>
            <w:r w:rsidR="009C7509">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"family" : "Rivero-Arias", "given" : "O" }, { "family" : "Ouellet", "given" : "M" }, { "family" : "Gray", "given" : "A" }, { "family" : "Wolstenholme", "given" : "J" }, { "family" : "Rothwell", "given" : "P M" }, { "family" : "Luengo-Fernandez", "given" : "R" } ], "container-title" : "Medical Decision Making", "id" : "ITEM-1", "issue" : "3", "issued" : { "date-parts" : [ [ "2010" ] ] }, "note" : "&lt;m:note&gt;599EH&lt;m:linebreak/&gt;Times Cited:2&lt;m:linebreak/&gt;Cited References Count:28&lt;/m:note&gt;", "page" : "341-354", "title" : "Mapping the Modified Rankin Scale (mRS) Measurement into the Generic EuroQol (EQ-5D) Health Outcome", "type" : "article-journal", "volume" : "30" }, "uris" : [ "http://www.mendeley.com/documents/?uuid=46c5ac94-26e5-463f-b59e-19565ae7b9c4" ] } ], "mendeley" : { "previouslyFormattedCitation" : "(20)" }, "properties" : { "noteIndex" : 0 }, "schema" : "https://github.com/citation-style-language/schema/raw/master/csl-citation.json" }</w:instrText>
            </w:r>
            <w:r w:rsidR="00374E80">
              <w:fldChar w:fldCharType="separate"/>
            </w:r>
            <w:r w:rsidR="009C7509" w:rsidRPr="009C7509">
              <w:rPr>
                <w:noProof/>
              </w:rPr>
              <w:t>(20)</w:t>
            </w:r>
            <w:r w:rsidR="00374E80">
              <w:fldChar w:fldCharType="end"/>
            </w:r>
          </w:p>
        </w:tc>
      </w:tr>
      <w:tr w:rsidR="00834F71" w:rsidTr="00834F71">
        <w:trPr>
          <w:divId w:val="1548566716"/>
          <w:trHeight w:val="258"/>
        </w:trPr>
        <w:tc>
          <w:tcPr>
            <w:tcW w:w="2310" w:type="dxa"/>
            <w:vMerge w:val="restart"/>
          </w:tcPr>
          <w:p w:rsidR="00834F71" w:rsidRPr="00F15320" w:rsidRDefault="00834F71" w:rsidP="00834F71">
            <w:pPr>
              <w:rPr>
                <w:b/>
              </w:rPr>
            </w:pPr>
            <w:r w:rsidRPr="00F15320">
              <w:rPr>
                <w:b/>
              </w:rPr>
              <w:t>Costs</w:t>
            </w:r>
          </w:p>
        </w:tc>
        <w:tc>
          <w:tcPr>
            <w:tcW w:w="2309" w:type="dxa"/>
          </w:tcPr>
          <w:p w:rsidR="00834F71" w:rsidRDefault="00834F71" w:rsidP="00834F71">
            <w:r>
              <w:t xml:space="preserve">Annual cost of </w:t>
            </w:r>
            <w:proofErr w:type="spellStart"/>
            <w:r>
              <w:t>dabigatran</w:t>
            </w:r>
            <w:proofErr w:type="spellEnd"/>
          </w:p>
        </w:tc>
        <w:tc>
          <w:tcPr>
            <w:tcW w:w="2311" w:type="dxa"/>
          </w:tcPr>
          <w:p w:rsidR="00834F71" w:rsidRDefault="00834F71" w:rsidP="00834F71">
            <w:r>
              <w:t>£821.25</w:t>
            </w:r>
          </w:p>
        </w:tc>
        <w:tc>
          <w:tcPr>
            <w:tcW w:w="2312" w:type="dxa"/>
          </w:tcPr>
          <w:p w:rsidR="00834F71" w:rsidRDefault="00834F71" w:rsidP="00834F71">
            <w:r>
              <w:t xml:space="preserve">NICE FAD, 2011 </w:t>
            </w:r>
            <w:r w:rsidR="00374E80">
              <w:fldChar w:fldCharType="begin" w:fldLock="1"/>
            </w:r>
            <w:r w:rsidR="009C7509">
              <w:instrText>ADDIN CSL_CITATION { "citationItems" : [ { "id" : "ITEM-1", "itemData" : { "author" : [ { "family" : "NICE", "given" : "" } ], "id" : "ITEM-1", "issue" : "12 January", "issued" : { "date-parts" : [ [ "2011" ] ] }, "note" : "&lt;m:note/&gt;", "title" : "Dabigatran etexilate for the prevention of stroke and systemic embolism in atrial fibrillation: Final appraisal determination", "type" : "article", "volume" : "2012" }, "uris" : [ "http://www.mendeley.com/documents/?uuid=6d827589-3505-4467-8e9e-7bf24f2e9e81" ] } ], "mendeley" : { "previouslyFormattedCitation" : "(23)" }, "properties" : { "noteIndex" : 0 }, "schema" : "https://github.com/citation-style-language/schema/raw/master/csl-citation.json" }</w:instrText>
            </w:r>
            <w:r w:rsidR="00374E80">
              <w:fldChar w:fldCharType="separate"/>
            </w:r>
            <w:r w:rsidR="009C7509" w:rsidRPr="009C7509">
              <w:rPr>
                <w:noProof/>
              </w:rPr>
              <w:t>(23)</w:t>
            </w:r>
            <w:r w:rsidR="00374E80">
              <w:fldChar w:fldCharType="end"/>
            </w:r>
          </w:p>
          <w:p w:rsidR="00834F71" w:rsidRDefault="00834F71" w:rsidP="00834F71"/>
        </w:tc>
      </w:tr>
      <w:tr w:rsidR="00834F71" w:rsidTr="00834F71">
        <w:trPr>
          <w:divId w:val="1548566716"/>
          <w:trHeight w:val="231"/>
        </w:trPr>
        <w:tc>
          <w:tcPr>
            <w:tcW w:w="2310" w:type="dxa"/>
            <w:vMerge/>
          </w:tcPr>
          <w:p w:rsidR="00834F71" w:rsidRDefault="00834F71" w:rsidP="00834F71"/>
        </w:tc>
        <w:tc>
          <w:tcPr>
            <w:tcW w:w="2309" w:type="dxa"/>
          </w:tcPr>
          <w:p w:rsidR="00834F71" w:rsidRDefault="00834F71" w:rsidP="00834F71">
            <w:r>
              <w:t>Cost of TTE</w:t>
            </w:r>
          </w:p>
        </w:tc>
        <w:tc>
          <w:tcPr>
            <w:tcW w:w="2311" w:type="dxa"/>
          </w:tcPr>
          <w:p w:rsidR="00834F71" w:rsidRDefault="00834F71" w:rsidP="00834F71">
            <w:r>
              <w:t>£66</w:t>
            </w:r>
          </w:p>
        </w:tc>
        <w:tc>
          <w:tcPr>
            <w:tcW w:w="2312" w:type="dxa"/>
          </w:tcPr>
          <w:p w:rsidR="00834F71" w:rsidRDefault="00834F71" w:rsidP="00834F71">
            <w:r>
              <w:t xml:space="preserve">NHS Reference Costs </w:t>
            </w:r>
            <w:r w:rsidR="00374E80">
              <w:fldChar w:fldCharType="begin" w:fldLock="1"/>
            </w:r>
            <w:r w:rsidR="009C7509">
              <w:instrText>ADDIN CSL_CITATION { "citationItems" : [ { "id" : "ITEM-1", "itemData" : { "author" : [ { "family" : "DoH", "given" : "" } ], "id" : "ITEM-1", "issue" : "12 January", "issued" : { "date-parts" : [ [ "2011" ] ] }, "note" : "&lt;m:note&gt;&lt;/m:note&gt;", "publisher" : "Crown", "publisher-place" : "London", "title" : "NHS Reference Costs 2009-2010", "type" : "article", "volume" : "2012" }, "uris" : [ "http://www.mendeley.com/documents/?uuid=83ecf639-a58b-4bc0-9392-407007d1467d" ] } ], "mendeley" : { "previouslyFormattedCitation" : "(24)" }, "properties" : { "noteIndex" : 0 }, "schema" : "https://github.com/citation-style-language/schema/raw/master/csl-citation.json" }</w:instrText>
            </w:r>
            <w:r w:rsidR="00374E80">
              <w:fldChar w:fldCharType="separate"/>
            </w:r>
            <w:r w:rsidR="009C7509" w:rsidRPr="009C7509">
              <w:rPr>
                <w:noProof/>
              </w:rPr>
              <w:t>(24)</w:t>
            </w:r>
            <w:r w:rsidR="00374E80">
              <w:fldChar w:fldCharType="end"/>
            </w:r>
          </w:p>
          <w:p w:rsidR="00834F71" w:rsidRDefault="00834F71" w:rsidP="00834F71"/>
        </w:tc>
      </w:tr>
      <w:tr w:rsidR="00834F71" w:rsidTr="00834F71">
        <w:trPr>
          <w:divId w:val="1548566716"/>
          <w:trHeight w:val="597"/>
        </w:trPr>
        <w:tc>
          <w:tcPr>
            <w:tcW w:w="2310" w:type="dxa"/>
            <w:vMerge/>
          </w:tcPr>
          <w:p w:rsidR="00834F71" w:rsidRDefault="00834F71" w:rsidP="00834F71"/>
        </w:tc>
        <w:tc>
          <w:tcPr>
            <w:tcW w:w="2309" w:type="dxa"/>
          </w:tcPr>
          <w:p w:rsidR="00834F71" w:rsidRDefault="00834F71" w:rsidP="00834F71">
            <w:r>
              <w:t>Cost of death due to stroke</w:t>
            </w:r>
          </w:p>
        </w:tc>
        <w:tc>
          <w:tcPr>
            <w:tcW w:w="2311" w:type="dxa"/>
          </w:tcPr>
          <w:p w:rsidR="00834F71" w:rsidRDefault="00834F71" w:rsidP="00834F71">
            <w:r>
              <w:t xml:space="preserve">£7,019 (95% </w:t>
            </w:r>
            <w:proofErr w:type="spellStart"/>
            <w:r>
              <w:t>CrI</w:t>
            </w:r>
            <w:proofErr w:type="spellEnd"/>
            <w:r>
              <w:t xml:space="preserve"> £6,975 to £7,064)</w:t>
            </w:r>
          </w:p>
        </w:tc>
        <w:tc>
          <w:tcPr>
            <w:tcW w:w="2312" w:type="dxa"/>
          </w:tcPr>
          <w:p w:rsidR="00834F71" w:rsidRDefault="00834F71" w:rsidP="00834F71">
            <w:proofErr w:type="spellStart"/>
            <w:r>
              <w:t>Sandercock</w:t>
            </w:r>
            <w:proofErr w:type="spellEnd"/>
            <w:r>
              <w:t xml:space="preserve"> et al 2002 </w:t>
            </w:r>
            <w:r w:rsidR="00374E80">
              <w:fldChar w:fldCharType="begin" w:fldLock="1"/>
            </w:r>
            <w:r w:rsidR="009C7509">
              <w:instrText>ADDIN CSL_CITATION { "citationItems" : [ { "id" : "ITEM-1", "itemData" : { "author" : [ { "family" : "Sandercock", "given" : "P" }, { "family" : "Berge", "given" : "E" }, { "family" : "Dennis", "given" : "M" }, { "family" : "Forbes", "given" : "J" }, { "family" : "Hand", "given" : "P" }, { "family" : "Kwan", "given" : "J" }, { "family" : "Lewis", "given" : "S" }, { "family" : "Lindley", "given" : "R" }, { "family" : "Neilson", "given" : "A" }, { "family" : "Thomas", "given" : "B" }, { "family" : "Wardlaw", "given" : "J" } ], "container-title" : "Health Technology Assessment", "id" : "ITEM-1", "issue" : "26", "issued" : { "date-parts" : [ [ "2002" ] ] }, "note" : "&lt;m:note/&gt;", "title" : "A systematic review of the effectiveness, cost-effectiveness and barriers to implementation of thrombolytic and neuroprotective therapy for acute ischaemic stroke in the NHS", "type" : "article-journal", "volume" : "6" }, "uris" : [ "http://www.mendeley.com/documents/?uuid=bd4d8f3a-ea79-42f8-98dd-23e6f4f46cb5" ] } ], "mendeley" : { "previouslyFormattedCitation" : "(25)" }, "properties" : { "noteIndex" : 0 }, "schema" : "https://github.com/citation-style-language/schema/raw/master/csl-citation.json" }</w:instrText>
            </w:r>
            <w:r w:rsidR="00374E80">
              <w:fldChar w:fldCharType="separate"/>
            </w:r>
            <w:r w:rsidR="009C7509" w:rsidRPr="009C7509">
              <w:rPr>
                <w:noProof/>
              </w:rPr>
              <w:t>(25)</w:t>
            </w:r>
            <w:r w:rsidR="00374E80">
              <w:fldChar w:fldCharType="end"/>
            </w:r>
          </w:p>
          <w:p w:rsidR="00834F71" w:rsidRDefault="00834F71" w:rsidP="00834F71"/>
        </w:tc>
      </w:tr>
      <w:tr w:rsidR="00834F71" w:rsidTr="00834F71">
        <w:trPr>
          <w:divId w:val="1548566716"/>
          <w:trHeight w:val="1630"/>
        </w:trPr>
        <w:tc>
          <w:tcPr>
            <w:tcW w:w="2310" w:type="dxa"/>
            <w:vMerge/>
          </w:tcPr>
          <w:p w:rsidR="00834F71" w:rsidRDefault="00834F71" w:rsidP="00834F71"/>
        </w:tc>
        <w:tc>
          <w:tcPr>
            <w:tcW w:w="2309" w:type="dxa"/>
          </w:tcPr>
          <w:p w:rsidR="00834F71" w:rsidRDefault="00834F71" w:rsidP="00834F71">
            <w:r>
              <w:t>Costs in stroke survivors</w:t>
            </w:r>
          </w:p>
        </w:tc>
        <w:tc>
          <w:tcPr>
            <w:tcW w:w="2311" w:type="dxa"/>
          </w:tcPr>
          <w:p w:rsidR="00834F71" w:rsidRDefault="00834F71" w:rsidP="00834F71">
            <w:r>
              <w:t>Various. Differing according to dependent and independent states. Subdivided into ongoing and continuing costs</w:t>
            </w:r>
          </w:p>
        </w:tc>
        <w:tc>
          <w:tcPr>
            <w:tcW w:w="2312" w:type="dxa"/>
          </w:tcPr>
          <w:p w:rsidR="00834F71" w:rsidRDefault="00834F71" w:rsidP="00834F71">
            <w:r>
              <w:t>NHS Reference Costs</w:t>
            </w:r>
            <w:r w:rsidR="00374E80">
              <w:fldChar w:fldCharType="begin" w:fldLock="1"/>
            </w:r>
            <w:r w:rsidR="009C7509">
              <w:instrText>ADDIN CSL_CITATION { "citationItems" : [ { "id" : "ITEM-1", "itemData" : { "author" : [ { "family" : "DoH", "given" : "" } ], "id" : "ITEM-1", "issue" : "12 January", "issued" : { "date-parts" : [ [ "2011" ] ] }, "note" : "&lt;m:note&gt;&lt;/m:note&gt;", "publisher" : "Crown", "publisher-place" : "London", "title" : "NHS Reference Costs 2009-2010", "type" : "article", "volume" : "2012" }, "uris" : [ "http://www.mendeley.com/documents/?uuid=83ecf639-a58b-4bc0-9392-407007d1467d" ] } ], "mendeley" : { "previouslyFormattedCitation" : "(24)" }, "properties" : { "noteIndex" : 0 }, "schema" : "https://github.com/citation-style-language/schema/raw/master/csl-citation.json" }</w:instrText>
            </w:r>
            <w:r w:rsidR="00374E80">
              <w:fldChar w:fldCharType="separate"/>
            </w:r>
            <w:r w:rsidR="009C7509" w:rsidRPr="009C7509">
              <w:rPr>
                <w:noProof/>
              </w:rPr>
              <w:t>(24)</w:t>
            </w:r>
            <w:r w:rsidR="00374E80">
              <w:fldChar w:fldCharType="end"/>
            </w:r>
          </w:p>
          <w:p w:rsidR="00834F71" w:rsidRDefault="00834F71" w:rsidP="00834F71">
            <w:r>
              <w:t xml:space="preserve">NHS Stroke Strategy Impact Assessment </w:t>
            </w:r>
            <w:r w:rsidR="00374E80">
              <w:fldChar w:fldCharType="begin" w:fldLock="1"/>
            </w:r>
            <w:r w:rsidR="009C7509">
              <w:instrText>ADDIN CSL_CITATION { "citationItems" : [ { "id" : "ITEM-1", "itemData" : { "author" : [ { "family" : "NHS", "given" : "" } ], "id" : "ITEM-1", "issue" : "13 January", "issued" : { "date-parts" : [ [ "2007" ] ] }, "note" : "&lt;m:note/&gt;", "title" : "National Stroke Strategy Impact Assessment", "type" : "article", "volume" : "2012" }, "uris" : [ "http://www.mendeley.com/documents/?uuid=a0421089-5288-4a8d-a7a4-42744d167907" ] } ], "mendeley" : { "previouslyFormattedCitation" : "(26)" }, "properties" : { "noteIndex" : 0 }, "schema" : "https://github.com/citation-style-language/schema/raw/master/csl-citation.json" }</w:instrText>
            </w:r>
            <w:r w:rsidR="00374E80">
              <w:fldChar w:fldCharType="separate"/>
            </w:r>
            <w:r w:rsidR="009C7509" w:rsidRPr="009C7509">
              <w:rPr>
                <w:noProof/>
              </w:rPr>
              <w:t>(26)</w:t>
            </w:r>
            <w:r w:rsidR="00374E80">
              <w:fldChar w:fldCharType="end"/>
            </w:r>
          </w:p>
          <w:p w:rsidR="00834F71" w:rsidRDefault="00834F71" w:rsidP="00834F71">
            <w:r>
              <w:t>Unit Costs of Health and Social Care 2010</w:t>
            </w:r>
            <w:r w:rsidR="00374E80">
              <w:fldChar w:fldCharType="begin" w:fldLock="1"/>
            </w:r>
            <w:r w:rsidR="009C7509">
              <w:instrText>ADDIN CSL_CITATION { "citationItems" : [ { "id" : "ITEM-1", "itemData" : { "author" : [ { "family" : "Curtis", "given" : "L" } ], "id" : "ITEM-1", "issued" : { "date-parts" : [ [ "2010" ] ] }, "note" : "&lt;m:note&gt;&lt;/m:note&gt;", "page" : "257", "publisher-place" : "Kent", "title" : "Unit Costs of Health and Social Care 2010", "type" : "report" }, "uris" : [ "http://www.mendeley.com/documents/?uuid=83ce0d2a-1f8f-4642-908d-f6d610aa3940" ] } ], "mendeley" : { "previouslyFormattedCitation" : "(27)" }, "properties" : { "noteIndex" : 0 }, "schema" : "https://github.com/citation-style-language/schema/raw/master/csl-citation.json" }</w:instrText>
            </w:r>
            <w:r w:rsidR="00374E80">
              <w:fldChar w:fldCharType="separate"/>
            </w:r>
            <w:r w:rsidR="009C7509" w:rsidRPr="009C7509">
              <w:rPr>
                <w:noProof/>
              </w:rPr>
              <w:t>(27)</w:t>
            </w:r>
            <w:r w:rsidR="00374E80">
              <w:fldChar w:fldCharType="end"/>
            </w:r>
          </w:p>
          <w:p w:rsidR="00834F71" w:rsidRDefault="00834F71" w:rsidP="00834F71"/>
        </w:tc>
      </w:tr>
      <w:tr w:rsidR="00834F71" w:rsidTr="00834F71">
        <w:trPr>
          <w:divId w:val="1548566716"/>
          <w:trHeight w:val="231"/>
        </w:trPr>
        <w:tc>
          <w:tcPr>
            <w:tcW w:w="2310" w:type="dxa"/>
            <w:vMerge/>
          </w:tcPr>
          <w:p w:rsidR="00834F71" w:rsidRDefault="00834F71" w:rsidP="00834F71"/>
        </w:tc>
        <w:tc>
          <w:tcPr>
            <w:tcW w:w="2309" w:type="dxa"/>
          </w:tcPr>
          <w:p w:rsidR="00834F71" w:rsidRDefault="00834F71" w:rsidP="00834F71">
            <w:r>
              <w:t>Costs of fatal bleed</w:t>
            </w:r>
          </w:p>
        </w:tc>
        <w:tc>
          <w:tcPr>
            <w:tcW w:w="4623" w:type="dxa"/>
            <w:gridSpan w:val="2"/>
          </w:tcPr>
          <w:p w:rsidR="00834F71" w:rsidRDefault="00834F71" w:rsidP="00834F71">
            <w:r>
              <w:t>Assumed identical to costs of death due to stroke</w:t>
            </w:r>
          </w:p>
        </w:tc>
      </w:tr>
      <w:tr w:rsidR="00834F71" w:rsidTr="00834F71">
        <w:trPr>
          <w:divId w:val="1548566716"/>
          <w:trHeight w:val="122"/>
        </w:trPr>
        <w:tc>
          <w:tcPr>
            <w:tcW w:w="2310" w:type="dxa"/>
            <w:vMerge/>
          </w:tcPr>
          <w:p w:rsidR="00834F71" w:rsidRDefault="00834F71" w:rsidP="00834F71"/>
        </w:tc>
        <w:tc>
          <w:tcPr>
            <w:tcW w:w="2309" w:type="dxa"/>
          </w:tcPr>
          <w:p w:rsidR="00834F71" w:rsidRDefault="00834F71" w:rsidP="00834F71">
            <w:r>
              <w:t>Costs of nonfatal bleed</w:t>
            </w:r>
          </w:p>
        </w:tc>
        <w:tc>
          <w:tcPr>
            <w:tcW w:w="2311" w:type="dxa"/>
          </w:tcPr>
          <w:p w:rsidR="00834F71" w:rsidRDefault="00834F71" w:rsidP="00834F71">
            <w:r>
              <w:t>Various</w:t>
            </w:r>
          </w:p>
          <w:p w:rsidR="00834F71" w:rsidRDefault="00834F71" w:rsidP="00834F71">
            <w:pPr>
              <w:jc w:val="left"/>
            </w:pPr>
            <w:r>
              <w:t>Depends on whether bleed is gastrointestinal or intracranial. If intracranial, depends on severity of resulting disability</w:t>
            </w:r>
          </w:p>
        </w:tc>
        <w:tc>
          <w:tcPr>
            <w:tcW w:w="2312" w:type="dxa"/>
          </w:tcPr>
          <w:p w:rsidR="00834F71" w:rsidRDefault="00834F71" w:rsidP="00834F71">
            <w:pPr>
              <w:keepNext/>
            </w:pPr>
            <w:r>
              <w:t>NHs Reference Costs</w:t>
            </w:r>
            <w:r w:rsidR="00374E80">
              <w:fldChar w:fldCharType="begin" w:fldLock="1"/>
            </w:r>
            <w:r w:rsidR="009C7509">
              <w:instrText>ADDIN CSL_CITATION { "citationItems" : [ { "id" : "ITEM-1", "itemData" : { "author" : [ { "family" : "DoH", "given" : "" } ], "id" : "ITEM-1", "issue" : "12 January", "issued" : { "date-parts" : [ [ "2011" ] ] }, "note" : "&lt;m:note&gt;&lt;/m:note&gt;", "publisher" : "Crown", "publisher-place" : "London", "title" : "NHS Reference Costs 2009-2010", "type" : "article", "volume" : "2012" }, "uris" : [ "http://www.mendeley.com/documents/?uuid=83ecf639-a58b-4bc0-9392-407007d1467d" ] } ], "mendeley" : { "previouslyFormattedCitation" : "(24)" }, "properties" : { "noteIndex" : 0 }, "schema" : "https://github.com/citation-style-language/schema/raw/master/csl-citation.json" }</w:instrText>
            </w:r>
            <w:r w:rsidR="00374E80">
              <w:fldChar w:fldCharType="separate"/>
            </w:r>
            <w:r w:rsidR="009C7509" w:rsidRPr="009C7509">
              <w:rPr>
                <w:noProof/>
              </w:rPr>
              <w:t>(24)</w:t>
            </w:r>
            <w:r w:rsidR="00374E80">
              <w:fldChar w:fldCharType="end"/>
            </w:r>
          </w:p>
          <w:p w:rsidR="00834F71" w:rsidRDefault="00834F71" w:rsidP="00834F71">
            <w:pPr>
              <w:keepNext/>
            </w:pPr>
          </w:p>
        </w:tc>
      </w:tr>
    </w:tbl>
    <w:p w:rsidR="00834F71" w:rsidRDefault="00834F71" w:rsidP="00834F71">
      <w:pPr>
        <w:pStyle w:val="Caption"/>
        <w:divId w:val="1548566716"/>
      </w:pPr>
      <w:bookmarkStart w:id="5" w:name="_Ref321401422"/>
      <w:r>
        <w:t xml:space="preserve">Table </w:t>
      </w:r>
      <w:fldSimple w:instr=" SEQ Table \* ARABIC ">
        <w:r>
          <w:rPr>
            <w:noProof/>
          </w:rPr>
          <w:t>3</w:t>
        </w:r>
      </w:fldSimple>
      <w:bookmarkEnd w:id="5"/>
      <w:r>
        <w:t xml:space="preserve"> Parameters used in model</w:t>
      </w:r>
    </w:p>
    <w:tbl>
      <w:tblPr>
        <w:tblStyle w:val="TableGrid"/>
        <w:tblW w:w="9889" w:type="dxa"/>
        <w:tblLayout w:type="fixed"/>
        <w:tblLook w:val="04A0"/>
      </w:tblPr>
      <w:tblGrid>
        <w:gridCol w:w="675"/>
        <w:gridCol w:w="1985"/>
        <w:gridCol w:w="850"/>
        <w:gridCol w:w="851"/>
        <w:gridCol w:w="992"/>
        <w:gridCol w:w="851"/>
        <w:gridCol w:w="992"/>
        <w:gridCol w:w="992"/>
        <w:gridCol w:w="851"/>
        <w:gridCol w:w="850"/>
      </w:tblGrid>
      <w:tr w:rsidR="00834F71" w:rsidRPr="00EF4EB9" w:rsidTr="00834F71">
        <w:trPr>
          <w:divId w:val="1548566716"/>
        </w:trPr>
        <w:tc>
          <w:tcPr>
            <w:tcW w:w="2660" w:type="dxa"/>
            <w:gridSpan w:val="2"/>
          </w:tcPr>
          <w:p w:rsidR="00834F71" w:rsidRPr="00EF4EB9" w:rsidRDefault="00834F71" w:rsidP="00834F71"/>
        </w:tc>
        <w:tc>
          <w:tcPr>
            <w:tcW w:w="850" w:type="dxa"/>
          </w:tcPr>
          <w:p w:rsidR="00834F71" w:rsidRPr="00EF4EB9" w:rsidRDefault="00834F71" w:rsidP="00834F71"/>
        </w:tc>
        <w:tc>
          <w:tcPr>
            <w:tcW w:w="2694" w:type="dxa"/>
            <w:gridSpan w:val="3"/>
          </w:tcPr>
          <w:p w:rsidR="00834F71" w:rsidRPr="00EF4EB9" w:rsidRDefault="00834F71" w:rsidP="00834F71">
            <w:r w:rsidRPr="00EF4EB9">
              <w:t>Cause of Death (%)</w:t>
            </w:r>
          </w:p>
        </w:tc>
        <w:tc>
          <w:tcPr>
            <w:tcW w:w="3685" w:type="dxa"/>
            <w:gridSpan w:val="4"/>
          </w:tcPr>
          <w:p w:rsidR="00834F71" w:rsidRPr="00EF4EB9" w:rsidRDefault="00834F71" w:rsidP="00834F71">
            <w:r w:rsidRPr="00EF4EB9">
              <w:t>Average Number of Events</w:t>
            </w:r>
          </w:p>
        </w:tc>
      </w:tr>
      <w:tr w:rsidR="00834F71" w:rsidRPr="00EF4EB9" w:rsidTr="00834F71">
        <w:trPr>
          <w:divId w:val="1548566716"/>
        </w:trPr>
        <w:tc>
          <w:tcPr>
            <w:tcW w:w="675" w:type="dxa"/>
          </w:tcPr>
          <w:p w:rsidR="00834F71" w:rsidRPr="00EF4EB9" w:rsidRDefault="00834F71" w:rsidP="00834F71"/>
        </w:tc>
        <w:tc>
          <w:tcPr>
            <w:tcW w:w="1985" w:type="dxa"/>
          </w:tcPr>
          <w:p w:rsidR="00834F71" w:rsidRPr="00EF4EB9" w:rsidRDefault="00834F71" w:rsidP="00834F71">
            <w:r w:rsidRPr="00EF4EB9">
              <w:t>Strategy</w:t>
            </w:r>
          </w:p>
        </w:tc>
        <w:tc>
          <w:tcPr>
            <w:tcW w:w="850" w:type="dxa"/>
          </w:tcPr>
          <w:p w:rsidR="00834F71" w:rsidRPr="00EF4EB9" w:rsidRDefault="00834F71" w:rsidP="00834F71">
            <w:r w:rsidRPr="00EF4EB9">
              <w:t>Life Years</w:t>
            </w:r>
          </w:p>
        </w:tc>
        <w:tc>
          <w:tcPr>
            <w:tcW w:w="851" w:type="dxa"/>
          </w:tcPr>
          <w:p w:rsidR="00834F71" w:rsidRPr="00EF4EB9" w:rsidRDefault="00834F71" w:rsidP="00834F71">
            <w:r w:rsidRPr="00EF4EB9">
              <w:t>Stroke</w:t>
            </w:r>
          </w:p>
        </w:tc>
        <w:tc>
          <w:tcPr>
            <w:tcW w:w="992" w:type="dxa"/>
          </w:tcPr>
          <w:p w:rsidR="00834F71" w:rsidRPr="00EF4EB9" w:rsidRDefault="00834F71" w:rsidP="00834F71">
            <w:r w:rsidRPr="00EF4EB9">
              <w:t>Bleed</w:t>
            </w:r>
          </w:p>
        </w:tc>
        <w:tc>
          <w:tcPr>
            <w:tcW w:w="851" w:type="dxa"/>
          </w:tcPr>
          <w:p w:rsidR="00834F71" w:rsidRPr="00EF4EB9" w:rsidRDefault="00834F71" w:rsidP="00834F71">
            <w:r w:rsidRPr="00EF4EB9">
              <w:t>Other</w:t>
            </w:r>
          </w:p>
        </w:tc>
        <w:tc>
          <w:tcPr>
            <w:tcW w:w="992" w:type="dxa"/>
          </w:tcPr>
          <w:p w:rsidR="00834F71" w:rsidRPr="00EF4EB9" w:rsidRDefault="00834F71" w:rsidP="00834F71">
            <w:r w:rsidRPr="00EF4EB9">
              <w:t>Dep</w:t>
            </w:r>
            <w:r>
              <w:t xml:space="preserve">. </w:t>
            </w:r>
            <w:r w:rsidRPr="00EF4EB9">
              <w:t>Strokes</w:t>
            </w:r>
          </w:p>
        </w:tc>
        <w:tc>
          <w:tcPr>
            <w:tcW w:w="992" w:type="dxa"/>
          </w:tcPr>
          <w:p w:rsidR="00834F71" w:rsidRPr="00EF4EB9" w:rsidRDefault="00834F71" w:rsidP="00834F71">
            <w:r w:rsidRPr="00EF4EB9">
              <w:t>Ind</w:t>
            </w:r>
            <w:r>
              <w:t>.</w:t>
            </w:r>
            <w:r w:rsidRPr="00EF4EB9">
              <w:t xml:space="preserve"> Strokes</w:t>
            </w:r>
          </w:p>
        </w:tc>
        <w:tc>
          <w:tcPr>
            <w:tcW w:w="851" w:type="dxa"/>
          </w:tcPr>
          <w:p w:rsidR="00834F71" w:rsidRPr="00EF4EB9" w:rsidRDefault="00834F71" w:rsidP="00834F71">
            <w:r w:rsidRPr="00EF4EB9">
              <w:t>ICH</w:t>
            </w:r>
          </w:p>
        </w:tc>
        <w:tc>
          <w:tcPr>
            <w:tcW w:w="850" w:type="dxa"/>
          </w:tcPr>
          <w:p w:rsidR="00834F71" w:rsidRPr="00EF4EB9" w:rsidRDefault="00834F71" w:rsidP="00834F71">
            <w:r w:rsidRPr="00EF4EB9">
              <w:t>NICH</w:t>
            </w:r>
          </w:p>
        </w:tc>
      </w:tr>
      <w:tr w:rsidR="00834F71" w:rsidRPr="00EF4EB9" w:rsidTr="00834F71">
        <w:trPr>
          <w:divId w:val="1548566716"/>
          <w:trHeight w:val="558"/>
        </w:trPr>
        <w:tc>
          <w:tcPr>
            <w:tcW w:w="675" w:type="dxa"/>
            <w:vMerge w:val="restart"/>
            <w:textDirection w:val="btLr"/>
          </w:tcPr>
          <w:p w:rsidR="00834F71" w:rsidRPr="00EF4EB9" w:rsidRDefault="00834F71" w:rsidP="00834F71">
            <w:r>
              <w:t>CHADS</w:t>
            </w:r>
            <w:r w:rsidRPr="00DF7E46">
              <w:rPr>
                <w:vertAlign w:val="subscript"/>
              </w:rPr>
              <w:t>2</w:t>
            </w:r>
          </w:p>
        </w:tc>
        <w:tc>
          <w:tcPr>
            <w:tcW w:w="1985" w:type="dxa"/>
          </w:tcPr>
          <w:p w:rsidR="00834F71" w:rsidRPr="00EF4EB9" w:rsidRDefault="00834F71" w:rsidP="00834F71">
            <w:r w:rsidRPr="00EF4EB9">
              <w:t>No initial treatment</w:t>
            </w:r>
          </w:p>
        </w:tc>
        <w:tc>
          <w:tcPr>
            <w:tcW w:w="850" w:type="dxa"/>
            <w:vAlign w:val="bottom"/>
          </w:tcPr>
          <w:p w:rsidR="00834F71" w:rsidRPr="00EF4EB9" w:rsidRDefault="00500063" w:rsidP="00834F71">
            <w:r>
              <w:t>20.02</w:t>
            </w:r>
          </w:p>
        </w:tc>
        <w:tc>
          <w:tcPr>
            <w:tcW w:w="851" w:type="dxa"/>
            <w:vAlign w:val="bottom"/>
          </w:tcPr>
          <w:p w:rsidR="00834F71" w:rsidRPr="00EF4EB9" w:rsidRDefault="00834F71" w:rsidP="00834F71">
            <w:r w:rsidRPr="00EF4EB9">
              <w:t>12.2</w:t>
            </w:r>
          </w:p>
        </w:tc>
        <w:tc>
          <w:tcPr>
            <w:tcW w:w="992" w:type="dxa"/>
            <w:vAlign w:val="bottom"/>
          </w:tcPr>
          <w:p w:rsidR="00834F71" w:rsidRPr="00EF4EB9" w:rsidRDefault="00834F71" w:rsidP="00834F71">
            <w:r w:rsidRPr="00EF4EB9">
              <w:t>1.4</w:t>
            </w:r>
          </w:p>
        </w:tc>
        <w:tc>
          <w:tcPr>
            <w:tcW w:w="851" w:type="dxa"/>
            <w:vAlign w:val="bottom"/>
          </w:tcPr>
          <w:p w:rsidR="00834F71" w:rsidRPr="00EF4EB9" w:rsidRDefault="00834F71" w:rsidP="00834F71">
            <w:r w:rsidRPr="00EF4EB9">
              <w:t>86.4</w:t>
            </w:r>
          </w:p>
        </w:tc>
        <w:tc>
          <w:tcPr>
            <w:tcW w:w="992" w:type="dxa"/>
            <w:vAlign w:val="bottom"/>
          </w:tcPr>
          <w:p w:rsidR="00834F71" w:rsidRPr="00EF4EB9" w:rsidRDefault="00834F71" w:rsidP="00834F71">
            <w:r w:rsidRPr="00EF4EB9">
              <w:t>0.115</w:t>
            </w:r>
          </w:p>
        </w:tc>
        <w:tc>
          <w:tcPr>
            <w:tcW w:w="992" w:type="dxa"/>
            <w:vAlign w:val="bottom"/>
          </w:tcPr>
          <w:p w:rsidR="00834F71" w:rsidRPr="00EF4EB9" w:rsidRDefault="00834F71" w:rsidP="00834F71">
            <w:r w:rsidRPr="00EF4EB9">
              <w:t>0.262</w:t>
            </w:r>
          </w:p>
        </w:tc>
        <w:tc>
          <w:tcPr>
            <w:tcW w:w="851" w:type="dxa"/>
            <w:vAlign w:val="bottom"/>
          </w:tcPr>
          <w:p w:rsidR="00834F71" w:rsidRPr="00EF4EB9" w:rsidRDefault="00834F71" w:rsidP="00834F71">
            <w:r w:rsidRPr="00EF4EB9">
              <w:t>0.011</w:t>
            </w:r>
          </w:p>
        </w:tc>
        <w:tc>
          <w:tcPr>
            <w:tcW w:w="850" w:type="dxa"/>
            <w:vAlign w:val="bottom"/>
          </w:tcPr>
          <w:p w:rsidR="00834F71" w:rsidRPr="00EF4EB9" w:rsidRDefault="00834F71" w:rsidP="00834F71">
            <w:r w:rsidRPr="00EF4EB9">
              <w:t>0.082</w:t>
            </w:r>
          </w:p>
        </w:tc>
      </w:tr>
      <w:tr w:rsidR="00834F71" w:rsidRPr="00EF4EB9" w:rsidTr="00834F71">
        <w:trPr>
          <w:divId w:val="1548566716"/>
          <w:trHeight w:val="1150"/>
        </w:trPr>
        <w:tc>
          <w:tcPr>
            <w:tcW w:w="675" w:type="dxa"/>
            <w:vMerge/>
            <w:tcBorders>
              <w:bottom w:val="single" w:sz="4" w:space="0" w:color="auto"/>
            </w:tcBorders>
          </w:tcPr>
          <w:p w:rsidR="00834F71" w:rsidRPr="00EF4EB9" w:rsidRDefault="00834F71" w:rsidP="00834F71"/>
        </w:tc>
        <w:tc>
          <w:tcPr>
            <w:tcW w:w="1985" w:type="dxa"/>
            <w:tcBorders>
              <w:bottom w:val="single" w:sz="4" w:space="0" w:color="auto"/>
            </w:tcBorders>
          </w:tcPr>
          <w:p w:rsidR="00834F71" w:rsidRDefault="00834F71" w:rsidP="00834F71">
            <w:r w:rsidRPr="00EF4EB9">
              <w:t>TTE with those diagnosed with LA ABN</w:t>
            </w:r>
          </w:p>
          <w:p w:rsidR="00834F71" w:rsidRPr="00EF4EB9" w:rsidRDefault="00834F71" w:rsidP="00834F71">
            <w:r w:rsidRPr="00EF4EB9">
              <w:t>treated</w:t>
            </w:r>
          </w:p>
        </w:tc>
        <w:tc>
          <w:tcPr>
            <w:tcW w:w="850" w:type="dxa"/>
            <w:tcBorders>
              <w:bottom w:val="single" w:sz="4" w:space="0" w:color="auto"/>
            </w:tcBorders>
            <w:vAlign w:val="bottom"/>
          </w:tcPr>
          <w:p w:rsidR="00834F71" w:rsidRPr="00EF4EB9" w:rsidRDefault="00500063" w:rsidP="00834F71">
            <w:r>
              <w:t>20.17</w:t>
            </w:r>
          </w:p>
        </w:tc>
        <w:tc>
          <w:tcPr>
            <w:tcW w:w="851" w:type="dxa"/>
            <w:tcBorders>
              <w:bottom w:val="single" w:sz="4" w:space="0" w:color="auto"/>
            </w:tcBorders>
            <w:vAlign w:val="bottom"/>
          </w:tcPr>
          <w:p w:rsidR="00834F71" w:rsidRPr="00EF4EB9" w:rsidRDefault="00834F71" w:rsidP="00834F71">
            <w:r w:rsidRPr="00EF4EB9">
              <w:t>10.9</w:t>
            </w:r>
          </w:p>
        </w:tc>
        <w:tc>
          <w:tcPr>
            <w:tcW w:w="992" w:type="dxa"/>
            <w:tcBorders>
              <w:bottom w:val="single" w:sz="4" w:space="0" w:color="auto"/>
            </w:tcBorders>
            <w:vAlign w:val="bottom"/>
          </w:tcPr>
          <w:p w:rsidR="00834F71" w:rsidRPr="00EF4EB9" w:rsidRDefault="00834F71" w:rsidP="00834F71">
            <w:r w:rsidRPr="00EF4EB9">
              <w:t>1.8</w:t>
            </w:r>
          </w:p>
        </w:tc>
        <w:tc>
          <w:tcPr>
            <w:tcW w:w="851" w:type="dxa"/>
            <w:tcBorders>
              <w:bottom w:val="single" w:sz="4" w:space="0" w:color="auto"/>
            </w:tcBorders>
            <w:vAlign w:val="bottom"/>
          </w:tcPr>
          <w:p w:rsidR="00834F71" w:rsidRPr="00EF4EB9" w:rsidRDefault="00834F71" w:rsidP="00834F71">
            <w:r w:rsidRPr="00EF4EB9">
              <w:t>87.3</w:t>
            </w:r>
          </w:p>
        </w:tc>
        <w:tc>
          <w:tcPr>
            <w:tcW w:w="992" w:type="dxa"/>
            <w:tcBorders>
              <w:bottom w:val="single" w:sz="4" w:space="0" w:color="auto"/>
            </w:tcBorders>
            <w:vAlign w:val="bottom"/>
          </w:tcPr>
          <w:p w:rsidR="00834F71" w:rsidRPr="00EF4EB9" w:rsidRDefault="00834F71" w:rsidP="00834F71">
            <w:r w:rsidRPr="00EF4EB9">
              <w:t>0.104</w:t>
            </w:r>
          </w:p>
        </w:tc>
        <w:tc>
          <w:tcPr>
            <w:tcW w:w="992" w:type="dxa"/>
            <w:tcBorders>
              <w:bottom w:val="single" w:sz="4" w:space="0" w:color="auto"/>
            </w:tcBorders>
            <w:vAlign w:val="bottom"/>
          </w:tcPr>
          <w:p w:rsidR="00834F71" w:rsidRPr="00EF4EB9" w:rsidRDefault="00834F71" w:rsidP="00834F71">
            <w:r w:rsidRPr="00EF4EB9">
              <w:t>0.235</w:t>
            </w:r>
          </w:p>
        </w:tc>
        <w:tc>
          <w:tcPr>
            <w:tcW w:w="851" w:type="dxa"/>
            <w:tcBorders>
              <w:bottom w:val="single" w:sz="4" w:space="0" w:color="auto"/>
            </w:tcBorders>
            <w:vAlign w:val="bottom"/>
          </w:tcPr>
          <w:p w:rsidR="00834F71" w:rsidRPr="00EF4EB9" w:rsidRDefault="00834F71" w:rsidP="00834F71">
            <w:r w:rsidRPr="00EF4EB9">
              <w:t>0.014</w:t>
            </w:r>
          </w:p>
        </w:tc>
        <w:tc>
          <w:tcPr>
            <w:tcW w:w="850" w:type="dxa"/>
            <w:tcBorders>
              <w:bottom w:val="single" w:sz="4" w:space="0" w:color="auto"/>
            </w:tcBorders>
            <w:vAlign w:val="bottom"/>
          </w:tcPr>
          <w:p w:rsidR="00834F71" w:rsidRPr="00EF4EB9" w:rsidRDefault="00834F71" w:rsidP="00834F71">
            <w:r w:rsidRPr="00EF4EB9">
              <w:t>0.109</w:t>
            </w:r>
          </w:p>
        </w:tc>
      </w:tr>
      <w:tr w:rsidR="00834F71" w:rsidRPr="00EF4EB9" w:rsidTr="00834F71">
        <w:trPr>
          <w:divId w:val="1548566716"/>
          <w:cantSplit/>
          <w:trHeight w:val="535"/>
        </w:trPr>
        <w:tc>
          <w:tcPr>
            <w:tcW w:w="675" w:type="dxa"/>
            <w:vMerge w:val="restart"/>
            <w:textDirection w:val="btLr"/>
          </w:tcPr>
          <w:p w:rsidR="00834F71" w:rsidRPr="00EF4EB9" w:rsidRDefault="00834F71" w:rsidP="00834F71">
            <w:r>
              <w:t>CHA</w:t>
            </w:r>
            <w:r w:rsidRPr="00DF7E46">
              <w:rPr>
                <w:vertAlign w:val="subscript"/>
              </w:rPr>
              <w:t>2</w:t>
            </w:r>
            <w:r>
              <w:t>DS</w:t>
            </w:r>
            <w:r w:rsidRPr="00DF7E46">
              <w:rPr>
                <w:vertAlign w:val="subscript"/>
              </w:rPr>
              <w:t>2</w:t>
            </w:r>
            <w:r>
              <w:t>-VASc</w:t>
            </w:r>
          </w:p>
        </w:tc>
        <w:tc>
          <w:tcPr>
            <w:tcW w:w="1985" w:type="dxa"/>
            <w:tcBorders>
              <w:bottom w:val="single" w:sz="4" w:space="0" w:color="auto"/>
            </w:tcBorders>
          </w:tcPr>
          <w:p w:rsidR="00834F71" w:rsidRPr="00EF4EB9" w:rsidRDefault="00834F71" w:rsidP="00834F71">
            <w:r w:rsidRPr="00EF4EB9">
              <w:t>No initial treatment</w:t>
            </w:r>
          </w:p>
        </w:tc>
        <w:tc>
          <w:tcPr>
            <w:tcW w:w="850" w:type="dxa"/>
            <w:tcBorders>
              <w:bottom w:val="single" w:sz="4" w:space="0" w:color="auto"/>
            </w:tcBorders>
          </w:tcPr>
          <w:p w:rsidR="00834F71" w:rsidRPr="00EF4EB9" w:rsidRDefault="00500063" w:rsidP="00834F71">
            <w:r>
              <w:t>19.78</w:t>
            </w:r>
          </w:p>
        </w:tc>
        <w:tc>
          <w:tcPr>
            <w:tcW w:w="851" w:type="dxa"/>
            <w:tcBorders>
              <w:bottom w:val="single" w:sz="4" w:space="0" w:color="auto"/>
            </w:tcBorders>
          </w:tcPr>
          <w:p w:rsidR="00834F71" w:rsidRPr="00EF4EB9" w:rsidRDefault="00834F71" w:rsidP="00834F71">
            <w:r w:rsidRPr="00EF4EB9">
              <w:t>14.6</w:t>
            </w:r>
          </w:p>
        </w:tc>
        <w:tc>
          <w:tcPr>
            <w:tcW w:w="992" w:type="dxa"/>
            <w:tcBorders>
              <w:bottom w:val="single" w:sz="4" w:space="0" w:color="auto"/>
            </w:tcBorders>
          </w:tcPr>
          <w:p w:rsidR="00834F71" w:rsidRPr="00EF4EB9" w:rsidRDefault="00834F71" w:rsidP="00834F71">
            <w:r w:rsidRPr="00EF4EB9">
              <w:t>1.6</w:t>
            </w:r>
          </w:p>
        </w:tc>
        <w:tc>
          <w:tcPr>
            <w:tcW w:w="851" w:type="dxa"/>
            <w:tcBorders>
              <w:bottom w:val="single" w:sz="4" w:space="0" w:color="auto"/>
            </w:tcBorders>
          </w:tcPr>
          <w:p w:rsidR="00834F71" w:rsidRPr="00EF4EB9" w:rsidRDefault="00834F71" w:rsidP="00834F71">
            <w:r w:rsidRPr="00EF4EB9">
              <w:t>83.9</w:t>
            </w:r>
          </w:p>
        </w:tc>
        <w:tc>
          <w:tcPr>
            <w:tcW w:w="992" w:type="dxa"/>
            <w:tcBorders>
              <w:bottom w:val="single" w:sz="4" w:space="0" w:color="auto"/>
            </w:tcBorders>
          </w:tcPr>
          <w:p w:rsidR="00834F71" w:rsidRPr="00EF4EB9" w:rsidRDefault="00834F71" w:rsidP="00834F71">
            <w:r w:rsidRPr="00EF4EB9">
              <w:t>0.140</w:t>
            </w:r>
          </w:p>
        </w:tc>
        <w:tc>
          <w:tcPr>
            <w:tcW w:w="992" w:type="dxa"/>
            <w:tcBorders>
              <w:bottom w:val="single" w:sz="4" w:space="0" w:color="auto"/>
            </w:tcBorders>
          </w:tcPr>
          <w:p w:rsidR="00834F71" w:rsidRPr="00EF4EB9" w:rsidRDefault="00834F71" w:rsidP="00834F71">
            <w:r w:rsidRPr="00EF4EB9">
              <w:t>0.311</w:t>
            </w:r>
          </w:p>
        </w:tc>
        <w:tc>
          <w:tcPr>
            <w:tcW w:w="851" w:type="dxa"/>
            <w:tcBorders>
              <w:bottom w:val="single" w:sz="4" w:space="0" w:color="auto"/>
            </w:tcBorders>
          </w:tcPr>
          <w:p w:rsidR="00834F71" w:rsidRPr="00EF4EB9" w:rsidRDefault="00834F71" w:rsidP="00834F71">
            <w:r w:rsidRPr="00EF4EB9">
              <w:t>0.012</w:t>
            </w:r>
          </w:p>
        </w:tc>
        <w:tc>
          <w:tcPr>
            <w:tcW w:w="850" w:type="dxa"/>
            <w:tcBorders>
              <w:bottom w:val="single" w:sz="4" w:space="0" w:color="auto"/>
            </w:tcBorders>
          </w:tcPr>
          <w:p w:rsidR="00834F71" w:rsidRPr="00EF4EB9" w:rsidRDefault="00834F71" w:rsidP="00834F71">
            <w:r w:rsidRPr="00EF4EB9">
              <w:t>0.092</w:t>
            </w:r>
          </w:p>
        </w:tc>
      </w:tr>
      <w:tr w:rsidR="00834F71" w:rsidRPr="00EF4EB9" w:rsidTr="00834F71">
        <w:trPr>
          <w:divId w:val="1548566716"/>
          <w:trHeight w:val="135"/>
        </w:trPr>
        <w:tc>
          <w:tcPr>
            <w:tcW w:w="675" w:type="dxa"/>
            <w:vMerge/>
            <w:tcBorders>
              <w:bottom w:val="single" w:sz="4" w:space="0" w:color="auto"/>
            </w:tcBorders>
          </w:tcPr>
          <w:p w:rsidR="00834F71" w:rsidRPr="00EF4EB9" w:rsidRDefault="00834F71" w:rsidP="00834F71"/>
        </w:tc>
        <w:tc>
          <w:tcPr>
            <w:tcW w:w="1985" w:type="dxa"/>
            <w:tcBorders>
              <w:bottom w:val="single" w:sz="4" w:space="0" w:color="auto"/>
            </w:tcBorders>
          </w:tcPr>
          <w:p w:rsidR="00834F71" w:rsidRDefault="00834F71" w:rsidP="00834F71">
            <w:r w:rsidRPr="00EF4EB9">
              <w:t>TTE with those diagnosed with LA ABN</w:t>
            </w:r>
          </w:p>
          <w:p w:rsidR="00834F71" w:rsidRPr="00EF4EB9" w:rsidRDefault="00834F71" w:rsidP="00834F71">
            <w:r w:rsidRPr="00EF4EB9">
              <w:t>treated</w:t>
            </w:r>
          </w:p>
        </w:tc>
        <w:tc>
          <w:tcPr>
            <w:tcW w:w="850" w:type="dxa"/>
            <w:tcBorders>
              <w:bottom w:val="single" w:sz="4" w:space="0" w:color="auto"/>
            </w:tcBorders>
            <w:vAlign w:val="bottom"/>
          </w:tcPr>
          <w:p w:rsidR="00834F71" w:rsidRPr="00EF4EB9" w:rsidRDefault="00834F71" w:rsidP="00500063">
            <w:r w:rsidRPr="00EF4EB9">
              <w:t>19.82</w:t>
            </w:r>
          </w:p>
        </w:tc>
        <w:tc>
          <w:tcPr>
            <w:tcW w:w="851" w:type="dxa"/>
            <w:tcBorders>
              <w:bottom w:val="single" w:sz="4" w:space="0" w:color="auto"/>
            </w:tcBorders>
            <w:vAlign w:val="bottom"/>
          </w:tcPr>
          <w:p w:rsidR="00834F71" w:rsidRPr="00EF4EB9" w:rsidRDefault="00834F71" w:rsidP="00834F71">
            <w:r w:rsidRPr="00EF4EB9">
              <w:t>14.0</w:t>
            </w:r>
          </w:p>
        </w:tc>
        <w:tc>
          <w:tcPr>
            <w:tcW w:w="992" w:type="dxa"/>
            <w:tcBorders>
              <w:bottom w:val="single" w:sz="4" w:space="0" w:color="auto"/>
            </w:tcBorders>
            <w:vAlign w:val="bottom"/>
          </w:tcPr>
          <w:p w:rsidR="00834F71" w:rsidRPr="00EF4EB9" w:rsidRDefault="00834F71" w:rsidP="00834F71">
            <w:r w:rsidRPr="00EF4EB9">
              <w:t>1.9</w:t>
            </w:r>
          </w:p>
        </w:tc>
        <w:tc>
          <w:tcPr>
            <w:tcW w:w="851" w:type="dxa"/>
            <w:tcBorders>
              <w:bottom w:val="single" w:sz="4" w:space="0" w:color="auto"/>
            </w:tcBorders>
            <w:vAlign w:val="bottom"/>
          </w:tcPr>
          <w:p w:rsidR="00834F71" w:rsidRPr="00EF4EB9" w:rsidRDefault="00834F71" w:rsidP="00834F71">
            <w:r w:rsidRPr="00EF4EB9">
              <w:t>84.1</w:t>
            </w:r>
          </w:p>
        </w:tc>
        <w:tc>
          <w:tcPr>
            <w:tcW w:w="992" w:type="dxa"/>
            <w:tcBorders>
              <w:bottom w:val="single" w:sz="4" w:space="0" w:color="auto"/>
            </w:tcBorders>
            <w:vAlign w:val="bottom"/>
          </w:tcPr>
          <w:p w:rsidR="00834F71" w:rsidRPr="00EF4EB9" w:rsidRDefault="00834F71" w:rsidP="00834F71">
            <w:r w:rsidRPr="00EF4EB9">
              <w:t>0.136</w:t>
            </w:r>
          </w:p>
        </w:tc>
        <w:tc>
          <w:tcPr>
            <w:tcW w:w="992" w:type="dxa"/>
            <w:tcBorders>
              <w:bottom w:val="single" w:sz="4" w:space="0" w:color="auto"/>
            </w:tcBorders>
            <w:vAlign w:val="bottom"/>
          </w:tcPr>
          <w:p w:rsidR="00834F71" w:rsidRPr="00EF4EB9" w:rsidRDefault="00834F71" w:rsidP="00834F71">
            <w:r w:rsidRPr="00EF4EB9">
              <w:t>0.298</w:t>
            </w:r>
          </w:p>
        </w:tc>
        <w:tc>
          <w:tcPr>
            <w:tcW w:w="851" w:type="dxa"/>
            <w:tcBorders>
              <w:bottom w:val="single" w:sz="4" w:space="0" w:color="auto"/>
            </w:tcBorders>
            <w:vAlign w:val="bottom"/>
          </w:tcPr>
          <w:p w:rsidR="00834F71" w:rsidRPr="00EF4EB9" w:rsidRDefault="00834F71" w:rsidP="00834F71">
            <w:r w:rsidRPr="00EF4EB9">
              <w:t>0.014</w:t>
            </w:r>
          </w:p>
        </w:tc>
        <w:tc>
          <w:tcPr>
            <w:tcW w:w="850" w:type="dxa"/>
            <w:tcBorders>
              <w:bottom w:val="single" w:sz="4" w:space="0" w:color="auto"/>
            </w:tcBorders>
            <w:vAlign w:val="bottom"/>
          </w:tcPr>
          <w:p w:rsidR="00834F71" w:rsidRPr="00EF4EB9" w:rsidRDefault="00834F71" w:rsidP="00834F71">
            <w:r w:rsidRPr="00EF4EB9">
              <w:t>0.111</w:t>
            </w:r>
          </w:p>
        </w:tc>
      </w:tr>
      <w:tr w:rsidR="00834F71" w:rsidRPr="00EF4EB9" w:rsidTr="00834F71">
        <w:trPr>
          <w:divId w:val="1548566716"/>
        </w:trPr>
        <w:tc>
          <w:tcPr>
            <w:tcW w:w="9889" w:type="dxa"/>
            <w:gridSpan w:val="10"/>
            <w:tcBorders>
              <w:top w:val="nil"/>
              <w:left w:val="nil"/>
              <w:bottom w:val="nil"/>
              <w:right w:val="nil"/>
            </w:tcBorders>
          </w:tcPr>
          <w:p w:rsidR="00834F71" w:rsidRPr="00EF4EB9" w:rsidRDefault="00834F71" w:rsidP="00834F71">
            <w:r w:rsidRPr="00EF4EB9">
              <w:t xml:space="preserve">TTE = </w:t>
            </w:r>
            <w:proofErr w:type="spellStart"/>
            <w:r w:rsidRPr="00EF4EB9">
              <w:t>Transthoracic</w:t>
            </w:r>
            <w:proofErr w:type="spellEnd"/>
            <w:r w:rsidRPr="00EF4EB9">
              <w:t xml:space="preserve"> Echocardiography; LA ABN = Left </w:t>
            </w:r>
            <w:proofErr w:type="spellStart"/>
            <w:r w:rsidRPr="00EF4EB9">
              <w:t>Atrial</w:t>
            </w:r>
            <w:proofErr w:type="spellEnd"/>
            <w:r w:rsidRPr="00EF4EB9">
              <w:t xml:space="preserve"> Abnormality; ICH = Intracranial </w:t>
            </w:r>
            <w:proofErr w:type="spellStart"/>
            <w:r w:rsidRPr="00EF4EB9">
              <w:t>haemorrhage</w:t>
            </w:r>
            <w:proofErr w:type="spellEnd"/>
            <w:r w:rsidRPr="00EF4EB9">
              <w:t xml:space="preserve">;  NICH = Non- intracranial </w:t>
            </w:r>
            <w:proofErr w:type="spellStart"/>
            <w:r w:rsidRPr="00EF4EB9">
              <w:t>haemorrhage</w:t>
            </w:r>
            <w:proofErr w:type="spellEnd"/>
            <w:r w:rsidRPr="00EF4EB9">
              <w:t xml:space="preserve"> </w:t>
            </w:r>
          </w:p>
        </w:tc>
      </w:tr>
    </w:tbl>
    <w:p w:rsidR="00834F71" w:rsidRDefault="00834F71" w:rsidP="00834F71">
      <w:pPr>
        <w:pStyle w:val="Caption"/>
        <w:divId w:val="1548566716"/>
      </w:pPr>
      <w:bookmarkStart w:id="6" w:name="_Ref321238070"/>
      <w:r>
        <w:t xml:space="preserve">Table </w:t>
      </w:r>
      <w:fldSimple w:instr=" SEQ Table \* ARABIC ">
        <w:r>
          <w:rPr>
            <w:noProof/>
          </w:rPr>
          <w:t>4</w:t>
        </w:r>
      </w:fldSimple>
      <w:bookmarkEnd w:id="6"/>
      <w:r>
        <w:t xml:space="preserve"> Simulated patient experience: patients with a clinical prediction rule score of 0</w:t>
      </w:r>
    </w:p>
    <w:p w:rsidR="007461E7" w:rsidRDefault="007461E7">
      <w:pPr>
        <w:divId w:val="1548566716"/>
      </w:pPr>
      <w:r>
        <w:br w:type="page"/>
      </w:r>
    </w:p>
    <w:tbl>
      <w:tblPr>
        <w:tblStyle w:val="TableGrid"/>
        <w:tblW w:w="9251" w:type="dxa"/>
        <w:tblLook w:val="04A0"/>
      </w:tblPr>
      <w:tblGrid>
        <w:gridCol w:w="673"/>
        <w:gridCol w:w="1835"/>
        <w:gridCol w:w="973"/>
        <w:gridCol w:w="843"/>
        <w:gridCol w:w="1318"/>
        <w:gridCol w:w="1318"/>
        <w:gridCol w:w="2241"/>
        <w:gridCol w:w="50"/>
      </w:tblGrid>
      <w:tr w:rsidR="00EB3ED4" w:rsidRPr="00EF4EB9" w:rsidTr="00EB3ED4">
        <w:trPr>
          <w:gridAfter w:val="1"/>
          <w:divId w:val="1548566716"/>
          <w:wAfter w:w="50" w:type="dxa"/>
        </w:trPr>
        <w:tc>
          <w:tcPr>
            <w:tcW w:w="2508" w:type="dxa"/>
            <w:gridSpan w:val="2"/>
          </w:tcPr>
          <w:p w:rsidR="00EB3ED4" w:rsidRPr="00EF4EB9" w:rsidRDefault="00EB3ED4" w:rsidP="00EB3ED4">
            <w:r w:rsidRPr="00EF4EB9">
              <w:t>Strategy</w:t>
            </w:r>
          </w:p>
        </w:tc>
        <w:tc>
          <w:tcPr>
            <w:tcW w:w="973" w:type="dxa"/>
          </w:tcPr>
          <w:p w:rsidR="00EB3ED4" w:rsidRPr="00EF4EB9" w:rsidRDefault="00EB3ED4" w:rsidP="00EB3ED4">
            <w:r w:rsidRPr="00EF4EB9">
              <w:t>Cost</w:t>
            </w:r>
          </w:p>
        </w:tc>
        <w:tc>
          <w:tcPr>
            <w:tcW w:w="843" w:type="dxa"/>
          </w:tcPr>
          <w:p w:rsidR="00EB3ED4" w:rsidRPr="00EF4EB9" w:rsidRDefault="00EB3ED4" w:rsidP="00EB3ED4">
            <w:r w:rsidRPr="00EF4EB9">
              <w:t>QALYs</w:t>
            </w:r>
          </w:p>
        </w:tc>
        <w:tc>
          <w:tcPr>
            <w:tcW w:w="1318" w:type="dxa"/>
            <w:tcBorders>
              <w:bottom w:val="single" w:sz="4" w:space="0" w:color="auto"/>
            </w:tcBorders>
          </w:tcPr>
          <w:p w:rsidR="00EB3ED4" w:rsidRPr="00EF4EB9" w:rsidRDefault="00EB3ED4" w:rsidP="00EB3ED4">
            <w:r w:rsidRPr="00EF4EB9">
              <w:t xml:space="preserve">Incremental Cost </w:t>
            </w:r>
          </w:p>
        </w:tc>
        <w:tc>
          <w:tcPr>
            <w:tcW w:w="1318" w:type="dxa"/>
            <w:tcBorders>
              <w:bottom w:val="single" w:sz="4" w:space="0" w:color="auto"/>
            </w:tcBorders>
          </w:tcPr>
          <w:p w:rsidR="00EB3ED4" w:rsidRPr="00EF4EB9" w:rsidRDefault="00EB3ED4" w:rsidP="00EB3ED4">
            <w:r w:rsidRPr="00EF4EB9">
              <w:t>Incremental QALYs</w:t>
            </w:r>
          </w:p>
        </w:tc>
        <w:tc>
          <w:tcPr>
            <w:tcW w:w="2241" w:type="dxa"/>
            <w:tcBorders>
              <w:bottom w:val="single" w:sz="4" w:space="0" w:color="auto"/>
            </w:tcBorders>
          </w:tcPr>
          <w:p w:rsidR="00EB3ED4" w:rsidRPr="00EF4EB9" w:rsidRDefault="00EB3ED4" w:rsidP="00EB3ED4">
            <w:r w:rsidRPr="00EF4EB9">
              <w:t>Cost per QALY</w:t>
            </w:r>
          </w:p>
          <w:p w:rsidR="00EB3ED4" w:rsidRPr="00EF4EB9" w:rsidRDefault="00EB3ED4" w:rsidP="00EB3ED4">
            <w:r w:rsidRPr="00EF4EB9">
              <w:t>(2.5</w:t>
            </w:r>
            <w:r w:rsidRPr="00EF4EB9">
              <w:rPr>
                <w:vertAlign w:val="superscript"/>
              </w:rPr>
              <w:t>th</w:t>
            </w:r>
            <w:r w:rsidRPr="00EF4EB9">
              <w:t xml:space="preserve"> and 97.5</w:t>
            </w:r>
            <w:r w:rsidRPr="00EF4EB9">
              <w:rPr>
                <w:vertAlign w:val="superscript"/>
              </w:rPr>
              <w:t>th</w:t>
            </w:r>
            <w:r w:rsidRPr="00EF4EB9">
              <w:t xml:space="preserve"> percentiles)</w:t>
            </w:r>
          </w:p>
        </w:tc>
      </w:tr>
      <w:tr w:rsidR="00EB3ED4" w:rsidRPr="00EF4EB9" w:rsidTr="00EB3ED4">
        <w:trPr>
          <w:divId w:val="1548566716"/>
        </w:trPr>
        <w:tc>
          <w:tcPr>
            <w:tcW w:w="673" w:type="dxa"/>
            <w:vMerge w:val="restart"/>
            <w:textDirection w:val="btLr"/>
          </w:tcPr>
          <w:p w:rsidR="00EB3ED4" w:rsidRPr="00EF4EB9" w:rsidRDefault="00EB3ED4" w:rsidP="00EB3ED4">
            <w:r>
              <w:t>CHADS</w:t>
            </w:r>
            <w:r w:rsidRPr="00BD4F95">
              <w:rPr>
                <w:vertAlign w:val="subscript"/>
              </w:rPr>
              <w:t>2</w:t>
            </w:r>
          </w:p>
        </w:tc>
        <w:tc>
          <w:tcPr>
            <w:tcW w:w="1835" w:type="dxa"/>
          </w:tcPr>
          <w:p w:rsidR="00EB3ED4" w:rsidRPr="00EF4EB9" w:rsidRDefault="00EB3ED4" w:rsidP="00EB3ED4">
            <w:r w:rsidRPr="00EF4EB9">
              <w:t>No initial treatment</w:t>
            </w:r>
          </w:p>
        </w:tc>
        <w:tc>
          <w:tcPr>
            <w:tcW w:w="973" w:type="dxa"/>
            <w:vAlign w:val="bottom"/>
          </w:tcPr>
          <w:p w:rsidR="00EB3ED4" w:rsidRPr="00EF4EB9" w:rsidRDefault="00EB3ED4" w:rsidP="00EB3ED4">
            <w:r w:rsidRPr="00EF4EB9">
              <w:t>£13,792</w:t>
            </w:r>
          </w:p>
        </w:tc>
        <w:tc>
          <w:tcPr>
            <w:tcW w:w="843" w:type="dxa"/>
            <w:vAlign w:val="bottom"/>
          </w:tcPr>
          <w:p w:rsidR="00EB3ED4" w:rsidRPr="00EF4EB9" w:rsidRDefault="00EB3ED4" w:rsidP="00EB3ED4">
            <w:r w:rsidRPr="00EF4EB9">
              <w:t>10.185</w:t>
            </w:r>
          </w:p>
        </w:tc>
        <w:tc>
          <w:tcPr>
            <w:tcW w:w="1318" w:type="dxa"/>
            <w:tcBorders>
              <w:right w:val="nil"/>
            </w:tcBorders>
            <w:vAlign w:val="bottom"/>
          </w:tcPr>
          <w:p w:rsidR="00EB3ED4" w:rsidRPr="00EF4EB9" w:rsidRDefault="00EB3ED4" w:rsidP="00EB3ED4"/>
        </w:tc>
        <w:tc>
          <w:tcPr>
            <w:tcW w:w="1318" w:type="dxa"/>
            <w:tcBorders>
              <w:left w:val="nil"/>
              <w:right w:val="nil"/>
            </w:tcBorders>
            <w:vAlign w:val="bottom"/>
          </w:tcPr>
          <w:p w:rsidR="00EB3ED4" w:rsidRPr="00EF4EB9" w:rsidRDefault="00EB3ED4" w:rsidP="00EB3ED4"/>
        </w:tc>
        <w:tc>
          <w:tcPr>
            <w:tcW w:w="2291" w:type="dxa"/>
            <w:gridSpan w:val="2"/>
            <w:tcBorders>
              <w:top w:val="nil"/>
              <w:left w:val="nil"/>
              <w:right w:val="nil"/>
            </w:tcBorders>
            <w:vAlign w:val="bottom"/>
          </w:tcPr>
          <w:p w:rsidR="00EB3ED4" w:rsidRPr="00EF4EB9" w:rsidRDefault="00EB3ED4" w:rsidP="00EB3ED4"/>
        </w:tc>
      </w:tr>
      <w:tr w:rsidR="00EB3ED4" w:rsidRPr="00EF4EB9" w:rsidTr="00EB3ED4">
        <w:trPr>
          <w:divId w:val="1548566716"/>
          <w:trHeight w:val="675"/>
        </w:trPr>
        <w:tc>
          <w:tcPr>
            <w:tcW w:w="673" w:type="dxa"/>
            <w:vMerge/>
            <w:tcBorders>
              <w:bottom w:val="single" w:sz="4" w:space="0" w:color="auto"/>
            </w:tcBorders>
            <w:textDirection w:val="btLr"/>
          </w:tcPr>
          <w:p w:rsidR="00EB3ED4" w:rsidRPr="00EF4EB9" w:rsidRDefault="00EB3ED4" w:rsidP="00EB3ED4"/>
        </w:tc>
        <w:tc>
          <w:tcPr>
            <w:tcW w:w="1835" w:type="dxa"/>
            <w:tcBorders>
              <w:bottom w:val="single" w:sz="4" w:space="0" w:color="auto"/>
            </w:tcBorders>
          </w:tcPr>
          <w:p w:rsidR="00EB3ED4" w:rsidRPr="00EF4EB9" w:rsidRDefault="00EB3ED4" w:rsidP="00EB3ED4">
            <w:r w:rsidRPr="00EF4EB9">
              <w:t>TTE with those diagnosed with LA ABN treated</w:t>
            </w:r>
          </w:p>
        </w:tc>
        <w:tc>
          <w:tcPr>
            <w:tcW w:w="973" w:type="dxa"/>
            <w:tcBorders>
              <w:bottom w:val="single" w:sz="4" w:space="0" w:color="auto"/>
            </w:tcBorders>
            <w:vAlign w:val="bottom"/>
          </w:tcPr>
          <w:p w:rsidR="00EB3ED4" w:rsidRPr="00EF4EB9" w:rsidRDefault="00EB3ED4" w:rsidP="00EB3ED4">
            <w:r w:rsidRPr="00EF4EB9">
              <w:t>£15,646</w:t>
            </w:r>
          </w:p>
        </w:tc>
        <w:tc>
          <w:tcPr>
            <w:tcW w:w="843" w:type="dxa"/>
            <w:tcBorders>
              <w:bottom w:val="single" w:sz="4" w:space="0" w:color="auto"/>
            </w:tcBorders>
            <w:vAlign w:val="bottom"/>
          </w:tcPr>
          <w:p w:rsidR="00EB3ED4" w:rsidRPr="00EF4EB9" w:rsidRDefault="00EB3ED4" w:rsidP="00EB3ED4">
            <w:r w:rsidRPr="00EF4EB9">
              <w:t>10.502</w:t>
            </w:r>
          </w:p>
        </w:tc>
        <w:tc>
          <w:tcPr>
            <w:tcW w:w="1318" w:type="dxa"/>
            <w:tcBorders>
              <w:bottom w:val="single" w:sz="4" w:space="0" w:color="auto"/>
            </w:tcBorders>
            <w:vAlign w:val="bottom"/>
          </w:tcPr>
          <w:p w:rsidR="00EB3ED4" w:rsidRPr="00EF4EB9" w:rsidRDefault="00EB3ED4" w:rsidP="00EB3ED4">
            <w:r w:rsidRPr="00EF4EB9">
              <w:t>£1,854</w:t>
            </w:r>
          </w:p>
        </w:tc>
        <w:tc>
          <w:tcPr>
            <w:tcW w:w="1318" w:type="dxa"/>
            <w:tcBorders>
              <w:bottom w:val="single" w:sz="4" w:space="0" w:color="auto"/>
            </w:tcBorders>
            <w:vAlign w:val="bottom"/>
          </w:tcPr>
          <w:p w:rsidR="00EB3ED4" w:rsidRPr="00EF4EB9" w:rsidRDefault="00EB3ED4" w:rsidP="00EB3ED4">
            <w:r w:rsidRPr="00EF4EB9">
              <w:t>0.317</w:t>
            </w:r>
          </w:p>
        </w:tc>
        <w:tc>
          <w:tcPr>
            <w:tcW w:w="2291" w:type="dxa"/>
            <w:gridSpan w:val="2"/>
            <w:tcBorders>
              <w:bottom w:val="single" w:sz="4" w:space="0" w:color="auto"/>
            </w:tcBorders>
            <w:vAlign w:val="bottom"/>
          </w:tcPr>
          <w:p w:rsidR="00EB3ED4" w:rsidRPr="00EF4EB9" w:rsidRDefault="00EB3ED4" w:rsidP="00EB3ED4">
            <w:r w:rsidRPr="00EF4EB9">
              <w:t xml:space="preserve">£5847 </w:t>
            </w:r>
          </w:p>
          <w:p w:rsidR="00EB3ED4" w:rsidRPr="00EF4EB9" w:rsidRDefault="00EB3ED4" w:rsidP="00EB3ED4">
            <w:r w:rsidRPr="00EF4EB9">
              <w:t>(Dominating -£28,939)</w:t>
            </w:r>
          </w:p>
        </w:tc>
      </w:tr>
      <w:tr w:rsidR="00EB3ED4" w:rsidRPr="00EF4EB9" w:rsidTr="00EB3ED4">
        <w:trPr>
          <w:divId w:val="1548566716"/>
          <w:trHeight w:val="700"/>
        </w:trPr>
        <w:tc>
          <w:tcPr>
            <w:tcW w:w="673" w:type="dxa"/>
            <w:vMerge w:val="restart"/>
            <w:textDirection w:val="btLr"/>
          </w:tcPr>
          <w:p w:rsidR="00EB3ED4" w:rsidRPr="00EF4EB9" w:rsidRDefault="00EB3ED4" w:rsidP="00EB3ED4">
            <w:r>
              <w:t>CHA</w:t>
            </w:r>
            <w:r w:rsidRPr="00BD4F95">
              <w:rPr>
                <w:vertAlign w:val="subscript"/>
              </w:rPr>
              <w:t>2</w:t>
            </w:r>
            <w:r>
              <w:t>DS</w:t>
            </w:r>
            <w:r w:rsidRPr="00BD4F95">
              <w:rPr>
                <w:vertAlign w:val="subscript"/>
              </w:rPr>
              <w:t>2</w:t>
            </w:r>
            <w:r>
              <w:t>-VASc</w:t>
            </w:r>
          </w:p>
        </w:tc>
        <w:tc>
          <w:tcPr>
            <w:tcW w:w="1835" w:type="dxa"/>
            <w:tcBorders>
              <w:bottom w:val="single" w:sz="4" w:space="0" w:color="auto"/>
            </w:tcBorders>
          </w:tcPr>
          <w:p w:rsidR="00EB3ED4" w:rsidRPr="00EF4EB9" w:rsidRDefault="00EB3ED4" w:rsidP="00EB3ED4">
            <w:r w:rsidRPr="00EF4EB9">
              <w:t>No initial treatment</w:t>
            </w:r>
          </w:p>
        </w:tc>
        <w:tc>
          <w:tcPr>
            <w:tcW w:w="973" w:type="dxa"/>
            <w:tcBorders>
              <w:bottom w:val="single" w:sz="4" w:space="0" w:color="auto"/>
            </w:tcBorders>
            <w:vAlign w:val="bottom"/>
          </w:tcPr>
          <w:p w:rsidR="00EB3ED4" w:rsidRPr="00EF4EB9" w:rsidRDefault="00EB3ED4" w:rsidP="00EB3ED4">
            <w:r w:rsidRPr="00EF4EB9">
              <w:t>£15,249</w:t>
            </w:r>
          </w:p>
        </w:tc>
        <w:tc>
          <w:tcPr>
            <w:tcW w:w="843" w:type="dxa"/>
            <w:tcBorders>
              <w:bottom w:val="single" w:sz="4" w:space="0" w:color="auto"/>
            </w:tcBorders>
            <w:vAlign w:val="bottom"/>
          </w:tcPr>
          <w:p w:rsidR="00EB3ED4" w:rsidRPr="00EF4EB9" w:rsidRDefault="00EB3ED4" w:rsidP="00EB3ED4">
            <w:r w:rsidRPr="00EF4EB9">
              <w:t>10.077</w:t>
            </w:r>
          </w:p>
        </w:tc>
        <w:tc>
          <w:tcPr>
            <w:tcW w:w="4927" w:type="dxa"/>
            <w:gridSpan w:val="4"/>
            <w:tcBorders>
              <w:bottom w:val="single" w:sz="4" w:space="0" w:color="auto"/>
              <w:right w:val="nil"/>
            </w:tcBorders>
            <w:vAlign w:val="bottom"/>
          </w:tcPr>
          <w:p w:rsidR="00EB3ED4" w:rsidRPr="00EF4EB9" w:rsidRDefault="00EB3ED4" w:rsidP="00EB3ED4"/>
        </w:tc>
      </w:tr>
      <w:tr w:rsidR="00EB3ED4" w:rsidRPr="00EF4EB9" w:rsidTr="00EB3ED4">
        <w:trPr>
          <w:divId w:val="1548566716"/>
          <w:trHeight w:val="94"/>
        </w:trPr>
        <w:tc>
          <w:tcPr>
            <w:tcW w:w="673" w:type="dxa"/>
            <w:vMerge/>
            <w:tcBorders>
              <w:bottom w:val="single" w:sz="4" w:space="0" w:color="auto"/>
            </w:tcBorders>
          </w:tcPr>
          <w:p w:rsidR="00EB3ED4" w:rsidRPr="00EF4EB9" w:rsidRDefault="00EB3ED4" w:rsidP="00EB3ED4"/>
        </w:tc>
        <w:tc>
          <w:tcPr>
            <w:tcW w:w="1835" w:type="dxa"/>
            <w:tcBorders>
              <w:bottom w:val="single" w:sz="4" w:space="0" w:color="auto"/>
            </w:tcBorders>
          </w:tcPr>
          <w:p w:rsidR="00EB3ED4" w:rsidRPr="00EF4EB9" w:rsidRDefault="00EB3ED4" w:rsidP="00EB3ED4">
            <w:r w:rsidRPr="00EF4EB9">
              <w:t>TTE with those diagnosed with LA ABN treated</w:t>
            </w:r>
          </w:p>
        </w:tc>
        <w:tc>
          <w:tcPr>
            <w:tcW w:w="973" w:type="dxa"/>
            <w:tcBorders>
              <w:bottom w:val="single" w:sz="4" w:space="0" w:color="auto"/>
            </w:tcBorders>
            <w:vAlign w:val="bottom"/>
          </w:tcPr>
          <w:p w:rsidR="00EB3ED4" w:rsidRPr="00EF4EB9" w:rsidRDefault="00EB3ED4" w:rsidP="00EB3ED4">
            <w:r w:rsidRPr="00EF4EB9">
              <w:t>£19,729</w:t>
            </w:r>
          </w:p>
        </w:tc>
        <w:tc>
          <w:tcPr>
            <w:tcW w:w="843" w:type="dxa"/>
            <w:tcBorders>
              <w:bottom w:val="single" w:sz="4" w:space="0" w:color="auto"/>
            </w:tcBorders>
            <w:vAlign w:val="bottom"/>
          </w:tcPr>
          <w:p w:rsidR="00EB3ED4" w:rsidRPr="00EF4EB9" w:rsidRDefault="00EB3ED4" w:rsidP="00EB3ED4">
            <w:r w:rsidRPr="00EF4EB9">
              <w:t>10.168</w:t>
            </w:r>
          </w:p>
        </w:tc>
        <w:tc>
          <w:tcPr>
            <w:tcW w:w="1318" w:type="dxa"/>
            <w:tcBorders>
              <w:bottom w:val="single" w:sz="4" w:space="0" w:color="auto"/>
            </w:tcBorders>
            <w:vAlign w:val="bottom"/>
          </w:tcPr>
          <w:p w:rsidR="00EB3ED4" w:rsidRPr="00EF4EB9" w:rsidRDefault="00EB3ED4" w:rsidP="00EB3ED4">
            <w:r w:rsidRPr="00EF4EB9">
              <w:t>£4480</w:t>
            </w:r>
          </w:p>
        </w:tc>
        <w:tc>
          <w:tcPr>
            <w:tcW w:w="1318" w:type="dxa"/>
            <w:tcBorders>
              <w:bottom w:val="single" w:sz="4" w:space="0" w:color="auto"/>
            </w:tcBorders>
            <w:vAlign w:val="bottom"/>
          </w:tcPr>
          <w:p w:rsidR="00EB3ED4" w:rsidRPr="00EF4EB9" w:rsidRDefault="00EB3ED4" w:rsidP="00EB3ED4">
            <w:r w:rsidRPr="00EF4EB9">
              <w:t>0.091</w:t>
            </w:r>
          </w:p>
        </w:tc>
        <w:tc>
          <w:tcPr>
            <w:tcW w:w="2291" w:type="dxa"/>
            <w:gridSpan w:val="2"/>
            <w:tcBorders>
              <w:bottom w:val="single" w:sz="4" w:space="0" w:color="auto"/>
            </w:tcBorders>
            <w:vAlign w:val="bottom"/>
          </w:tcPr>
          <w:p w:rsidR="00EB3ED4" w:rsidRPr="00EF4EB9" w:rsidRDefault="00EB3ED4" w:rsidP="00EB3ED4">
            <w:r w:rsidRPr="00EF4EB9">
              <w:t xml:space="preserve">£49,491 </w:t>
            </w:r>
          </w:p>
          <w:p w:rsidR="00EB3ED4" w:rsidRPr="00EF4EB9" w:rsidRDefault="00EB3ED4" w:rsidP="00EB3ED4">
            <w:r w:rsidRPr="00EF4EB9">
              <w:t>(£5604</w:t>
            </w:r>
            <w:r>
              <w:t xml:space="preserve"> - </w:t>
            </w:r>
            <w:r w:rsidRPr="00EF4EB9">
              <w:t xml:space="preserve"> Dominated)</w:t>
            </w:r>
          </w:p>
        </w:tc>
      </w:tr>
      <w:tr w:rsidR="00EB3ED4" w:rsidRPr="00EF4EB9" w:rsidTr="00EB3ED4">
        <w:trPr>
          <w:gridAfter w:val="1"/>
          <w:divId w:val="1548566716"/>
          <w:wAfter w:w="50" w:type="dxa"/>
        </w:trPr>
        <w:tc>
          <w:tcPr>
            <w:tcW w:w="9201" w:type="dxa"/>
            <w:gridSpan w:val="7"/>
            <w:tcBorders>
              <w:left w:val="nil"/>
              <w:bottom w:val="nil"/>
              <w:right w:val="nil"/>
            </w:tcBorders>
          </w:tcPr>
          <w:p w:rsidR="00EB3ED4" w:rsidRPr="00EF4EB9" w:rsidRDefault="00EB3ED4" w:rsidP="00EB3ED4">
            <w:r w:rsidRPr="00EF4EB9">
              <w:t xml:space="preserve">TTE = </w:t>
            </w:r>
            <w:proofErr w:type="spellStart"/>
            <w:r w:rsidRPr="00EF4EB9">
              <w:t>Transthoracic</w:t>
            </w:r>
            <w:proofErr w:type="spellEnd"/>
            <w:r w:rsidRPr="00EF4EB9">
              <w:t xml:space="preserve"> Echocardiography; LA ABN = Left </w:t>
            </w:r>
            <w:proofErr w:type="spellStart"/>
            <w:r w:rsidRPr="00EF4EB9">
              <w:t>Atrial</w:t>
            </w:r>
            <w:proofErr w:type="spellEnd"/>
            <w:r w:rsidRPr="00EF4EB9">
              <w:t xml:space="preserve"> Abnormality</w:t>
            </w:r>
          </w:p>
        </w:tc>
      </w:tr>
    </w:tbl>
    <w:p w:rsidR="00EB3ED4" w:rsidRPr="00EF4EB9" w:rsidRDefault="00EB3ED4" w:rsidP="00EB3ED4">
      <w:pPr>
        <w:pStyle w:val="Caption"/>
        <w:divId w:val="1548566716"/>
      </w:pPr>
      <w:bookmarkStart w:id="7" w:name="_Ref321240189"/>
      <w:r>
        <w:t xml:space="preserve">Table </w:t>
      </w:r>
      <w:fldSimple w:instr=" SEQ Table \* ARABIC ">
        <w:r>
          <w:rPr>
            <w:noProof/>
          </w:rPr>
          <w:t>5</w:t>
        </w:r>
      </w:fldSimple>
      <w:bookmarkEnd w:id="7"/>
      <w:r>
        <w:t xml:space="preserve"> Cost effectiveness of the use of TTE in patients with a CHADS</w:t>
      </w:r>
      <w:r w:rsidRPr="00E97667">
        <w:rPr>
          <w:vertAlign w:val="subscript"/>
        </w:rPr>
        <w:t>2</w:t>
      </w:r>
      <w:r>
        <w:t xml:space="preserve"> or CHA</w:t>
      </w:r>
      <w:r w:rsidRPr="00E97667">
        <w:rPr>
          <w:vertAlign w:val="subscript"/>
        </w:rPr>
        <w:t>2</w:t>
      </w:r>
      <w:r>
        <w:t>DS</w:t>
      </w:r>
      <w:r w:rsidRPr="00E97667">
        <w:rPr>
          <w:vertAlign w:val="subscript"/>
        </w:rPr>
        <w:t>2</w:t>
      </w:r>
      <w:r>
        <w:t>-VASc score of 0</w:t>
      </w:r>
    </w:p>
    <w:p w:rsidR="00EB3ED4" w:rsidRDefault="00EB3ED4" w:rsidP="00EB3ED4">
      <w:pPr>
        <w:divId w:val="1548566716"/>
      </w:pPr>
    </w:p>
    <w:p w:rsidR="00EB3ED4" w:rsidRDefault="00EB3ED4" w:rsidP="00EB3ED4">
      <w:pPr>
        <w:divId w:val="1548566716"/>
        <w:sectPr w:rsidR="00EB3ED4" w:rsidSect="009B762A">
          <w:pgSz w:w="11906" w:h="16838"/>
          <w:pgMar w:top="1440" w:right="1440" w:bottom="1440" w:left="1440" w:header="708" w:footer="708" w:gutter="0"/>
          <w:cols w:space="708"/>
          <w:docGrid w:linePitch="360"/>
        </w:sectPr>
      </w:pPr>
    </w:p>
    <w:p w:rsidR="00EB3ED4" w:rsidRDefault="00EB3ED4" w:rsidP="00EB3ED4">
      <w:pPr>
        <w:divId w:val="1548566716"/>
      </w:pPr>
    </w:p>
    <w:tbl>
      <w:tblPr>
        <w:tblStyle w:val="TableGrid"/>
        <w:tblW w:w="0" w:type="auto"/>
        <w:tblLook w:val="04A0"/>
      </w:tblPr>
      <w:tblGrid>
        <w:gridCol w:w="5916"/>
        <w:gridCol w:w="5916"/>
      </w:tblGrid>
      <w:tr w:rsidR="00EB3ED4" w:rsidTr="00EB3ED4">
        <w:trPr>
          <w:divId w:val="1548566716"/>
        </w:trPr>
        <w:tc>
          <w:tcPr>
            <w:tcW w:w="4621" w:type="dxa"/>
          </w:tcPr>
          <w:p w:rsidR="00EB3ED4" w:rsidRDefault="00EB3ED4" w:rsidP="00EB3ED4">
            <w:r w:rsidRPr="00EF4EB9">
              <w:rPr>
                <w:noProof/>
                <w:lang w:val="en-GB" w:eastAsia="en-GB"/>
              </w:rPr>
              <w:drawing>
                <wp:inline distT="0" distB="0" distL="0" distR="0">
                  <wp:extent cx="3600000" cy="3317023"/>
                  <wp:effectExtent l="19050" t="0" r="450" b="0"/>
                  <wp:docPr id="4" name="Picture 47" descr="Dab_C0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b_C0_PSA.jpeg"/>
                          <pic:cNvPicPr/>
                        </pic:nvPicPr>
                        <pic:blipFill>
                          <a:blip r:embed="rId10" cstate="print"/>
                          <a:srcRect t="7965"/>
                          <a:stretch>
                            <a:fillRect/>
                          </a:stretch>
                        </pic:blipFill>
                        <pic:spPr>
                          <a:xfrm>
                            <a:off x="0" y="0"/>
                            <a:ext cx="3600000" cy="3317023"/>
                          </a:xfrm>
                          <a:prstGeom prst="rect">
                            <a:avLst/>
                          </a:prstGeom>
                        </pic:spPr>
                      </pic:pic>
                    </a:graphicData>
                  </a:graphic>
                </wp:inline>
              </w:drawing>
            </w:r>
          </w:p>
        </w:tc>
        <w:tc>
          <w:tcPr>
            <w:tcW w:w="4621" w:type="dxa"/>
          </w:tcPr>
          <w:p w:rsidR="00EB3ED4" w:rsidRDefault="00EB3ED4" w:rsidP="00EB3ED4">
            <w:r w:rsidRPr="00EF4EB9">
              <w:rPr>
                <w:noProof/>
                <w:lang w:val="en-GB" w:eastAsia="en-GB"/>
              </w:rPr>
              <w:drawing>
                <wp:inline distT="0" distB="0" distL="0" distR="0">
                  <wp:extent cx="3600000" cy="3345327"/>
                  <wp:effectExtent l="19050" t="0" r="450" b="0"/>
                  <wp:docPr id="6" name="Picture 48" descr="Dab_CV0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b_CV0_PSA.jpeg"/>
                          <pic:cNvPicPr/>
                        </pic:nvPicPr>
                        <pic:blipFill>
                          <a:blip r:embed="rId11" cstate="print"/>
                          <a:srcRect t="7414"/>
                          <a:stretch>
                            <a:fillRect/>
                          </a:stretch>
                        </pic:blipFill>
                        <pic:spPr>
                          <a:xfrm>
                            <a:off x="0" y="0"/>
                            <a:ext cx="3600000" cy="3345327"/>
                          </a:xfrm>
                          <a:prstGeom prst="rect">
                            <a:avLst/>
                          </a:prstGeom>
                        </pic:spPr>
                      </pic:pic>
                    </a:graphicData>
                  </a:graphic>
                </wp:inline>
              </w:drawing>
            </w:r>
          </w:p>
        </w:tc>
      </w:tr>
      <w:tr w:rsidR="00EB3ED4" w:rsidTr="00EB3ED4">
        <w:trPr>
          <w:divId w:val="1548566716"/>
        </w:trPr>
        <w:tc>
          <w:tcPr>
            <w:tcW w:w="4621" w:type="dxa"/>
          </w:tcPr>
          <w:p w:rsidR="00EB3ED4" w:rsidRPr="00BD4F95" w:rsidRDefault="00EB3ED4" w:rsidP="007461E7">
            <w:pPr>
              <w:pStyle w:val="ListParagraph"/>
              <w:numPr>
                <w:ilvl w:val="0"/>
                <w:numId w:val="12"/>
              </w:numPr>
            </w:pPr>
            <w:r w:rsidRPr="00BD4F95">
              <w:t>CHADS</w:t>
            </w:r>
            <w:r w:rsidRPr="00BD4F95">
              <w:rPr>
                <w:vertAlign w:val="subscript"/>
              </w:rPr>
              <w:t>2</w:t>
            </w:r>
          </w:p>
        </w:tc>
        <w:tc>
          <w:tcPr>
            <w:tcW w:w="4621" w:type="dxa"/>
          </w:tcPr>
          <w:p w:rsidR="00EB3ED4" w:rsidRPr="00BD4F95" w:rsidRDefault="00EB3ED4" w:rsidP="007461E7">
            <w:pPr>
              <w:pStyle w:val="ListParagraph"/>
              <w:numPr>
                <w:ilvl w:val="0"/>
                <w:numId w:val="12"/>
              </w:numPr>
            </w:pPr>
            <w:r w:rsidRPr="00BD4F95">
              <w:t>CHA</w:t>
            </w:r>
            <w:r w:rsidRPr="00BD4F95">
              <w:rPr>
                <w:vertAlign w:val="subscript"/>
              </w:rPr>
              <w:t>2</w:t>
            </w:r>
            <w:r w:rsidRPr="00BD4F95">
              <w:t>DS</w:t>
            </w:r>
            <w:r w:rsidRPr="00BD4F95">
              <w:rPr>
                <w:vertAlign w:val="subscript"/>
              </w:rPr>
              <w:t>2</w:t>
            </w:r>
            <w:r w:rsidRPr="00BD4F95">
              <w:t>-VASc</w:t>
            </w:r>
          </w:p>
        </w:tc>
      </w:tr>
    </w:tbl>
    <w:p w:rsidR="00EB3ED4" w:rsidRDefault="00EB3ED4" w:rsidP="00EB3ED4">
      <w:pPr>
        <w:pStyle w:val="Caption"/>
        <w:divId w:val="1548566716"/>
      </w:pPr>
      <w:r>
        <w:t xml:space="preserve">Figure </w:t>
      </w:r>
      <w:fldSimple w:instr=" SEQ Figure \* ARABIC ">
        <w:r w:rsidR="00850455">
          <w:rPr>
            <w:noProof/>
          </w:rPr>
          <w:t>2</w:t>
        </w:r>
      </w:fldSimple>
      <w:r>
        <w:t xml:space="preserve"> PSA </w:t>
      </w:r>
      <w:proofErr w:type="spellStart"/>
      <w:r>
        <w:t>scatterplot</w:t>
      </w:r>
      <w:proofErr w:type="spellEnd"/>
    </w:p>
    <w:tbl>
      <w:tblPr>
        <w:tblStyle w:val="TableGrid"/>
        <w:tblW w:w="0" w:type="auto"/>
        <w:tblLook w:val="04A0"/>
      </w:tblPr>
      <w:tblGrid>
        <w:gridCol w:w="5916"/>
        <w:gridCol w:w="5916"/>
      </w:tblGrid>
      <w:tr w:rsidR="00EB3ED4" w:rsidTr="00EB3ED4">
        <w:trPr>
          <w:divId w:val="1548566716"/>
        </w:trPr>
        <w:tc>
          <w:tcPr>
            <w:tcW w:w="4621" w:type="dxa"/>
          </w:tcPr>
          <w:p w:rsidR="00EB3ED4" w:rsidRDefault="00EB3ED4" w:rsidP="00EB3ED4">
            <w:r w:rsidRPr="00EF4EB9">
              <w:rPr>
                <w:noProof/>
                <w:lang w:val="en-GB" w:eastAsia="en-GB"/>
              </w:rPr>
              <w:drawing>
                <wp:inline distT="0" distB="0" distL="0" distR="0">
                  <wp:extent cx="3600000" cy="3317303"/>
                  <wp:effectExtent l="19050" t="0" r="450" b="0"/>
                  <wp:docPr id="16" name="Picture 44" descr="Dab_C0_cea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b_C0_ceac.jpeg"/>
                          <pic:cNvPicPr/>
                        </pic:nvPicPr>
                        <pic:blipFill>
                          <a:blip r:embed="rId12" cstate="print"/>
                          <a:srcRect t="8086"/>
                          <a:stretch>
                            <a:fillRect/>
                          </a:stretch>
                        </pic:blipFill>
                        <pic:spPr>
                          <a:xfrm>
                            <a:off x="0" y="0"/>
                            <a:ext cx="3600000" cy="3317303"/>
                          </a:xfrm>
                          <a:prstGeom prst="rect">
                            <a:avLst/>
                          </a:prstGeom>
                        </pic:spPr>
                      </pic:pic>
                    </a:graphicData>
                  </a:graphic>
                </wp:inline>
              </w:drawing>
            </w:r>
          </w:p>
          <w:p w:rsidR="00EB3ED4" w:rsidRDefault="00EB3ED4" w:rsidP="00EB3ED4">
            <w:pPr>
              <w:pStyle w:val="Caption"/>
            </w:pPr>
          </w:p>
        </w:tc>
        <w:tc>
          <w:tcPr>
            <w:tcW w:w="4621" w:type="dxa"/>
          </w:tcPr>
          <w:p w:rsidR="00EB3ED4" w:rsidRDefault="00EB3ED4" w:rsidP="00EB3ED4">
            <w:r w:rsidRPr="00EF4EB9">
              <w:rPr>
                <w:noProof/>
                <w:lang w:val="en-GB" w:eastAsia="en-GB"/>
              </w:rPr>
              <w:drawing>
                <wp:inline distT="0" distB="0" distL="0" distR="0">
                  <wp:extent cx="3600000" cy="3362715"/>
                  <wp:effectExtent l="19050" t="0" r="450" b="0"/>
                  <wp:docPr id="17" name="Picture 49" descr="Dab_CV0_cea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b_CV0_ceac.jpeg"/>
                          <pic:cNvPicPr/>
                        </pic:nvPicPr>
                        <pic:blipFill>
                          <a:blip r:embed="rId13" cstate="print"/>
                          <a:srcRect t="6883"/>
                          <a:stretch>
                            <a:fillRect/>
                          </a:stretch>
                        </pic:blipFill>
                        <pic:spPr>
                          <a:xfrm>
                            <a:off x="0" y="0"/>
                            <a:ext cx="3600000" cy="3362715"/>
                          </a:xfrm>
                          <a:prstGeom prst="rect">
                            <a:avLst/>
                          </a:prstGeom>
                        </pic:spPr>
                      </pic:pic>
                    </a:graphicData>
                  </a:graphic>
                </wp:inline>
              </w:drawing>
            </w:r>
          </w:p>
        </w:tc>
      </w:tr>
      <w:tr w:rsidR="00EB3ED4" w:rsidTr="00EB3ED4">
        <w:trPr>
          <w:divId w:val="1548566716"/>
        </w:trPr>
        <w:tc>
          <w:tcPr>
            <w:tcW w:w="4621" w:type="dxa"/>
          </w:tcPr>
          <w:p w:rsidR="00EB3ED4" w:rsidRPr="00867ABA" w:rsidRDefault="00EB3ED4" w:rsidP="007461E7">
            <w:pPr>
              <w:pStyle w:val="ListParagraph"/>
              <w:numPr>
                <w:ilvl w:val="0"/>
                <w:numId w:val="11"/>
              </w:numPr>
            </w:pPr>
            <w:r w:rsidRPr="00867ABA">
              <w:t>CHADS</w:t>
            </w:r>
            <w:r w:rsidRPr="00867ABA">
              <w:rPr>
                <w:vertAlign w:val="subscript"/>
              </w:rPr>
              <w:t>2</w:t>
            </w:r>
          </w:p>
        </w:tc>
        <w:tc>
          <w:tcPr>
            <w:tcW w:w="4621" w:type="dxa"/>
          </w:tcPr>
          <w:p w:rsidR="00EB3ED4" w:rsidRPr="00BD4F95" w:rsidRDefault="00EB3ED4" w:rsidP="007461E7">
            <w:pPr>
              <w:pStyle w:val="ListParagraph"/>
              <w:numPr>
                <w:ilvl w:val="0"/>
                <w:numId w:val="11"/>
              </w:numPr>
            </w:pPr>
            <w:r w:rsidRPr="00BD4F95">
              <w:t>CHA</w:t>
            </w:r>
            <w:r w:rsidRPr="00BD4F95">
              <w:rPr>
                <w:vertAlign w:val="subscript"/>
              </w:rPr>
              <w:t>2</w:t>
            </w:r>
            <w:r w:rsidRPr="00BD4F95">
              <w:t>DS</w:t>
            </w:r>
            <w:r w:rsidRPr="00BD4F95">
              <w:rPr>
                <w:vertAlign w:val="subscript"/>
              </w:rPr>
              <w:t>2</w:t>
            </w:r>
            <w:r w:rsidRPr="00BD4F95">
              <w:t>-VASc</w:t>
            </w:r>
          </w:p>
        </w:tc>
      </w:tr>
    </w:tbl>
    <w:p w:rsidR="00EB3ED4" w:rsidRDefault="00EB3ED4" w:rsidP="00EB3ED4">
      <w:pPr>
        <w:pStyle w:val="Caption"/>
        <w:divId w:val="1548566716"/>
      </w:pPr>
      <w:r>
        <w:t xml:space="preserve">Figure </w:t>
      </w:r>
      <w:fldSimple w:instr=" SEQ Figure \* ARABIC ">
        <w:r w:rsidR="00850455">
          <w:rPr>
            <w:noProof/>
          </w:rPr>
          <w:t>3</w:t>
        </w:r>
      </w:fldSimple>
      <w:r>
        <w:t xml:space="preserve"> Cost Effectiveness Acceptability Curves</w:t>
      </w:r>
    </w:p>
    <w:tbl>
      <w:tblPr>
        <w:tblStyle w:val="TableGrid"/>
        <w:tblW w:w="0" w:type="auto"/>
        <w:tblLook w:val="04A0"/>
      </w:tblPr>
      <w:tblGrid>
        <w:gridCol w:w="5916"/>
        <w:gridCol w:w="5916"/>
      </w:tblGrid>
      <w:tr w:rsidR="00EB3ED4" w:rsidTr="00EB3ED4">
        <w:trPr>
          <w:divId w:val="1548566716"/>
        </w:trPr>
        <w:tc>
          <w:tcPr>
            <w:tcW w:w="4674" w:type="dxa"/>
          </w:tcPr>
          <w:p w:rsidR="00EB3ED4" w:rsidRDefault="00EB3ED4" w:rsidP="00EB3ED4">
            <w:r w:rsidRPr="00EF4EB9">
              <w:rPr>
                <w:noProof/>
                <w:lang w:val="en-GB" w:eastAsia="en-GB"/>
              </w:rPr>
              <w:drawing>
                <wp:inline distT="0" distB="0" distL="0" distR="0">
                  <wp:extent cx="3600000" cy="3351389"/>
                  <wp:effectExtent l="19050" t="0" r="450" b="0"/>
                  <wp:docPr id="18" name="Picture 45" descr="Dab_C0_cea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b_C0_ceaf.jpeg"/>
                          <pic:cNvPicPr/>
                        </pic:nvPicPr>
                        <pic:blipFill>
                          <a:blip r:embed="rId14" cstate="print"/>
                          <a:srcRect t="7295"/>
                          <a:stretch>
                            <a:fillRect/>
                          </a:stretch>
                        </pic:blipFill>
                        <pic:spPr>
                          <a:xfrm>
                            <a:off x="0" y="0"/>
                            <a:ext cx="3600000" cy="3351389"/>
                          </a:xfrm>
                          <a:prstGeom prst="rect">
                            <a:avLst/>
                          </a:prstGeom>
                        </pic:spPr>
                      </pic:pic>
                    </a:graphicData>
                  </a:graphic>
                </wp:inline>
              </w:drawing>
            </w:r>
          </w:p>
        </w:tc>
        <w:tc>
          <w:tcPr>
            <w:tcW w:w="4950" w:type="dxa"/>
          </w:tcPr>
          <w:p w:rsidR="00EB3ED4" w:rsidRDefault="00EB3ED4" w:rsidP="00EB3ED4">
            <w:r w:rsidRPr="00EF4EB9">
              <w:rPr>
                <w:noProof/>
                <w:lang w:val="en-GB" w:eastAsia="en-GB"/>
              </w:rPr>
              <w:drawing>
                <wp:inline distT="0" distB="0" distL="0" distR="0">
                  <wp:extent cx="3600000" cy="3312717"/>
                  <wp:effectExtent l="19050" t="0" r="450" b="0"/>
                  <wp:docPr id="19" name="Picture 50" descr="Dab_CV0_cea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b_CV0_ceaf.jpeg"/>
                          <pic:cNvPicPr/>
                        </pic:nvPicPr>
                        <pic:blipFill>
                          <a:blip r:embed="rId15" cstate="print"/>
                          <a:srcRect t="8183"/>
                          <a:stretch>
                            <a:fillRect/>
                          </a:stretch>
                        </pic:blipFill>
                        <pic:spPr>
                          <a:xfrm>
                            <a:off x="0" y="0"/>
                            <a:ext cx="3600000" cy="3312717"/>
                          </a:xfrm>
                          <a:prstGeom prst="rect">
                            <a:avLst/>
                          </a:prstGeom>
                        </pic:spPr>
                      </pic:pic>
                    </a:graphicData>
                  </a:graphic>
                </wp:inline>
              </w:drawing>
            </w:r>
          </w:p>
        </w:tc>
      </w:tr>
      <w:tr w:rsidR="00EB3ED4" w:rsidTr="00EB3ED4">
        <w:trPr>
          <w:divId w:val="1548566716"/>
        </w:trPr>
        <w:tc>
          <w:tcPr>
            <w:tcW w:w="4674" w:type="dxa"/>
          </w:tcPr>
          <w:p w:rsidR="00EB3ED4" w:rsidRPr="00867ABA" w:rsidRDefault="00EB3ED4" w:rsidP="007461E7">
            <w:pPr>
              <w:pStyle w:val="ListParagraph"/>
              <w:numPr>
                <w:ilvl w:val="0"/>
                <w:numId w:val="10"/>
              </w:numPr>
            </w:pPr>
            <w:r w:rsidRPr="00867ABA">
              <w:t>CHADS</w:t>
            </w:r>
            <w:r w:rsidRPr="00867ABA">
              <w:rPr>
                <w:vertAlign w:val="subscript"/>
              </w:rPr>
              <w:t>2</w:t>
            </w:r>
          </w:p>
        </w:tc>
        <w:tc>
          <w:tcPr>
            <w:tcW w:w="4950" w:type="dxa"/>
          </w:tcPr>
          <w:p w:rsidR="00EB3ED4" w:rsidRPr="00BD4F95" w:rsidRDefault="00EB3ED4" w:rsidP="007461E7">
            <w:pPr>
              <w:pStyle w:val="ListParagraph"/>
              <w:numPr>
                <w:ilvl w:val="0"/>
                <w:numId w:val="10"/>
              </w:numPr>
            </w:pPr>
            <w:r w:rsidRPr="00BD4F95">
              <w:t>CHA</w:t>
            </w:r>
            <w:r w:rsidRPr="00BD4F95">
              <w:rPr>
                <w:vertAlign w:val="subscript"/>
              </w:rPr>
              <w:t>2</w:t>
            </w:r>
            <w:r w:rsidRPr="00BD4F95">
              <w:t>DS</w:t>
            </w:r>
            <w:r w:rsidRPr="00BD4F95">
              <w:rPr>
                <w:vertAlign w:val="subscript"/>
              </w:rPr>
              <w:t>2</w:t>
            </w:r>
            <w:r w:rsidRPr="00BD4F95">
              <w:t>-VASc</w:t>
            </w:r>
          </w:p>
        </w:tc>
      </w:tr>
    </w:tbl>
    <w:p w:rsidR="00EB3ED4" w:rsidRPr="00EF4EB9" w:rsidRDefault="00EB3ED4" w:rsidP="00EB3ED4">
      <w:pPr>
        <w:pStyle w:val="Caption"/>
        <w:divId w:val="1548566716"/>
      </w:pPr>
      <w:r>
        <w:t xml:space="preserve">Figure </w:t>
      </w:r>
      <w:fldSimple w:instr=" SEQ Figure \* ARABIC ">
        <w:r w:rsidR="00850455">
          <w:rPr>
            <w:noProof/>
          </w:rPr>
          <w:t>4</w:t>
        </w:r>
      </w:fldSimple>
      <w:r>
        <w:t xml:space="preserve"> Cost Effectiveness Acceptability Frontiers</w:t>
      </w:r>
    </w:p>
    <w:tbl>
      <w:tblPr>
        <w:tblStyle w:val="TableGrid"/>
        <w:tblW w:w="0" w:type="auto"/>
        <w:tblLook w:val="04A0"/>
      </w:tblPr>
      <w:tblGrid>
        <w:gridCol w:w="5916"/>
        <w:gridCol w:w="6668"/>
      </w:tblGrid>
      <w:tr w:rsidR="00EB3ED4" w:rsidTr="00EB3ED4">
        <w:trPr>
          <w:divId w:val="1548566716"/>
        </w:trPr>
        <w:tc>
          <w:tcPr>
            <w:tcW w:w="5914" w:type="dxa"/>
          </w:tcPr>
          <w:p w:rsidR="00EB3ED4" w:rsidRDefault="00EB3ED4" w:rsidP="00EB3ED4">
            <w:r w:rsidRPr="00EF4EB9">
              <w:rPr>
                <w:noProof/>
                <w:lang w:val="en-GB" w:eastAsia="en-GB"/>
              </w:rPr>
              <w:drawing>
                <wp:inline distT="0" distB="0" distL="0" distR="0">
                  <wp:extent cx="3600000" cy="3351631"/>
                  <wp:effectExtent l="19050" t="0" r="450" b="0"/>
                  <wp:docPr id="22" name="Picture 9" descr="C:\Users\User\AppData\Local\Temp\HR_Dab_C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Temp\HR_Dab_C0.jpe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6988"/>
                          <a:stretch>
                            <a:fillRect/>
                          </a:stretch>
                        </pic:blipFill>
                        <pic:spPr bwMode="auto">
                          <a:xfrm>
                            <a:off x="0" y="0"/>
                            <a:ext cx="3600000" cy="3351631"/>
                          </a:xfrm>
                          <a:prstGeom prst="rect">
                            <a:avLst/>
                          </a:prstGeom>
                          <a:noFill/>
                          <a:ln>
                            <a:noFill/>
                          </a:ln>
                        </pic:spPr>
                      </pic:pic>
                    </a:graphicData>
                  </a:graphic>
                </wp:inline>
              </w:drawing>
            </w:r>
          </w:p>
        </w:tc>
        <w:tc>
          <w:tcPr>
            <w:tcW w:w="6665" w:type="dxa"/>
          </w:tcPr>
          <w:p w:rsidR="00EB3ED4" w:rsidRDefault="00EB3ED4" w:rsidP="00EB3ED4">
            <w:r w:rsidRPr="00EF4EB9">
              <w:rPr>
                <w:noProof/>
                <w:lang w:val="en-GB" w:eastAsia="en-GB"/>
              </w:rPr>
              <w:drawing>
                <wp:inline distT="0" distB="0" distL="0" distR="0">
                  <wp:extent cx="4077818" cy="3351600"/>
                  <wp:effectExtent l="19050" t="0" r="0" b="0"/>
                  <wp:docPr id="23" name="Picture 12" descr="C:\Users\User\AppData\Local\Temp\HR_Dab_CV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Temp\HR_Dab_CV0.jpe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8532"/>
                          <a:stretch>
                            <a:fillRect/>
                          </a:stretch>
                        </pic:blipFill>
                        <pic:spPr bwMode="auto">
                          <a:xfrm>
                            <a:off x="0" y="0"/>
                            <a:ext cx="4077818" cy="3351600"/>
                          </a:xfrm>
                          <a:prstGeom prst="rect">
                            <a:avLst/>
                          </a:prstGeom>
                          <a:noFill/>
                          <a:ln>
                            <a:noFill/>
                          </a:ln>
                        </pic:spPr>
                      </pic:pic>
                    </a:graphicData>
                  </a:graphic>
                </wp:inline>
              </w:drawing>
            </w:r>
          </w:p>
        </w:tc>
      </w:tr>
      <w:tr w:rsidR="00EB3ED4" w:rsidTr="00EB3ED4">
        <w:trPr>
          <w:divId w:val="1548566716"/>
        </w:trPr>
        <w:tc>
          <w:tcPr>
            <w:tcW w:w="5914" w:type="dxa"/>
          </w:tcPr>
          <w:p w:rsidR="00EB3ED4" w:rsidRPr="00772D0B" w:rsidRDefault="00EB3ED4" w:rsidP="009C7509">
            <w:pPr>
              <w:pStyle w:val="ListParagraph"/>
              <w:numPr>
                <w:ilvl w:val="0"/>
                <w:numId w:val="13"/>
              </w:numPr>
            </w:pPr>
            <w:r w:rsidRPr="00772D0B">
              <w:t>CHADS</w:t>
            </w:r>
            <w:r w:rsidRPr="00772D0B">
              <w:rPr>
                <w:vertAlign w:val="subscript"/>
              </w:rPr>
              <w:t>2</w:t>
            </w:r>
          </w:p>
        </w:tc>
        <w:tc>
          <w:tcPr>
            <w:tcW w:w="6665" w:type="dxa"/>
          </w:tcPr>
          <w:p w:rsidR="00EB3ED4" w:rsidRPr="00BD4F95" w:rsidRDefault="00EB3ED4" w:rsidP="009C7509">
            <w:pPr>
              <w:pStyle w:val="ListParagraph"/>
              <w:keepNext/>
              <w:numPr>
                <w:ilvl w:val="0"/>
                <w:numId w:val="13"/>
              </w:numPr>
            </w:pPr>
            <w:r w:rsidRPr="00BD4F95">
              <w:t>CHA</w:t>
            </w:r>
            <w:r w:rsidRPr="00BD4F95">
              <w:rPr>
                <w:vertAlign w:val="subscript"/>
              </w:rPr>
              <w:t>2</w:t>
            </w:r>
            <w:r w:rsidRPr="00BD4F95">
              <w:t>DS</w:t>
            </w:r>
            <w:r w:rsidRPr="00BD4F95">
              <w:rPr>
                <w:vertAlign w:val="subscript"/>
              </w:rPr>
              <w:t>2</w:t>
            </w:r>
            <w:r w:rsidRPr="00BD4F95">
              <w:t>-VASc</w:t>
            </w:r>
          </w:p>
        </w:tc>
      </w:tr>
    </w:tbl>
    <w:p w:rsidR="00E36870" w:rsidRDefault="00850455" w:rsidP="00850455">
      <w:pPr>
        <w:pStyle w:val="Caption"/>
        <w:divId w:val="1548566716"/>
      </w:pPr>
      <w:r>
        <w:t xml:space="preserve">Figure </w:t>
      </w:r>
      <w:fldSimple w:instr=" SEQ Figure \* ARABIC ">
        <w:r>
          <w:rPr>
            <w:noProof/>
          </w:rPr>
          <w:t>5</w:t>
        </w:r>
      </w:fldSimple>
      <w:r>
        <w:t xml:space="preserve"> Relationship between true proportion high risk and ICER, depending on risk prediction instrument used</w:t>
      </w:r>
    </w:p>
    <w:sectPr w:rsidR="00E36870" w:rsidSect="00EB3ED4">
      <w:pgSz w:w="16838" w:h="11906" w:orient="landscape"/>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17EE" w:rsidRDefault="00DC17EE" w:rsidP="008D11C1">
      <w:r>
        <w:separator/>
      </w:r>
    </w:p>
  </w:endnote>
  <w:endnote w:type="continuationSeparator" w:id="0">
    <w:p w:rsidR="00DC17EE" w:rsidRDefault="00DC17EE" w:rsidP="008D11C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680004"/>
      <w:docPartObj>
        <w:docPartGallery w:val="Page Numbers (Bottom of Page)"/>
        <w:docPartUnique/>
      </w:docPartObj>
    </w:sdtPr>
    <w:sdtContent>
      <w:p w:rsidR="00DC17EE" w:rsidRDefault="00DC17EE" w:rsidP="008D11C1">
        <w:pPr>
          <w:pStyle w:val="Footer"/>
        </w:pPr>
        <w:fldSimple w:instr=" PAGE   \* MERGEFORMAT ">
          <w:r w:rsidR="000B7AA1">
            <w:rPr>
              <w:noProof/>
            </w:rPr>
            <w:t>10</w:t>
          </w:r>
        </w:fldSimple>
      </w:p>
    </w:sdtContent>
  </w:sdt>
  <w:p w:rsidR="00DC17EE" w:rsidRDefault="00DC17EE" w:rsidP="008D1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17EE" w:rsidRDefault="00DC17EE" w:rsidP="008D11C1">
      <w:r>
        <w:separator/>
      </w:r>
    </w:p>
  </w:footnote>
  <w:footnote w:type="continuationSeparator" w:id="0">
    <w:p w:rsidR="00DC17EE" w:rsidRDefault="00DC17EE" w:rsidP="008D11C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5CE79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EC1B82"/>
    <w:multiLevelType w:val="hybridMultilevel"/>
    <w:tmpl w:val="67080E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A4B5C9B"/>
    <w:multiLevelType w:val="hybridMultilevel"/>
    <w:tmpl w:val="9846306A"/>
    <w:lvl w:ilvl="0" w:tplc="2F2AB38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21DC38A2"/>
    <w:multiLevelType w:val="hybridMultilevel"/>
    <w:tmpl w:val="DDE08F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F592D76"/>
    <w:multiLevelType w:val="multilevel"/>
    <w:tmpl w:val="6624D892"/>
    <w:styleLink w:val="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Restart w:val="1"/>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5">
    <w:nsid w:val="37D231FA"/>
    <w:multiLevelType w:val="hybridMultilevel"/>
    <w:tmpl w:val="1D56AD7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AA04CF9"/>
    <w:multiLevelType w:val="hybridMultilevel"/>
    <w:tmpl w:val="BD063D36"/>
    <w:lvl w:ilvl="0" w:tplc="4E7A15E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4B8C76BE"/>
    <w:multiLevelType w:val="hybridMultilevel"/>
    <w:tmpl w:val="53FAF2BE"/>
    <w:lvl w:ilvl="0" w:tplc="0BCCF44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4BBA72F4"/>
    <w:multiLevelType w:val="hybridMultilevel"/>
    <w:tmpl w:val="3CF04F3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E0B235C"/>
    <w:multiLevelType w:val="hybridMultilevel"/>
    <w:tmpl w:val="E7AEC3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0CD7116"/>
    <w:multiLevelType w:val="hybridMultilevel"/>
    <w:tmpl w:val="AFFA7F72"/>
    <w:lvl w:ilvl="0" w:tplc="1EDE838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6DBF7621"/>
    <w:multiLevelType w:val="hybridMultilevel"/>
    <w:tmpl w:val="10B2CB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decimal"/>
        <w:pStyle w:val="Heading3"/>
        <w:lvlText w:val="%1.%2.%3."/>
        <w:lvlJc w:val="left"/>
        <w:pPr>
          <w:ind w:left="0" w:firstLine="0"/>
        </w:pPr>
        <w:rPr>
          <w:rFonts w:hint="default"/>
        </w:rPr>
      </w:lvl>
    </w:lvlOverride>
  </w:num>
  <w:num w:numId="2">
    <w:abstractNumId w:val="4"/>
  </w:num>
  <w:num w:numId="3">
    <w:abstractNumId w:val="1"/>
  </w:num>
  <w:num w:numId="4">
    <w:abstractNumId w:val="11"/>
  </w:num>
  <w:num w:numId="5">
    <w:abstractNumId w:val="8"/>
  </w:num>
  <w:num w:numId="6">
    <w:abstractNumId w:val="5"/>
  </w:num>
  <w:num w:numId="7">
    <w:abstractNumId w:val="3"/>
  </w:num>
  <w:num w:numId="8">
    <w:abstractNumId w:val="0"/>
  </w:num>
  <w:num w:numId="9">
    <w:abstractNumId w:val="9"/>
  </w:num>
  <w:num w:numId="10">
    <w:abstractNumId w:val="2"/>
  </w:num>
  <w:num w:numId="11">
    <w:abstractNumId w:val="10"/>
  </w:num>
  <w:num w:numId="12">
    <w:abstractNumId w:val="7"/>
  </w:num>
  <w:num w:numId="13">
    <w:abstractNumId w:val="6"/>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1259D1"/>
    <w:rsid w:val="00004236"/>
    <w:rsid w:val="00023D5D"/>
    <w:rsid w:val="0005390C"/>
    <w:rsid w:val="000A4ABF"/>
    <w:rsid w:val="000B7AA1"/>
    <w:rsid w:val="000C54E6"/>
    <w:rsid w:val="000F1109"/>
    <w:rsid w:val="000F1748"/>
    <w:rsid w:val="001259D1"/>
    <w:rsid w:val="00155B53"/>
    <w:rsid w:val="00155DF4"/>
    <w:rsid w:val="00161B1F"/>
    <w:rsid w:val="002173F5"/>
    <w:rsid w:val="002379A0"/>
    <w:rsid w:val="00260232"/>
    <w:rsid w:val="00263B7C"/>
    <w:rsid w:val="00266451"/>
    <w:rsid w:val="002857F0"/>
    <w:rsid w:val="002908BA"/>
    <w:rsid w:val="002970B4"/>
    <w:rsid w:val="002C4C31"/>
    <w:rsid w:val="00305A5B"/>
    <w:rsid w:val="00307F5F"/>
    <w:rsid w:val="00313F74"/>
    <w:rsid w:val="00321AA3"/>
    <w:rsid w:val="003559AD"/>
    <w:rsid w:val="003562A1"/>
    <w:rsid w:val="00356EEF"/>
    <w:rsid w:val="00366B50"/>
    <w:rsid w:val="00374A9D"/>
    <w:rsid w:val="00374E80"/>
    <w:rsid w:val="00395BE3"/>
    <w:rsid w:val="00397282"/>
    <w:rsid w:val="00397705"/>
    <w:rsid w:val="003A388D"/>
    <w:rsid w:val="003E2F7C"/>
    <w:rsid w:val="003F5221"/>
    <w:rsid w:val="00407CD7"/>
    <w:rsid w:val="004111A3"/>
    <w:rsid w:val="004323B5"/>
    <w:rsid w:val="00436D67"/>
    <w:rsid w:val="00440383"/>
    <w:rsid w:val="0044580B"/>
    <w:rsid w:val="00454436"/>
    <w:rsid w:val="0047004A"/>
    <w:rsid w:val="004850ED"/>
    <w:rsid w:val="00492057"/>
    <w:rsid w:val="004B7B0B"/>
    <w:rsid w:val="00500063"/>
    <w:rsid w:val="00501F33"/>
    <w:rsid w:val="00512460"/>
    <w:rsid w:val="00515AEC"/>
    <w:rsid w:val="00542E72"/>
    <w:rsid w:val="005A2BAB"/>
    <w:rsid w:val="005B26D5"/>
    <w:rsid w:val="005B4084"/>
    <w:rsid w:val="005E46D7"/>
    <w:rsid w:val="00604F56"/>
    <w:rsid w:val="00605BB7"/>
    <w:rsid w:val="00606B8D"/>
    <w:rsid w:val="006071D2"/>
    <w:rsid w:val="0061601D"/>
    <w:rsid w:val="00655A1D"/>
    <w:rsid w:val="00657538"/>
    <w:rsid w:val="00665212"/>
    <w:rsid w:val="00670364"/>
    <w:rsid w:val="006B480A"/>
    <w:rsid w:val="006B7EC6"/>
    <w:rsid w:val="006C6A74"/>
    <w:rsid w:val="006D7B3B"/>
    <w:rsid w:val="006E020D"/>
    <w:rsid w:val="0070222B"/>
    <w:rsid w:val="0071040B"/>
    <w:rsid w:val="00715C19"/>
    <w:rsid w:val="00736D21"/>
    <w:rsid w:val="007461E7"/>
    <w:rsid w:val="00772D0B"/>
    <w:rsid w:val="00795047"/>
    <w:rsid w:val="00796E10"/>
    <w:rsid w:val="007B765A"/>
    <w:rsid w:val="007D019C"/>
    <w:rsid w:val="00834F71"/>
    <w:rsid w:val="00850455"/>
    <w:rsid w:val="008539B5"/>
    <w:rsid w:val="00862C39"/>
    <w:rsid w:val="00867ABA"/>
    <w:rsid w:val="00875B61"/>
    <w:rsid w:val="008864FC"/>
    <w:rsid w:val="0089571D"/>
    <w:rsid w:val="008C72E4"/>
    <w:rsid w:val="008D11C1"/>
    <w:rsid w:val="008D613B"/>
    <w:rsid w:val="00903CA6"/>
    <w:rsid w:val="00930CCB"/>
    <w:rsid w:val="00932F8B"/>
    <w:rsid w:val="0094141C"/>
    <w:rsid w:val="00972322"/>
    <w:rsid w:val="00974077"/>
    <w:rsid w:val="00983B8D"/>
    <w:rsid w:val="009840A6"/>
    <w:rsid w:val="009A59BC"/>
    <w:rsid w:val="009B513D"/>
    <w:rsid w:val="009B762A"/>
    <w:rsid w:val="009C0DBF"/>
    <w:rsid w:val="009C2038"/>
    <w:rsid w:val="009C2BE1"/>
    <w:rsid w:val="009C7509"/>
    <w:rsid w:val="009F27B4"/>
    <w:rsid w:val="00A059E1"/>
    <w:rsid w:val="00A07773"/>
    <w:rsid w:val="00A12911"/>
    <w:rsid w:val="00A40066"/>
    <w:rsid w:val="00A42D14"/>
    <w:rsid w:val="00A541AC"/>
    <w:rsid w:val="00A8404E"/>
    <w:rsid w:val="00A96DA4"/>
    <w:rsid w:val="00AE69C3"/>
    <w:rsid w:val="00AF094E"/>
    <w:rsid w:val="00B14037"/>
    <w:rsid w:val="00B24433"/>
    <w:rsid w:val="00B325C3"/>
    <w:rsid w:val="00B37EDA"/>
    <w:rsid w:val="00B43839"/>
    <w:rsid w:val="00B577E8"/>
    <w:rsid w:val="00B7598B"/>
    <w:rsid w:val="00B819AE"/>
    <w:rsid w:val="00BD4F95"/>
    <w:rsid w:val="00C007A4"/>
    <w:rsid w:val="00C23AC0"/>
    <w:rsid w:val="00C3051A"/>
    <w:rsid w:val="00C42A71"/>
    <w:rsid w:val="00C46C92"/>
    <w:rsid w:val="00C6586B"/>
    <w:rsid w:val="00CB6661"/>
    <w:rsid w:val="00CE68A8"/>
    <w:rsid w:val="00CE721E"/>
    <w:rsid w:val="00CF007B"/>
    <w:rsid w:val="00CF1136"/>
    <w:rsid w:val="00D103FA"/>
    <w:rsid w:val="00D200D6"/>
    <w:rsid w:val="00D20CA0"/>
    <w:rsid w:val="00D34DE7"/>
    <w:rsid w:val="00D57902"/>
    <w:rsid w:val="00D65C68"/>
    <w:rsid w:val="00D67B2F"/>
    <w:rsid w:val="00D828F2"/>
    <w:rsid w:val="00DC17EE"/>
    <w:rsid w:val="00DC2BB2"/>
    <w:rsid w:val="00DC628D"/>
    <w:rsid w:val="00DF4463"/>
    <w:rsid w:val="00DF7E46"/>
    <w:rsid w:val="00E13288"/>
    <w:rsid w:val="00E36064"/>
    <w:rsid w:val="00E36870"/>
    <w:rsid w:val="00E55A94"/>
    <w:rsid w:val="00E55C64"/>
    <w:rsid w:val="00E57550"/>
    <w:rsid w:val="00E74F07"/>
    <w:rsid w:val="00E93B06"/>
    <w:rsid w:val="00E97667"/>
    <w:rsid w:val="00EB3ED4"/>
    <w:rsid w:val="00EB5AE5"/>
    <w:rsid w:val="00EB5B27"/>
    <w:rsid w:val="00ED065B"/>
    <w:rsid w:val="00ED1CB5"/>
    <w:rsid w:val="00EF7137"/>
    <w:rsid w:val="00F15320"/>
    <w:rsid w:val="00F406A5"/>
    <w:rsid w:val="00F5273F"/>
    <w:rsid w:val="00F54A94"/>
    <w:rsid w:val="00F91783"/>
    <w:rsid w:val="00FB3E31"/>
    <w:rsid w:val="00FB4677"/>
    <w:rsid w:val="00FC1604"/>
    <w:rsid w:val="00FD30C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1C1"/>
    <w:pPr>
      <w:spacing w:line="360" w:lineRule="auto"/>
      <w:jc w:val="both"/>
    </w:pPr>
  </w:style>
  <w:style w:type="paragraph" w:styleId="Heading1">
    <w:name w:val="heading 1"/>
    <w:next w:val="Normal"/>
    <w:link w:val="Heading1Char"/>
    <w:uiPriority w:val="9"/>
    <w:qFormat/>
    <w:rsid w:val="00B43839"/>
    <w:pPr>
      <w:numPr>
        <w:numId w:val="1"/>
      </w:num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B43839"/>
    <w:pPr>
      <w:numPr>
        <w:ilvl w:val="1"/>
      </w:numPr>
      <w:spacing w:before="200"/>
      <w:outlineLvl w:val="1"/>
    </w:pPr>
    <w:rPr>
      <w:bCs w:val="0"/>
      <w:i/>
      <w:szCs w:val="26"/>
    </w:rPr>
  </w:style>
  <w:style w:type="paragraph" w:styleId="Heading3">
    <w:name w:val="heading 3"/>
    <w:basedOn w:val="Heading2"/>
    <w:next w:val="Normal"/>
    <w:link w:val="Heading3Char"/>
    <w:uiPriority w:val="9"/>
    <w:unhideWhenUsed/>
    <w:qFormat/>
    <w:rsid w:val="00B43839"/>
    <w:pPr>
      <w:numPr>
        <w:ilvl w:val="2"/>
      </w:numPr>
      <w:spacing w:line="271" w:lineRule="auto"/>
      <w:outlineLvl w:val="2"/>
    </w:pPr>
    <w:rPr>
      <w:bCs/>
      <w:i w:val="0"/>
      <w:sz w:val="28"/>
    </w:rPr>
  </w:style>
  <w:style w:type="paragraph" w:styleId="Heading4">
    <w:name w:val="heading 4"/>
    <w:basedOn w:val="Heading3"/>
    <w:next w:val="Normal"/>
    <w:link w:val="Heading4Char"/>
    <w:uiPriority w:val="9"/>
    <w:unhideWhenUsed/>
    <w:qFormat/>
    <w:rsid w:val="008539B5"/>
    <w:pPr>
      <w:numPr>
        <w:ilvl w:val="3"/>
      </w:numPr>
      <w:outlineLvl w:val="3"/>
    </w:pPr>
    <w:rPr>
      <w:bCs w:val="0"/>
      <w:i/>
      <w:iCs/>
    </w:rPr>
  </w:style>
  <w:style w:type="paragraph" w:styleId="Heading5">
    <w:name w:val="heading 5"/>
    <w:basedOn w:val="Heading4"/>
    <w:next w:val="Normal"/>
    <w:link w:val="Heading5Char"/>
    <w:uiPriority w:val="9"/>
    <w:unhideWhenUsed/>
    <w:qFormat/>
    <w:rsid w:val="008539B5"/>
    <w:pPr>
      <w:numPr>
        <w:ilvl w:val="4"/>
      </w:numPr>
      <w:outlineLvl w:val="4"/>
    </w:pPr>
    <w:rPr>
      <w:b w:val="0"/>
      <w:bCs/>
    </w:rPr>
  </w:style>
  <w:style w:type="paragraph" w:styleId="Heading6">
    <w:name w:val="heading 6"/>
    <w:basedOn w:val="Heading5"/>
    <w:next w:val="Normal"/>
    <w:link w:val="Heading6Char"/>
    <w:uiPriority w:val="9"/>
    <w:semiHidden/>
    <w:unhideWhenUsed/>
    <w:qFormat/>
    <w:rsid w:val="00B14037"/>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B43839"/>
    <w:pPr>
      <w:numPr>
        <w:ilvl w:val="6"/>
      </w:numPr>
      <w:outlineLvl w:val="6"/>
    </w:pPr>
    <w:rPr>
      <w:i/>
      <w:iCs/>
    </w:rPr>
  </w:style>
  <w:style w:type="paragraph" w:styleId="Heading8">
    <w:name w:val="heading 8"/>
    <w:basedOn w:val="Heading7"/>
    <w:next w:val="Normal"/>
    <w:link w:val="Heading8Char"/>
    <w:uiPriority w:val="9"/>
    <w:semiHidden/>
    <w:unhideWhenUsed/>
    <w:qFormat/>
    <w:rsid w:val="00B43839"/>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B43839"/>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83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B43839"/>
    <w:rPr>
      <w:rFonts w:asciiTheme="majorHAnsi" w:eastAsiaTheme="majorEastAsia" w:hAnsiTheme="majorHAnsi" w:cstheme="majorBidi"/>
      <w:b/>
      <w:i/>
      <w:sz w:val="32"/>
      <w:szCs w:val="26"/>
    </w:rPr>
  </w:style>
  <w:style w:type="character" w:customStyle="1" w:styleId="Heading3Char">
    <w:name w:val="Heading 3 Char"/>
    <w:basedOn w:val="DefaultParagraphFont"/>
    <w:link w:val="Heading3"/>
    <w:uiPriority w:val="9"/>
    <w:rsid w:val="00B43839"/>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8539B5"/>
    <w:rPr>
      <w:rFonts w:asciiTheme="majorHAnsi" w:eastAsiaTheme="majorEastAsia" w:hAnsiTheme="majorHAnsi" w:cstheme="majorBidi"/>
      <w:b/>
      <w:i/>
      <w:iCs/>
      <w:sz w:val="28"/>
      <w:szCs w:val="26"/>
    </w:rPr>
  </w:style>
  <w:style w:type="character" w:customStyle="1" w:styleId="Heading5Char">
    <w:name w:val="Heading 5 Char"/>
    <w:basedOn w:val="DefaultParagraphFont"/>
    <w:link w:val="Heading5"/>
    <w:uiPriority w:val="9"/>
    <w:rsid w:val="008539B5"/>
    <w:rPr>
      <w:rFonts w:asciiTheme="majorHAnsi" w:eastAsiaTheme="majorEastAsia" w:hAnsiTheme="majorHAnsi" w:cstheme="majorBidi"/>
      <w:bCs/>
      <w:i/>
      <w:iCs/>
      <w:sz w:val="28"/>
      <w:szCs w:val="26"/>
    </w:rPr>
  </w:style>
  <w:style w:type="character" w:customStyle="1" w:styleId="Heading6Char">
    <w:name w:val="Heading 6 Char"/>
    <w:basedOn w:val="DefaultParagraphFont"/>
    <w:link w:val="Heading6"/>
    <w:uiPriority w:val="9"/>
    <w:semiHidden/>
    <w:rsid w:val="00B14037"/>
    <w:rPr>
      <w:rFonts w:asciiTheme="majorHAnsi" w:eastAsiaTheme="majorEastAsia" w:hAnsiTheme="majorHAnsi" w:cstheme="majorBidi"/>
      <w:b/>
      <w:sz w:val="28"/>
      <w:szCs w:val="26"/>
    </w:rPr>
  </w:style>
  <w:style w:type="character" w:customStyle="1" w:styleId="Heading7Char">
    <w:name w:val="Heading 7 Char"/>
    <w:basedOn w:val="DefaultParagraphFont"/>
    <w:link w:val="Heading7"/>
    <w:uiPriority w:val="9"/>
    <w:semiHidden/>
    <w:rsid w:val="00B43839"/>
    <w:rPr>
      <w:rFonts w:asciiTheme="majorHAnsi" w:eastAsiaTheme="majorEastAsia" w:hAnsiTheme="majorHAnsi" w:cstheme="majorBidi"/>
      <w:b/>
      <w:i/>
      <w:iCs/>
      <w:sz w:val="28"/>
      <w:szCs w:val="26"/>
    </w:rPr>
  </w:style>
  <w:style w:type="character" w:customStyle="1" w:styleId="Heading8Char">
    <w:name w:val="Heading 8 Char"/>
    <w:basedOn w:val="DefaultParagraphFont"/>
    <w:link w:val="Heading8"/>
    <w:uiPriority w:val="9"/>
    <w:semiHidden/>
    <w:rsid w:val="00B43839"/>
    <w:rPr>
      <w:rFonts w:asciiTheme="majorHAnsi" w:eastAsiaTheme="majorEastAsia" w:hAnsiTheme="majorHAnsi" w:cstheme="majorBidi"/>
      <w:b/>
      <w:i/>
      <w:iCs/>
      <w:sz w:val="20"/>
      <w:szCs w:val="20"/>
    </w:rPr>
  </w:style>
  <w:style w:type="character" w:customStyle="1" w:styleId="Heading9Char">
    <w:name w:val="Heading 9 Char"/>
    <w:basedOn w:val="DefaultParagraphFont"/>
    <w:link w:val="Heading9"/>
    <w:uiPriority w:val="9"/>
    <w:semiHidden/>
    <w:rsid w:val="00B43839"/>
    <w:rPr>
      <w:rFonts w:asciiTheme="majorHAnsi" w:eastAsiaTheme="majorEastAsia" w:hAnsiTheme="majorHAnsi" w:cstheme="majorBidi"/>
      <w:b/>
      <w:spacing w:val="5"/>
      <w:sz w:val="20"/>
      <w:szCs w:val="20"/>
    </w:rPr>
  </w:style>
  <w:style w:type="paragraph" w:styleId="Title">
    <w:name w:val="Title"/>
    <w:basedOn w:val="Normal"/>
    <w:next w:val="Normal"/>
    <w:link w:val="TitleChar"/>
    <w:uiPriority w:val="10"/>
    <w:qFormat/>
    <w:rsid w:val="001259D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259D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259D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259D1"/>
    <w:rPr>
      <w:rFonts w:asciiTheme="majorHAnsi" w:eastAsiaTheme="majorEastAsia" w:hAnsiTheme="majorHAnsi" w:cstheme="majorBidi"/>
      <w:i/>
      <w:iCs/>
      <w:spacing w:val="13"/>
      <w:sz w:val="24"/>
      <w:szCs w:val="24"/>
    </w:rPr>
  </w:style>
  <w:style w:type="character" w:styleId="Strong">
    <w:name w:val="Strong"/>
    <w:uiPriority w:val="22"/>
    <w:qFormat/>
    <w:rsid w:val="001259D1"/>
    <w:rPr>
      <w:b/>
      <w:bCs/>
    </w:rPr>
  </w:style>
  <w:style w:type="character" w:styleId="Emphasis">
    <w:name w:val="Emphasis"/>
    <w:uiPriority w:val="20"/>
    <w:qFormat/>
    <w:rsid w:val="001259D1"/>
    <w:rPr>
      <w:b/>
      <w:bCs/>
      <w:i/>
      <w:iCs/>
      <w:spacing w:val="10"/>
      <w:bdr w:val="none" w:sz="0" w:space="0" w:color="auto"/>
      <w:shd w:val="clear" w:color="auto" w:fill="auto"/>
    </w:rPr>
  </w:style>
  <w:style w:type="paragraph" w:styleId="NoSpacing">
    <w:name w:val="No Spacing"/>
    <w:basedOn w:val="Normal"/>
    <w:uiPriority w:val="1"/>
    <w:qFormat/>
    <w:rsid w:val="001259D1"/>
    <w:pPr>
      <w:spacing w:after="0" w:line="240" w:lineRule="auto"/>
    </w:pPr>
  </w:style>
  <w:style w:type="paragraph" w:styleId="ListParagraph">
    <w:name w:val="List Paragraph"/>
    <w:basedOn w:val="Normal"/>
    <w:uiPriority w:val="34"/>
    <w:qFormat/>
    <w:rsid w:val="001259D1"/>
    <w:pPr>
      <w:ind w:left="720"/>
      <w:contextualSpacing/>
    </w:pPr>
  </w:style>
  <w:style w:type="paragraph" w:styleId="Quote">
    <w:name w:val="Quote"/>
    <w:basedOn w:val="Normal"/>
    <w:next w:val="Normal"/>
    <w:link w:val="QuoteChar"/>
    <w:uiPriority w:val="29"/>
    <w:qFormat/>
    <w:rsid w:val="001259D1"/>
    <w:pPr>
      <w:spacing w:before="200" w:after="0"/>
      <w:ind w:left="360" w:right="360"/>
    </w:pPr>
    <w:rPr>
      <w:i/>
      <w:iCs/>
    </w:rPr>
  </w:style>
  <w:style w:type="character" w:customStyle="1" w:styleId="QuoteChar">
    <w:name w:val="Quote Char"/>
    <w:basedOn w:val="DefaultParagraphFont"/>
    <w:link w:val="Quote"/>
    <w:uiPriority w:val="29"/>
    <w:rsid w:val="001259D1"/>
    <w:rPr>
      <w:i/>
      <w:iCs/>
    </w:rPr>
  </w:style>
  <w:style w:type="paragraph" w:styleId="IntenseQuote">
    <w:name w:val="Intense Quote"/>
    <w:basedOn w:val="Normal"/>
    <w:next w:val="Normal"/>
    <w:link w:val="IntenseQuoteChar"/>
    <w:uiPriority w:val="30"/>
    <w:qFormat/>
    <w:rsid w:val="001259D1"/>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1259D1"/>
    <w:rPr>
      <w:b/>
      <w:bCs/>
      <w:i/>
      <w:iCs/>
    </w:rPr>
  </w:style>
  <w:style w:type="character" w:styleId="SubtleEmphasis">
    <w:name w:val="Subtle Emphasis"/>
    <w:uiPriority w:val="19"/>
    <w:qFormat/>
    <w:rsid w:val="001259D1"/>
    <w:rPr>
      <w:i/>
      <w:iCs/>
    </w:rPr>
  </w:style>
  <w:style w:type="character" w:styleId="IntenseEmphasis">
    <w:name w:val="Intense Emphasis"/>
    <w:uiPriority w:val="21"/>
    <w:qFormat/>
    <w:rsid w:val="001259D1"/>
    <w:rPr>
      <w:b/>
      <w:bCs/>
    </w:rPr>
  </w:style>
  <w:style w:type="character" w:styleId="SubtleReference">
    <w:name w:val="Subtle Reference"/>
    <w:uiPriority w:val="31"/>
    <w:qFormat/>
    <w:rsid w:val="001259D1"/>
    <w:rPr>
      <w:smallCaps/>
    </w:rPr>
  </w:style>
  <w:style w:type="character" w:styleId="IntenseReference">
    <w:name w:val="Intense Reference"/>
    <w:uiPriority w:val="32"/>
    <w:qFormat/>
    <w:rsid w:val="001259D1"/>
    <w:rPr>
      <w:smallCaps/>
      <w:spacing w:val="5"/>
      <w:u w:val="single"/>
    </w:rPr>
  </w:style>
  <w:style w:type="character" w:styleId="BookTitle">
    <w:name w:val="Book Title"/>
    <w:uiPriority w:val="33"/>
    <w:qFormat/>
    <w:rsid w:val="001259D1"/>
    <w:rPr>
      <w:i/>
      <w:iCs/>
      <w:smallCaps/>
      <w:spacing w:val="5"/>
    </w:rPr>
  </w:style>
  <w:style w:type="paragraph" w:styleId="TOCHeading">
    <w:name w:val="TOC Heading"/>
    <w:basedOn w:val="Heading1"/>
    <w:next w:val="Normal"/>
    <w:uiPriority w:val="39"/>
    <w:semiHidden/>
    <w:unhideWhenUsed/>
    <w:qFormat/>
    <w:rsid w:val="001259D1"/>
    <w:pPr>
      <w:outlineLvl w:val="9"/>
    </w:pPr>
  </w:style>
  <w:style w:type="numbering" w:customStyle="1" w:styleId="Headings">
    <w:name w:val="Headings"/>
    <w:uiPriority w:val="99"/>
    <w:rsid w:val="00B43839"/>
    <w:pPr>
      <w:numPr>
        <w:numId w:val="2"/>
      </w:numPr>
    </w:pPr>
  </w:style>
  <w:style w:type="paragraph" w:styleId="FootnoteText">
    <w:name w:val="footnote text"/>
    <w:basedOn w:val="Normal"/>
    <w:link w:val="FootnoteTextChar"/>
    <w:uiPriority w:val="99"/>
    <w:semiHidden/>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FootnoteTextChar">
    <w:name w:val="Footnote Text Char"/>
    <w:basedOn w:val="DefaultParagraphFont"/>
    <w:link w:val="FootnoteText"/>
    <w:uiPriority w:val="99"/>
    <w:semiHidden/>
    <w:rsid w:val="00715C19"/>
    <w:rPr>
      <w:rFonts w:ascii="Times New Roman" w:eastAsia="Times New Roman" w:hAnsi="Times New Roman" w:cs="Times New Roman"/>
      <w:sz w:val="20"/>
      <w:szCs w:val="20"/>
      <w:lang w:val="en-GB" w:eastAsia="en-GB" w:bidi="ar-SA"/>
    </w:rPr>
  </w:style>
  <w:style w:type="character" w:styleId="FootnoteReference">
    <w:name w:val="footnote reference"/>
    <w:basedOn w:val="DefaultParagraphFont"/>
    <w:uiPriority w:val="99"/>
    <w:semiHidden/>
    <w:rsid w:val="00715C19"/>
    <w:rPr>
      <w:vertAlign w:val="superscript"/>
    </w:rPr>
  </w:style>
  <w:style w:type="paragraph" w:styleId="Header">
    <w:name w:val="header"/>
    <w:link w:val="HeaderChar"/>
    <w:uiPriority w:val="99"/>
    <w:rsid w:val="00715C19"/>
    <w:pPr>
      <w:tabs>
        <w:tab w:val="center" w:pos="4153"/>
        <w:tab w:val="right" w:pos="8306"/>
      </w:tabs>
    </w:pPr>
    <w:rPr>
      <w:rFonts w:ascii="Times New Roman" w:eastAsia="Times New Roman" w:hAnsi="Times New Roman" w:cs="Times New Roman"/>
      <w:sz w:val="24"/>
      <w:szCs w:val="24"/>
      <w:lang w:val="en-GB" w:eastAsia="en-GB" w:bidi="ar-SA"/>
    </w:rPr>
  </w:style>
  <w:style w:type="character" w:customStyle="1" w:styleId="HeaderChar">
    <w:name w:val="Header Char"/>
    <w:basedOn w:val="DefaultParagraphFont"/>
    <w:link w:val="Header"/>
    <w:uiPriority w:val="99"/>
    <w:rsid w:val="00715C19"/>
    <w:rPr>
      <w:rFonts w:ascii="Times New Roman" w:eastAsia="Times New Roman" w:hAnsi="Times New Roman" w:cs="Times New Roman"/>
      <w:sz w:val="24"/>
      <w:szCs w:val="24"/>
      <w:lang w:val="en-GB" w:eastAsia="en-GB" w:bidi="ar-SA"/>
    </w:rPr>
  </w:style>
  <w:style w:type="character" w:styleId="Hyperlink">
    <w:name w:val="Hyperlink"/>
    <w:basedOn w:val="DefaultParagraphFont"/>
    <w:uiPriority w:val="99"/>
    <w:rsid w:val="00715C19"/>
    <w:rPr>
      <w:color w:val="0000FF"/>
      <w:u w:val="single"/>
    </w:rPr>
  </w:style>
  <w:style w:type="numbering" w:customStyle="1" w:styleId="NoList1">
    <w:name w:val="No List1"/>
    <w:next w:val="NoList"/>
    <w:uiPriority w:val="99"/>
    <w:semiHidden/>
    <w:unhideWhenUsed/>
    <w:rsid w:val="00715C19"/>
  </w:style>
  <w:style w:type="table" w:styleId="TableGrid">
    <w:name w:val="Table Grid"/>
    <w:basedOn w:val="TableNormal"/>
    <w:uiPriority w:val="59"/>
    <w:rsid w:val="00715C19"/>
    <w:pPr>
      <w:spacing w:after="0" w:line="240" w:lineRule="auto"/>
    </w:pPr>
    <w:rPr>
      <w:rFonts w:ascii="Calibri" w:eastAsia="Calibri" w:hAnsi="Calibri"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715C19"/>
  </w:style>
  <w:style w:type="numbering" w:customStyle="1" w:styleId="NoList3">
    <w:name w:val="No List3"/>
    <w:next w:val="NoList"/>
    <w:uiPriority w:val="99"/>
    <w:semiHidden/>
    <w:unhideWhenUsed/>
    <w:rsid w:val="00715C19"/>
  </w:style>
  <w:style w:type="paragraph" w:customStyle="1" w:styleId="Default">
    <w:name w:val="Default"/>
    <w:rsid w:val="00715C19"/>
    <w:pPr>
      <w:autoSpaceDE w:val="0"/>
      <w:autoSpaceDN w:val="0"/>
      <w:adjustRightInd w:val="0"/>
      <w:spacing w:after="0" w:line="240" w:lineRule="auto"/>
    </w:pPr>
    <w:rPr>
      <w:rFonts w:ascii="Arial" w:eastAsia="Times New Roman" w:hAnsi="Arial" w:cs="Arial"/>
      <w:color w:val="000000"/>
      <w:sz w:val="24"/>
      <w:szCs w:val="24"/>
      <w:lang w:bidi="ar-SA"/>
    </w:rPr>
  </w:style>
  <w:style w:type="table" w:customStyle="1" w:styleId="TableGrid1">
    <w:name w:val="Table Grid1"/>
    <w:basedOn w:val="TableNormal"/>
    <w:next w:val="TableGrid"/>
    <w:uiPriority w:val="59"/>
    <w:rsid w:val="00715C19"/>
    <w:pPr>
      <w:spacing w:after="0" w:line="240" w:lineRule="auto"/>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15C19"/>
    <w:rPr>
      <w:sz w:val="16"/>
      <w:szCs w:val="16"/>
    </w:rPr>
  </w:style>
  <w:style w:type="paragraph" w:styleId="CommentText">
    <w:name w:val="annotation text"/>
    <w:basedOn w:val="Normal"/>
    <w:link w:val="CommentTextChar"/>
    <w:uiPriority w:val="99"/>
    <w:unhideWhenUsed/>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CommentTextChar">
    <w:name w:val="Comment Text Char"/>
    <w:basedOn w:val="DefaultParagraphFont"/>
    <w:link w:val="CommentText"/>
    <w:uiPriority w:val="99"/>
    <w:rsid w:val="00715C19"/>
    <w:rPr>
      <w:rFonts w:ascii="Times New Roman" w:eastAsia="Times New Roman" w:hAnsi="Times New Roman" w:cs="Times New Roman"/>
      <w:sz w:val="20"/>
      <w:szCs w:val="20"/>
      <w:lang w:val="en-GB" w:eastAsia="en-GB" w:bidi="ar-SA"/>
    </w:rPr>
  </w:style>
  <w:style w:type="paragraph" w:styleId="CommentSubject">
    <w:name w:val="annotation subject"/>
    <w:basedOn w:val="CommentText"/>
    <w:next w:val="CommentText"/>
    <w:link w:val="CommentSubjectChar"/>
    <w:uiPriority w:val="99"/>
    <w:semiHidden/>
    <w:unhideWhenUsed/>
    <w:rsid w:val="00715C19"/>
    <w:rPr>
      <w:b/>
      <w:bCs/>
    </w:rPr>
  </w:style>
  <w:style w:type="character" w:customStyle="1" w:styleId="CommentSubjectChar">
    <w:name w:val="Comment Subject Char"/>
    <w:basedOn w:val="CommentTextChar"/>
    <w:link w:val="CommentSubject"/>
    <w:uiPriority w:val="99"/>
    <w:semiHidden/>
    <w:rsid w:val="00715C19"/>
    <w:rPr>
      <w:rFonts w:ascii="Times New Roman" w:eastAsia="Times New Roman" w:hAnsi="Times New Roman" w:cs="Times New Roman"/>
      <w:b/>
      <w:bCs/>
      <w:sz w:val="20"/>
      <w:szCs w:val="20"/>
      <w:lang w:val="en-GB" w:eastAsia="en-GB" w:bidi="ar-SA"/>
    </w:rPr>
  </w:style>
  <w:style w:type="paragraph" w:styleId="BalloonText">
    <w:name w:val="Balloon Text"/>
    <w:basedOn w:val="Normal"/>
    <w:link w:val="BalloonTextChar"/>
    <w:uiPriority w:val="99"/>
    <w:semiHidden/>
    <w:unhideWhenUsed/>
    <w:rsid w:val="00715C19"/>
    <w:pPr>
      <w:spacing w:after="0" w:line="240" w:lineRule="auto"/>
    </w:pPr>
    <w:rPr>
      <w:rFonts w:ascii="Tahoma" w:eastAsia="Times New Roman" w:hAnsi="Tahoma" w:cs="Tahoma"/>
      <w:sz w:val="16"/>
      <w:szCs w:val="16"/>
      <w:lang w:val="en-GB" w:eastAsia="en-GB" w:bidi="ar-SA"/>
    </w:rPr>
  </w:style>
  <w:style w:type="character" w:customStyle="1" w:styleId="BalloonTextChar">
    <w:name w:val="Balloon Text Char"/>
    <w:basedOn w:val="DefaultParagraphFont"/>
    <w:link w:val="BalloonText"/>
    <w:uiPriority w:val="99"/>
    <w:semiHidden/>
    <w:rsid w:val="00715C19"/>
    <w:rPr>
      <w:rFonts w:ascii="Tahoma" w:eastAsia="Times New Roman" w:hAnsi="Tahoma" w:cs="Tahoma"/>
      <w:sz w:val="16"/>
      <w:szCs w:val="16"/>
      <w:lang w:val="en-GB" w:eastAsia="en-GB" w:bidi="ar-SA"/>
    </w:rPr>
  </w:style>
  <w:style w:type="paragraph" w:customStyle="1" w:styleId="TableTitle">
    <w:name w:val="TableTitle"/>
    <w:basedOn w:val="Normal"/>
    <w:rsid w:val="00715C19"/>
    <w:pPr>
      <w:spacing w:after="0" w:line="300" w:lineRule="exact"/>
    </w:pPr>
    <w:rPr>
      <w:rFonts w:ascii="Times New Roman" w:eastAsia="Times New Roman" w:hAnsi="Times New Roman" w:cs="Times New Roman"/>
      <w:sz w:val="24"/>
      <w:szCs w:val="20"/>
      <w:lang w:val="en-GB" w:bidi="ar-SA"/>
    </w:rPr>
  </w:style>
  <w:style w:type="paragraph" w:styleId="Footer">
    <w:name w:val="footer"/>
    <w:basedOn w:val="Normal"/>
    <w:link w:val="FooterChar"/>
    <w:uiPriority w:val="99"/>
    <w:unhideWhenUsed/>
    <w:rsid w:val="00715C19"/>
    <w:pPr>
      <w:tabs>
        <w:tab w:val="center" w:pos="4513"/>
        <w:tab w:val="right" w:pos="9026"/>
      </w:tabs>
      <w:spacing w:after="0" w:line="240" w:lineRule="auto"/>
    </w:pPr>
    <w:rPr>
      <w:rFonts w:ascii="Times New Roman" w:eastAsia="Times New Roman" w:hAnsi="Times New Roman" w:cs="Times New Roman"/>
      <w:sz w:val="24"/>
      <w:szCs w:val="24"/>
      <w:lang w:val="en-GB" w:eastAsia="en-GB" w:bidi="ar-SA"/>
    </w:rPr>
  </w:style>
  <w:style w:type="character" w:customStyle="1" w:styleId="FooterChar">
    <w:name w:val="Footer Char"/>
    <w:basedOn w:val="DefaultParagraphFont"/>
    <w:link w:val="Footer"/>
    <w:uiPriority w:val="99"/>
    <w:rsid w:val="00715C19"/>
    <w:rPr>
      <w:rFonts w:ascii="Times New Roman" w:eastAsia="Times New Roman" w:hAnsi="Times New Roman" w:cs="Times New Roman"/>
      <w:sz w:val="24"/>
      <w:szCs w:val="24"/>
      <w:lang w:val="en-GB" w:eastAsia="en-GB" w:bidi="ar-SA"/>
    </w:rPr>
  </w:style>
  <w:style w:type="character" w:styleId="FollowedHyperlink">
    <w:name w:val="FollowedHyperlink"/>
    <w:basedOn w:val="DefaultParagraphFont"/>
    <w:uiPriority w:val="99"/>
    <w:semiHidden/>
    <w:unhideWhenUsed/>
    <w:rsid w:val="00715C19"/>
    <w:rPr>
      <w:color w:val="800080" w:themeColor="followedHyperlink"/>
      <w:u w:val="single"/>
    </w:rPr>
  </w:style>
  <w:style w:type="character" w:customStyle="1" w:styleId="st1">
    <w:name w:val="st1"/>
    <w:basedOn w:val="DefaultParagraphFont"/>
    <w:rsid w:val="00715C19"/>
  </w:style>
  <w:style w:type="paragraph" w:styleId="HTMLPreformatted">
    <w:name w:val="HTML Preformatted"/>
    <w:basedOn w:val="Normal"/>
    <w:link w:val="HTMLPreformattedChar"/>
    <w:uiPriority w:val="99"/>
    <w:unhideWhenUsed/>
    <w:rsid w:val="0071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15C19"/>
    <w:rPr>
      <w:rFonts w:ascii="Courier New" w:eastAsia="Times New Roman" w:hAnsi="Courier New" w:cs="Courier New"/>
      <w:sz w:val="20"/>
      <w:szCs w:val="20"/>
      <w:lang w:val="en-GB" w:eastAsia="en-GB"/>
    </w:rPr>
  </w:style>
  <w:style w:type="character" w:customStyle="1" w:styleId="gd40030cor">
    <w:name w:val="gd40030cor"/>
    <w:basedOn w:val="DefaultParagraphFont"/>
    <w:rsid w:val="00715C19"/>
  </w:style>
  <w:style w:type="character" w:customStyle="1" w:styleId="gd40030ccr">
    <w:name w:val="gd40030ccr"/>
    <w:basedOn w:val="DefaultParagraphFont"/>
    <w:rsid w:val="00715C19"/>
  </w:style>
  <w:style w:type="paragraph" w:styleId="Caption">
    <w:name w:val="caption"/>
    <w:basedOn w:val="Normal"/>
    <w:next w:val="Normal"/>
    <w:uiPriority w:val="35"/>
    <w:unhideWhenUsed/>
    <w:qFormat/>
    <w:rsid w:val="00715C19"/>
    <w:pPr>
      <w:spacing w:line="240" w:lineRule="auto"/>
    </w:pPr>
    <w:rPr>
      <w:b/>
      <w:bCs/>
      <w:color w:val="4F81BD" w:themeColor="accent1"/>
      <w:sz w:val="18"/>
      <w:szCs w:val="18"/>
      <w:lang w:val="en-GB"/>
    </w:rPr>
  </w:style>
  <w:style w:type="paragraph" w:styleId="DocumentMap">
    <w:name w:val="Document Map"/>
    <w:basedOn w:val="Normal"/>
    <w:link w:val="DocumentMapChar"/>
    <w:uiPriority w:val="99"/>
    <w:semiHidden/>
    <w:unhideWhenUsed/>
    <w:rsid w:val="00715C19"/>
    <w:pPr>
      <w:spacing w:after="0" w:line="240" w:lineRule="auto"/>
    </w:pPr>
    <w:rPr>
      <w:rFonts w:ascii="Tahoma" w:hAnsi="Tahoma" w:cs="Tahoma"/>
      <w:sz w:val="16"/>
      <w:szCs w:val="16"/>
      <w:lang w:val="en-GB"/>
    </w:rPr>
  </w:style>
  <w:style w:type="character" w:customStyle="1" w:styleId="DocumentMapChar">
    <w:name w:val="Document Map Char"/>
    <w:basedOn w:val="DefaultParagraphFont"/>
    <w:link w:val="DocumentMap"/>
    <w:uiPriority w:val="99"/>
    <w:semiHidden/>
    <w:rsid w:val="00715C19"/>
    <w:rPr>
      <w:rFonts w:ascii="Tahoma" w:hAnsi="Tahoma" w:cs="Tahoma"/>
      <w:sz w:val="16"/>
      <w:szCs w:val="16"/>
      <w:lang w:val="en-GB"/>
    </w:rPr>
  </w:style>
  <w:style w:type="paragraph" w:styleId="TOC1">
    <w:name w:val="toc 1"/>
    <w:basedOn w:val="Normal"/>
    <w:next w:val="Normal"/>
    <w:autoRedefine/>
    <w:uiPriority w:val="39"/>
    <w:unhideWhenUsed/>
    <w:rsid w:val="00715C19"/>
    <w:pPr>
      <w:spacing w:after="100"/>
    </w:pPr>
    <w:rPr>
      <w:lang w:val="en-GB"/>
    </w:rPr>
  </w:style>
  <w:style w:type="paragraph" w:styleId="TOC2">
    <w:name w:val="toc 2"/>
    <w:basedOn w:val="Normal"/>
    <w:next w:val="Normal"/>
    <w:autoRedefine/>
    <w:uiPriority w:val="39"/>
    <w:unhideWhenUsed/>
    <w:rsid w:val="00715C19"/>
    <w:pPr>
      <w:spacing w:after="100"/>
      <w:ind w:left="220"/>
    </w:pPr>
    <w:rPr>
      <w:lang w:val="en-GB"/>
    </w:rPr>
  </w:style>
  <w:style w:type="paragraph" w:styleId="TOC3">
    <w:name w:val="toc 3"/>
    <w:basedOn w:val="Normal"/>
    <w:next w:val="Normal"/>
    <w:autoRedefine/>
    <w:uiPriority w:val="39"/>
    <w:unhideWhenUsed/>
    <w:rsid w:val="00715C19"/>
    <w:pPr>
      <w:spacing w:after="100"/>
      <w:ind w:left="440"/>
    </w:pPr>
    <w:rPr>
      <w:lang w:val="en-GB"/>
    </w:rPr>
  </w:style>
  <w:style w:type="paragraph" w:styleId="TableofFigures">
    <w:name w:val="table of figures"/>
    <w:basedOn w:val="Normal"/>
    <w:next w:val="Normal"/>
    <w:uiPriority w:val="99"/>
    <w:unhideWhenUsed/>
    <w:rsid w:val="00715C19"/>
    <w:pPr>
      <w:spacing w:after="0"/>
    </w:pPr>
    <w:rPr>
      <w:lang w:val="en-GB"/>
    </w:rPr>
  </w:style>
  <w:style w:type="paragraph" w:styleId="Revision">
    <w:name w:val="Revision"/>
    <w:hidden/>
    <w:uiPriority w:val="99"/>
    <w:semiHidden/>
    <w:rsid w:val="00715C19"/>
    <w:pPr>
      <w:spacing w:after="0" w:line="240" w:lineRule="auto"/>
    </w:pPr>
    <w:rPr>
      <w:lang w:val="en-GB"/>
    </w:rPr>
  </w:style>
  <w:style w:type="paragraph" w:customStyle="1" w:styleId="Heading31">
    <w:name w:val="Heading 31"/>
    <w:next w:val="Normal"/>
    <w:uiPriority w:val="9"/>
    <w:rsid w:val="00715C19"/>
    <w:pPr>
      <w:keepNext/>
      <w:spacing w:before="240" w:after="60"/>
      <w:outlineLvl w:val="2"/>
    </w:pPr>
    <w:rPr>
      <w:rFonts w:ascii="Arial" w:eastAsia="Times New Roman" w:hAnsi="Arial" w:cs="Arial"/>
      <w:b/>
      <w:bCs/>
      <w:sz w:val="26"/>
      <w:szCs w:val="26"/>
      <w:lang w:val="en-GB" w:eastAsia="en-GB" w:bidi="ar-SA"/>
    </w:rPr>
  </w:style>
  <w:style w:type="character" w:customStyle="1" w:styleId="apple-converted-space">
    <w:name w:val="apple-converted-space"/>
    <w:basedOn w:val="DefaultParagraphFont"/>
    <w:rsid w:val="00772D0B"/>
  </w:style>
  <w:style w:type="paragraph" w:styleId="ListBullet">
    <w:name w:val="List Bullet"/>
    <w:basedOn w:val="Normal"/>
    <w:uiPriority w:val="99"/>
    <w:unhideWhenUsed/>
    <w:rsid w:val="00AE69C3"/>
    <w:pPr>
      <w:numPr>
        <w:numId w:val="8"/>
      </w:numPr>
      <w:contextualSpacing/>
    </w:pPr>
  </w:style>
  <w:style w:type="paragraph" w:styleId="NormalWeb">
    <w:name w:val="Normal (Web)"/>
    <w:basedOn w:val="Normal"/>
    <w:uiPriority w:val="99"/>
    <w:unhideWhenUsed/>
    <w:rsid w:val="009C2038"/>
    <w:pPr>
      <w:spacing w:before="100" w:beforeAutospacing="1" w:after="100" w:afterAutospacing="1" w:line="240" w:lineRule="auto"/>
    </w:pPr>
    <w:rPr>
      <w:rFonts w:ascii="Times New Roman" w:hAnsi="Times New Roman" w:cs="Times New Roman"/>
      <w:sz w:val="24"/>
      <w:szCs w:val="24"/>
      <w:lang w:val="en-GB" w:eastAsia="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Headings"/>
    <w:pPr>
      <w:numPr>
        <w:numId w:val="2"/>
      </w:numPr>
    </w:pPr>
  </w:style>
</w:styles>
</file>

<file path=word/webSettings.xml><?xml version="1.0" encoding="utf-8"?>
<w:webSettings xmlns:r="http://schemas.openxmlformats.org/officeDocument/2006/relationships" xmlns:w="http://schemas.openxmlformats.org/wordprocessingml/2006/main">
  <w:divs>
    <w:div w:id="352731469">
      <w:bodyDiv w:val="1"/>
      <w:marLeft w:val="0"/>
      <w:marRight w:val="0"/>
      <w:marTop w:val="0"/>
      <w:marBottom w:val="0"/>
      <w:divBdr>
        <w:top w:val="none" w:sz="0" w:space="0" w:color="auto"/>
        <w:left w:val="none" w:sz="0" w:space="0" w:color="auto"/>
        <w:bottom w:val="none" w:sz="0" w:space="0" w:color="auto"/>
        <w:right w:val="none" w:sz="0" w:space="0" w:color="auto"/>
      </w:divBdr>
      <w:divsChild>
        <w:div w:id="1832015921">
          <w:marLeft w:val="0"/>
          <w:marRight w:val="0"/>
          <w:marTop w:val="0"/>
          <w:marBottom w:val="0"/>
          <w:divBdr>
            <w:top w:val="none" w:sz="0" w:space="0" w:color="auto"/>
            <w:left w:val="none" w:sz="0" w:space="0" w:color="auto"/>
            <w:bottom w:val="none" w:sz="0" w:space="0" w:color="auto"/>
            <w:right w:val="none" w:sz="0" w:space="0" w:color="auto"/>
          </w:divBdr>
          <w:divsChild>
            <w:div w:id="1404529119">
              <w:marLeft w:val="0"/>
              <w:marRight w:val="0"/>
              <w:marTop w:val="0"/>
              <w:marBottom w:val="0"/>
              <w:divBdr>
                <w:top w:val="none" w:sz="0" w:space="0" w:color="auto"/>
                <w:left w:val="none" w:sz="0" w:space="0" w:color="auto"/>
                <w:bottom w:val="none" w:sz="0" w:space="0" w:color="auto"/>
                <w:right w:val="none" w:sz="0" w:space="0" w:color="auto"/>
              </w:divBdr>
              <w:divsChild>
                <w:div w:id="1460030850">
                  <w:marLeft w:val="0"/>
                  <w:marRight w:val="0"/>
                  <w:marTop w:val="0"/>
                  <w:marBottom w:val="0"/>
                  <w:divBdr>
                    <w:top w:val="none" w:sz="0" w:space="0" w:color="auto"/>
                    <w:left w:val="none" w:sz="0" w:space="0" w:color="auto"/>
                    <w:bottom w:val="none" w:sz="0" w:space="0" w:color="auto"/>
                    <w:right w:val="none" w:sz="0" w:space="0" w:color="auto"/>
                  </w:divBdr>
                  <w:divsChild>
                    <w:div w:id="2054186325">
                      <w:marLeft w:val="0"/>
                      <w:marRight w:val="0"/>
                      <w:marTop w:val="0"/>
                      <w:marBottom w:val="0"/>
                      <w:divBdr>
                        <w:top w:val="none" w:sz="0" w:space="0" w:color="auto"/>
                        <w:left w:val="none" w:sz="0" w:space="0" w:color="auto"/>
                        <w:bottom w:val="none" w:sz="0" w:space="0" w:color="auto"/>
                        <w:right w:val="none" w:sz="0" w:space="0" w:color="auto"/>
                      </w:divBdr>
                      <w:divsChild>
                        <w:div w:id="1538661099">
                          <w:marLeft w:val="0"/>
                          <w:marRight w:val="0"/>
                          <w:marTop w:val="0"/>
                          <w:marBottom w:val="0"/>
                          <w:divBdr>
                            <w:top w:val="none" w:sz="0" w:space="0" w:color="auto"/>
                            <w:left w:val="none" w:sz="0" w:space="0" w:color="auto"/>
                            <w:bottom w:val="none" w:sz="0" w:space="0" w:color="auto"/>
                            <w:right w:val="none" w:sz="0" w:space="0" w:color="auto"/>
                          </w:divBdr>
                          <w:divsChild>
                            <w:div w:id="1131939409">
                              <w:marLeft w:val="0"/>
                              <w:marRight w:val="0"/>
                              <w:marTop w:val="0"/>
                              <w:marBottom w:val="0"/>
                              <w:divBdr>
                                <w:top w:val="none" w:sz="0" w:space="0" w:color="auto"/>
                                <w:left w:val="none" w:sz="0" w:space="0" w:color="auto"/>
                                <w:bottom w:val="none" w:sz="0" w:space="0" w:color="auto"/>
                                <w:right w:val="none" w:sz="0" w:space="0" w:color="auto"/>
                              </w:divBdr>
                              <w:divsChild>
                                <w:div w:id="475296665">
                                  <w:marLeft w:val="0"/>
                                  <w:marRight w:val="0"/>
                                  <w:marTop w:val="0"/>
                                  <w:marBottom w:val="0"/>
                                  <w:divBdr>
                                    <w:top w:val="none" w:sz="0" w:space="0" w:color="auto"/>
                                    <w:left w:val="none" w:sz="0" w:space="0" w:color="auto"/>
                                    <w:bottom w:val="none" w:sz="0" w:space="0" w:color="auto"/>
                                    <w:right w:val="none" w:sz="0" w:space="0" w:color="auto"/>
                                  </w:divBdr>
                                  <w:divsChild>
                                    <w:div w:id="1482580829">
                                      <w:marLeft w:val="0"/>
                                      <w:marRight w:val="0"/>
                                      <w:marTop w:val="0"/>
                                      <w:marBottom w:val="0"/>
                                      <w:divBdr>
                                        <w:top w:val="none" w:sz="0" w:space="0" w:color="auto"/>
                                        <w:left w:val="none" w:sz="0" w:space="0" w:color="auto"/>
                                        <w:bottom w:val="none" w:sz="0" w:space="0" w:color="auto"/>
                                        <w:right w:val="none" w:sz="0" w:space="0" w:color="auto"/>
                                      </w:divBdr>
                                      <w:divsChild>
                                        <w:div w:id="383942606">
                                          <w:marLeft w:val="0"/>
                                          <w:marRight w:val="0"/>
                                          <w:marTop w:val="0"/>
                                          <w:marBottom w:val="0"/>
                                          <w:divBdr>
                                            <w:top w:val="none" w:sz="0" w:space="0" w:color="auto"/>
                                            <w:left w:val="none" w:sz="0" w:space="0" w:color="auto"/>
                                            <w:bottom w:val="none" w:sz="0" w:space="0" w:color="auto"/>
                                            <w:right w:val="none" w:sz="0" w:space="0" w:color="auto"/>
                                          </w:divBdr>
                                          <w:divsChild>
                                            <w:div w:id="1341422463">
                                              <w:marLeft w:val="0"/>
                                              <w:marRight w:val="0"/>
                                              <w:marTop w:val="0"/>
                                              <w:marBottom w:val="0"/>
                                              <w:divBdr>
                                                <w:top w:val="none" w:sz="0" w:space="0" w:color="auto"/>
                                                <w:left w:val="none" w:sz="0" w:space="0" w:color="auto"/>
                                                <w:bottom w:val="none" w:sz="0" w:space="0" w:color="auto"/>
                                                <w:right w:val="none" w:sz="0" w:space="0" w:color="auto"/>
                                              </w:divBdr>
                                              <w:divsChild>
                                                <w:div w:id="280648810">
                                                  <w:marLeft w:val="0"/>
                                                  <w:marRight w:val="0"/>
                                                  <w:marTop w:val="0"/>
                                                  <w:marBottom w:val="0"/>
                                                  <w:divBdr>
                                                    <w:top w:val="none" w:sz="0" w:space="0" w:color="auto"/>
                                                    <w:left w:val="none" w:sz="0" w:space="0" w:color="auto"/>
                                                    <w:bottom w:val="none" w:sz="0" w:space="0" w:color="auto"/>
                                                    <w:right w:val="none" w:sz="0" w:space="0" w:color="auto"/>
                                                  </w:divBdr>
                                                  <w:divsChild>
                                                    <w:div w:id="1198349035">
                                                      <w:marLeft w:val="0"/>
                                                      <w:marRight w:val="0"/>
                                                      <w:marTop w:val="0"/>
                                                      <w:marBottom w:val="0"/>
                                                      <w:divBdr>
                                                        <w:top w:val="none" w:sz="0" w:space="0" w:color="auto"/>
                                                        <w:left w:val="none" w:sz="0" w:space="0" w:color="auto"/>
                                                        <w:bottom w:val="none" w:sz="0" w:space="0" w:color="auto"/>
                                                        <w:right w:val="none" w:sz="0" w:space="0" w:color="auto"/>
                                                      </w:divBdr>
                                                      <w:divsChild>
                                                        <w:div w:id="416631852">
                                                          <w:marLeft w:val="0"/>
                                                          <w:marRight w:val="0"/>
                                                          <w:marTop w:val="0"/>
                                                          <w:marBottom w:val="0"/>
                                                          <w:divBdr>
                                                            <w:top w:val="none" w:sz="0" w:space="0" w:color="auto"/>
                                                            <w:left w:val="none" w:sz="0" w:space="0" w:color="auto"/>
                                                            <w:bottom w:val="none" w:sz="0" w:space="0" w:color="auto"/>
                                                            <w:right w:val="none" w:sz="0" w:space="0" w:color="auto"/>
                                                          </w:divBdr>
                                                          <w:divsChild>
                                                            <w:div w:id="233126190">
                                                              <w:marLeft w:val="0"/>
                                                              <w:marRight w:val="0"/>
                                                              <w:marTop w:val="0"/>
                                                              <w:marBottom w:val="0"/>
                                                              <w:divBdr>
                                                                <w:top w:val="none" w:sz="0" w:space="0" w:color="auto"/>
                                                                <w:left w:val="none" w:sz="0" w:space="0" w:color="auto"/>
                                                                <w:bottom w:val="none" w:sz="0" w:space="0" w:color="auto"/>
                                                                <w:right w:val="none" w:sz="0" w:space="0" w:color="auto"/>
                                                              </w:divBdr>
                                                              <w:divsChild>
                                                                <w:div w:id="1306855151">
                                                                  <w:marLeft w:val="0"/>
                                                                  <w:marRight w:val="0"/>
                                                                  <w:marTop w:val="0"/>
                                                                  <w:marBottom w:val="0"/>
                                                                  <w:divBdr>
                                                                    <w:top w:val="none" w:sz="0" w:space="0" w:color="auto"/>
                                                                    <w:left w:val="none" w:sz="0" w:space="0" w:color="auto"/>
                                                                    <w:bottom w:val="none" w:sz="0" w:space="0" w:color="auto"/>
                                                                    <w:right w:val="none" w:sz="0" w:space="0" w:color="auto"/>
                                                                  </w:divBdr>
                                                                  <w:divsChild>
                                                                    <w:div w:id="1473206292">
                                                                      <w:marLeft w:val="0"/>
                                                                      <w:marRight w:val="0"/>
                                                                      <w:marTop w:val="0"/>
                                                                      <w:marBottom w:val="0"/>
                                                                      <w:divBdr>
                                                                        <w:top w:val="none" w:sz="0" w:space="0" w:color="auto"/>
                                                                        <w:left w:val="none" w:sz="0" w:space="0" w:color="auto"/>
                                                                        <w:bottom w:val="none" w:sz="0" w:space="0" w:color="auto"/>
                                                                        <w:right w:val="none" w:sz="0" w:space="0" w:color="auto"/>
                                                                      </w:divBdr>
                                                                      <w:divsChild>
                                                                        <w:div w:id="1673678176">
                                                                          <w:marLeft w:val="0"/>
                                                                          <w:marRight w:val="0"/>
                                                                          <w:marTop w:val="0"/>
                                                                          <w:marBottom w:val="0"/>
                                                                          <w:divBdr>
                                                                            <w:top w:val="none" w:sz="0" w:space="0" w:color="auto"/>
                                                                            <w:left w:val="none" w:sz="0" w:space="0" w:color="auto"/>
                                                                            <w:bottom w:val="none" w:sz="0" w:space="0" w:color="auto"/>
                                                                            <w:right w:val="none" w:sz="0" w:space="0" w:color="auto"/>
                                                                          </w:divBdr>
                                                                          <w:divsChild>
                                                                            <w:div w:id="435292043">
                                                                              <w:marLeft w:val="0"/>
                                                                              <w:marRight w:val="0"/>
                                                                              <w:marTop w:val="0"/>
                                                                              <w:marBottom w:val="0"/>
                                                                              <w:divBdr>
                                                                                <w:top w:val="none" w:sz="0" w:space="0" w:color="auto"/>
                                                                                <w:left w:val="none" w:sz="0" w:space="0" w:color="auto"/>
                                                                                <w:bottom w:val="none" w:sz="0" w:space="0" w:color="auto"/>
                                                                                <w:right w:val="none" w:sz="0" w:space="0" w:color="auto"/>
                                                                              </w:divBdr>
                                                                              <w:divsChild>
                                                                                <w:div w:id="1548566716">
                                                                                  <w:marLeft w:val="0"/>
                                                                                  <w:marRight w:val="0"/>
                                                                                  <w:marTop w:val="0"/>
                                                                                  <w:marBottom w:val="0"/>
                                                                                  <w:divBdr>
                                                                                    <w:top w:val="none" w:sz="0" w:space="0" w:color="auto"/>
                                                                                    <w:left w:val="none" w:sz="0" w:space="0" w:color="auto"/>
                                                                                    <w:bottom w:val="none" w:sz="0" w:space="0" w:color="auto"/>
                                                                                    <w:right w:val="none" w:sz="0" w:space="0" w:color="auto"/>
                                                                                  </w:divBdr>
                                                                                  <w:divsChild>
                                                                                    <w:div w:id="1950044777">
                                                                                      <w:marLeft w:val="0"/>
                                                                                      <w:marRight w:val="0"/>
                                                                                      <w:marTop w:val="0"/>
                                                                                      <w:marBottom w:val="0"/>
                                                                                      <w:divBdr>
                                                                                        <w:top w:val="none" w:sz="0" w:space="0" w:color="auto"/>
                                                                                        <w:left w:val="none" w:sz="0" w:space="0" w:color="auto"/>
                                                                                        <w:bottom w:val="none" w:sz="0" w:space="0" w:color="auto"/>
                                                                                        <w:right w:val="none" w:sz="0" w:space="0" w:color="auto"/>
                                                                                      </w:divBdr>
                                                                                      <w:divsChild>
                                                                                        <w:div w:id="570163234">
                                                                                          <w:marLeft w:val="0"/>
                                                                                          <w:marRight w:val="0"/>
                                                                                          <w:marTop w:val="0"/>
                                                                                          <w:marBottom w:val="0"/>
                                                                                          <w:divBdr>
                                                                                            <w:top w:val="none" w:sz="0" w:space="0" w:color="auto"/>
                                                                                            <w:left w:val="none" w:sz="0" w:space="0" w:color="auto"/>
                                                                                            <w:bottom w:val="none" w:sz="0" w:space="0" w:color="auto"/>
                                                                                            <w:right w:val="none" w:sz="0" w:space="0" w:color="auto"/>
                                                                                          </w:divBdr>
                                                                                          <w:divsChild>
                                                                                            <w:div w:id="7721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0B0422-8859-4E45-AF58-A30951EB5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22</Pages>
  <Words>17933</Words>
  <Characters>102220</Characters>
  <Application>Microsoft Office Word</Application>
  <DocSecurity>0</DocSecurity>
  <Lines>851</Lines>
  <Paragraphs>239</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119914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 Minton</dc:creator>
  <cp:lastModifiedBy>Jon Minton</cp:lastModifiedBy>
  <cp:revision>8</cp:revision>
  <dcterms:created xsi:type="dcterms:W3CDTF">2012-04-10T15:18:00Z</dcterms:created>
  <dcterms:modified xsi:type="dcterms:W3CDTF">2012-05-11T13:54:00Z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http://www.zotero.org/styles/vancouver</vt:lpwstr>
  </property>
  <property fmtid="{D5CDD505-2E9C-101B-9397-08002B2CF9AE}" pid="3" name="Mendeley Document_1">
    <vt:lpwstr>True</vt:lpwstr>
  </property>
  <property fmtid="{D5CDD505-2E9C-101B-9397-08002B2CF9AE}" pid="4" name="Mendeley User Name_1">
    <vt:lpwstr>j.minton@sheffield.ac.uk@www.mendeley.com</vt:lpwstr>
  </property>
  <property fmtid="{D5CDD505-2E9C-101B-9397-08002B2CF9AE}" pid="5" name="Mendeley Recent Style Name 0_1">
    <vt:lpwstr>Vancouver</vt:lpwstr>
  </property>
  <property fmtid="{D5CDD505-2E9C-101B-9397-08002B2CF9AE}" pid="6" name="Mendeley Recent Style Id 0_1">
    <vt:lpwstr>http://www.zotero.org/styles/vancouver</vt:lpwstr>
  </property>
  <property fmtid="{D5CDD505-2E9C-101B-9397-08002B2CF9AE}" pid="7" name="Mendeley Recent Style Name 1_1">
    <vt:lpwstr>American Medical Association</vt:lpwstr>
  </property>
  <property fmtid="{D5CDD505-2E9C-101B-9397-08002B2CF9AE}" pid="8" name="Mendeley Recent Style Id 1_1">
    <vt:lpwstr>http://www.zotero.org/styles/ama</vt:lpwstr>
  </property>
  <property fmtid="{D5CDD505-2E9C-101B-9397-08002B2CF9AE}" pid="9" name="Mendeley Recent Style Name 2_1">
    <vt:lpwstr>American Political Science Association</vt:lpwstr>
  </property>
  <property fmtid="{D5CDD505-2E9C-101B-9397-08002B2CF9AE}" pid="10" name="Mendeley Recent Style Id 2_1">
    <vt:lpwstr>http://www.zotero.org/styles/apsa</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Chicago Manual of Style (Author-Date format)</vt:lpwstr>
  </property>
  <property fmtid="{D5CDD505-2E9C-101B-9397-08002B2CF9AE}" pid="14" name="Mendeley Recent Style Id 4_1">
    <vt:lpwstr>http://www.zotero.org/styles/chicago-author-date</vt:lpwstr>
  </property>
  <property fmtid="{D5CDD505-2E9C-101B-9397-08002B2CF9AE}" pid="15" name="Mendeley Recent Style Name 5_1">
    <vt:lpwstr>IEEE</vt:lpwstr>
  </property>
  <property fmtid="{D5CDD505-2E9C-101B-9397-08002B2CF9AE}" pid="16" name="Mendeley Recent Style Id 5_1">
    <vt:lpwstr>http://www.zotero.org/styles/ieee</vt:lpwstr>
  </property>
  <property fmtid="{D5CDD505-2E9C-101B-9397-08002B2CF9AE}" pid="17" name="Mendeley Recent Style Name 6_1">
    <vt:lpwstr>Modern Humanities Research Association (Note with Bibliography)</vt:lpwstr>
  </property>
  <property fmtid="{D5CDD505-2E9C-101B-9397-08002B2CF9AE}" pid="18" name="Mendeley Recent Style Id 6_1">
    <vt:lpwstr>http://www.zotero.org/styles/mhra</vt:lpwstr>
  </property>
  <property fmtid="{D5CDD505-2E9C-101B-9397-08002B2CF9AE}" pid="19" name="Mendeley Recent Style Name 7_1">
    <vt:lpwstr>Modern Language Association</vt:lpwstr>
  </property>
  <property fmtid="{D5CDD505-2E9C-101B-9397-08002B2CF9AE}" pid="20" name="Mendeley Recent Style Id 7_1">
    <vt:lpwstr>http://www.zotero.org/styles/mla</vt:lpwstr>
  </property>
  <property fmtid="{D5CDD505-2E9C-101B-9397-08002B2CF9AE}" pid="21" name="Mendeley Recent Style Name 8_1">
    <vt:lpwstr>Harvard Reference format 1 (Author-Date)</vt:lpwstr>
  </property>
  <property fmtid="{D5CDD505-2E9C-101B-9397-08002B2CF9AE}" pid="22" name="Mendeley Recent Style Id 8_1">
    <vt:lpwstr>http://www.zotero.org/styles/harvard1</vt:lpwstr>
  </property>
  <property fmtid="{D5CDD505-2E9C-101B-9397-08002B2CF9AE}" pid="23" name="Mendeley Recent Style Name 9_1">
    <vt:lpwstr>American Psychological Association 6th Edition</vt:lpwstr>
  </property>
  <property fmtid="{D5CDD505-2E9C-101B-9397-08002B2CF9AE}" pid="24" name="Mendeley Recent Style Id 9_1">
    <vt:lpwstr>http://www.zotero.org/styles/apa</vt:lpwstr>
  </property>
</Properties>
</file>