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proofErr w:type="gramStart"/>
      <w:r w:rsidR="002D6708">
        <w:rPr>
          <w:shd w:val="clear" w:color="auto" w:fill="FFFFFF"/>
        </w:rPr>
        <w:t>)</w:t>
      </w:r>
      <w:r w:rsidR="00BC10AD" w:rsidRPr="00532F44">
        <w:rPr>
          <w:shd w:val="clear" w:color="auto" w:fill="FFFFFF"/>
        </w:rPr>
        <w:t>is</w:t>
      </w:r>
      <w:proofErr w:type="gramEnd"/>
      <w:r w:rsidR="00BC10AD" w:rsidRPr="00532F44">
        <w:rPr>
          <w:shd w:val="clear" w:color="auto" w:fill="FFFFFF"/>
        </w:rPr>
        <w:t xml:space="preserve">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commonly performed as part of the </w:t>
      </w:r>
      <w:proofErr w:type="spellStart"/>
      <w:r>
        <w:rPr>
          <w:shd w:val="clear" w:color="auto" w:fill="FFFFFF"/>
        </w:rPr>
        <w:t>cardiological</w:t>
      </w:r>
      <w:proofErr w:type="spellEnd"/>
      <w:r>
        <w:rPr>
          <w:shd w:val="clear" w:color="auto" w:fill="FFFFFF"/>
        </w:rPr>
        <w:t xml:space="preserve"> evaluation of patients with AF </w:t>
      </w:r>
      <w:proofErr w:type="spellStart"/>
      <w:r>
        <w:rPr>
          <w:shd w:val="clear" w:color="auto" w:fill="FFFFFF"/>
        </w:rPr>
        <w:t>expecially</w:t>
      </w:r>
      <w:proofErr w:type="spellEnd"/>
      <w:r>
        <w:rPr>
          <w:shd w:val="clear" w:color="auto" w:fill="FFFFFF"/>
        </w:rPr>
        <w:t xml:space="preserve"> to assist with stroke risk stratification (and hence, decisions on </w:t>
      </w:r>
      <w:proofErr w:type="spellStart"/>
      <w:r>
        <w:rPr>
          <w:shd w:val="clear" w:color="auto" w:fill="FFFFFF"/>
        </w:rPr>
        <w:t>thromboprophylaxis</w:t>
      </w:r>
      <w:proofErr w:type="spellEnd"/>
      <w:r>
        <w:rPr>
          <w:shd w:val="clear" w:color="auto" w:fill="FFFFFF"/>
        </w:rPr>
        <w:t xml:space="preserve">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5364A7" w:rsidRPr="00532F44">
        <w:rPr>
          <w:bCs/>
          <w:shd w:val="clear" w:color="auto" w:fill="FFFFFF"/>
        </w:rPr>
        <w:t xml:space="preserve">At conventional willingness-to-pay thresholds of £20,000/QALY or £30,000/QALY, </w:t>
      </w:r>
      <w:r w:rsidR="00FA2321" w:rsidRPr="00532F44">
        <w:rPr>
          <w:bCs/>
          <w:shd w:val="clear" w:color="auto" w:fill="FFFFFF"/>
        </w:rPr>
        <w:t>using TTE rather than no TTE appears to be the optimal strategy when the patients have a CHADS</w:t>
      </w:r>
      <w:r w:rsidR="00FA2321" w:rsidRPr="00532F44">
        <w:rPr>
          <w:bCs/>
          <w:shd w:val="clear" w:color="auto" w:fill="FFFFFF"/>
          <w:vertAlign w:val="subscript"/>
        </w:rPr>
        <w:t>2</w:t>
      </w:r>
      <w:r w:rsidR="00FA2321" w:rsidRPr="00532F44">
        <w:rPr>
          <w:bCs/>
          <w:shd w:val="clear" w:color="auto" w:fill="FFFFFF"/>
        </w:rPr>
        <w:t xml:space="preserve"> score of one rather than zero points when used to make the decision whether to prescribe warfarin; or in patients aged 65 rather than 50 years when used to make the decision to prescribe </w:t>
      </w:r>
      <w:proofErr w:type="spellStart"/>
      <w:r w:rsidR="00FA2321" w:rsidRPr="00532F44">
        <w:rPr>
          <w:bCs/>
          <w:shd w:val="clear" w:color="auto" w:fill="FFFFFF"/>
        </w:rPr>
        <w:t>dabigatran</w:t>
      </w:r>
      <w:proofErr w:type="spellEnd"/>
      <w:r w:rsidR="00FA2321" w:rsidRPr="00532F44">
        <w:rPr>
          <w:bCs/>
          <w:shd w:val="clear" w:color="auto" w:fill="FFFFFF"/>
        </w:rPr>
        <w:t xml:space="preserve"> or </w:t>
      </w:r>
      <w:proofErr w:type="spellStart"/>
      <w:r w:rsidR="00FA2321" w:rsidRPr="00532F44">
        <w:rPr>
          <w:bCs/>
          <w:shd w:val="clear" w:color="auto" w:fill="FFFFFF"/>
        </w:rPr>
        <w:t>rivaroxaban</w:t>
      </w:r>
      <w:proofErr w:type="spellEnd"/>
      <w:r w:rsidR="00FA2321" w:rsidRPr="00532F44">
        <w:rPr>
          <w:bCs/>
          <w:shd w:val="clear" w:color="auto" w:fill="FFFFFF"/>
        </w:rPr>
        <w:t>.</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B36EBC">
        <w:t>If considering prescribing eithe</w:t>
      </w:r>
      <w:r w:rsidR="00ED28B9">
        <w:t xml:space="preserve">r </w:t>
      </w:r>
      <w:proofErr w:type="spellStart"/>
      <w:r w:rsidR="00ED28B9">
        <w:t>dabigatran</w:t>
      </w:r>
      <w:proofErr w:type="spellEnd"/>
      <w:r w:rsidR="00ED28B9">
        <w:t xml:space="preserve"> or </w:t>
      </w:r>
      <w:proofErr w:type="spellStart"/>
      <w:r w:rsidR="00ED28B9">
        <w:t>rivaroxaban</w:t>
      </w:r>
      <w:proofErr w:type="spellEnd"/>
      <w:r w:rsidR="00ED28B9">
        <w:t>, using</w:t>
      </w:r>
      <w:r w:rsidR="00960F46" w:rsidRPr="00532F44">
        <w:t xml:space="preserve"> TTE </w:t>
      </w:r>
      <w:r w:rsidR="00ED28B9">
        <w:t xml:space="preserve">to help make the decision can be </w:t>
      </w:r>
      <w:r w:rsidR="00960F46" w:rsidRPr="00532F44">
        <w:t>both clinically effective and cost-effective.</w:t>
      </w:r>
    </w:p>
    <w:p w:rsidR="0005390C" w:rsidRPr="00532F44" w:rsidRDefault="00A42D14" w:rsidP="008D11C1">
      <w:pPr>
        <w:rPr>
          <w:lang w:val="en-GB"/>
        </w:rPr>
      </w:pPr>
      <w:r w:rsidRPr="00532F44">
        <w:rPr>
          <w:shd w:val="clear" w:color="auto" w:fill="FFFFFF"/>
        </w:rPr>
        <w:t xml:space="preserve"> </w:t>
      </w:r>
    </w:p>
    <w:p w:rsidR="00834F71" w:rsidRPr="00532F44" w:rsidRDefault="00834F71" w:rsidP="003562A1">
      <w:pPr>
        <w:pStyle w:val="Heading2"/>
        <w:numPr>
          <w:ilvl w:val="0"/>
          <w:numId w:val="0"/>
        </w:numPr>
        <w:sectPr w:rsidR="00834F71" w:rsidRPr="00532F44" w:rsidSect="001C47C7">
          <w:footerReference w:type="default" r:id="rId9"/>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3B31">
      <w:pPr>
        <w:spacing w:line="480" w:lineRule="auto"/>
      </w:pPr>
      <w:r w:rsidRPr="00532F44">
        <w:t xml:space="preserve">Atrial fibrillation (AF) is a </w:t>
      </w:r>
      <w:r w:rsidR="00D22AB2">
        <w:t xml:space="preserve">common arrhythmia affecting </w:t>
      </w:r>
      <w:r w:rsidR="00665212" w:rsidRPr="00532F44">
        <w:t>around 1-2% of the UK population</w:t>
      </w:r>
      <w:r w:rsidR="000F1748" w:rsidRPr="00532F44">
        <w:t xml:space="preserve"> and is a significant risk factor for stroke</w:t>
      </w:r>
      <w:r w:rsidR="00356EEF" w:rsidRPr="00532F44">
        <w:t>.</w:t>
      </w:r>
      <w:r w:rsidR="002F05E5" w:rsidRPr="00532F44">
        <w:fldChar w:fldCharType="begin" w:fldLock="1"/>
      </w:r>
      <w:r w:rsidR="00F82325">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532F44">
        <w:fldChar w:fldCharType="separate"/>
      </w:r>
      <w:r w:rsidR="009137B7" w:rsidRPr="009137B7">
        <w:rPr>
          <w:noProof/>
        </w:rPr>
        <w:t>[1]</w:t>
      </w:r>
      <w:r w:rsidR="002F05E5"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mortality and morbidity risks that result from </w:t>
      </w:r>
      <w:r w:rsidR="00D22AB2">
        <w:t xml:space="preserve">this </w:t>
      </w:r>
      <w:proofErr w:type="spellStart"/>
      <w:r w:rsidR="00D22AB2">
        <w:t>arrhhythmia</w:t>
      </w:r>
      <w:proofErr w:type="spellEnd"/>
      <w:r w:rsidRPr="00532F44">
        <w:t xml:space="preserve">. Oral anticoagulants (OACs) reduce the risk of stroke, but </w:t>
      </w:r>
      <w:r w:rsidR="00D22AB2">
        <w:t xml:space="preserve">could potentially </w:t>
      </w:r>
      <w:r w:rsidR="000F1748" w:rsidRPr="00532F44">
        <w:t>cause major bleeding</w:t>
      </w:r>
      <w:r w:rsidR="00374A9D" w:rsidRPr="00532F44">
        <w:t>.</w:t>
      </w:r>
      <w:r w:rsidR="00356EEF" w:rsidRPr="00532F44">
        <w:t xml:space="preserve"> </w:t>
      </w:r>
      <w:r w:rsidR="002F05E5" w:rsidRPr="00532F44">
        <w:fldChar w:fldCharType="begin" w:fldLock="1"/>
      </w:r>
      <w:r w:rsidR="00F82325">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532F44">
        <w:fldChar w:fldCharType="separate"/>
      </w:r>
      <w:r w:rsidR="009137B7" w:rsidRPr="009137B7">
        <w:rPr>
          <w:noProof/>
        </w:rPr>
        <w:t>[2]</w:t>
      </w:r>
      <w:r w:rsidR="002F05E5" w:rsidRPr="00532F44">
        <w:fldChar w:fldCharType="end"/>
      </w:r>
      <w:r w:rsidR="00374A9D" w:rsidRPr="00532F44">
        <w:t xml:space="preserve"> </w:t>
      </w:r>
    </w:p>
    <w:p w:rsidR="00C87195" w:rsidRPr="00532F44" w:rsidRDefault="003D3DC2" w:rsidP="008D3B31">
      <w:pPr>
        <w:spacing w:line="480" w:lineRule="auto"/>
      </w:pPr>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w:t>
      </w:r>
      <w:r w:rsidR="00BE4AC4">
        <w:t xml:space="preserve">OAC </w:t>
      </w:r>
      <w:r w:rsidR="00862C39" w:rsidRPr="00532F44">
        <w:t xml:space="preserve">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C87195" w:rsidRPr="00532F44" w:rsidRDefault="00732E2A" w:rsidP="00BE4AC4">
      <w:pPr>
        <w:spacing w:line="480" w:lineRule="auto"/>
      </w:pPr>
      <w:r w:rsidRPr="00532F44">
        <w:t xml:space="preserve">A commonly used risk prediction </w:t>
      </w:r>
      <w:r w:rsidR="00153929" w:rsidRPr="00532F44">
        <w:t>rule</w:t>
      </w:r>
      <w:r w:rsidRPr="00532F44">
        <w:t xml:space="preserve"> for assessing stroke risk is </w:t>
      </w:r>
      <w:r w:rsidR="00BE4AC4">
        <w:t xml:space="preserve">the </w:t>
      </w:r>
      <w:r w:rsidRPr="00532F44">
        <w:t>CHADS</w:t>
      </w:r>
      <w:r w:rsidRPr="00532F44">
        <w:rPr>
          <w:vertAlign w:val="subscript"/>
        </w:rPr>
        <w:t>2</w:t>
      </w:r>
      <w:r w:rsidR="00BE4AC4">
        <w:t xml:space="preserve"> score,</w:t>
      </w:r>
      <w:r w:rsidRPr="00532F44">
        <w:t xml:space="preserve"> </w:t>
      </w:r>
      <w:r w:rsidR="00BE4AC4">
        <w:t xml:space="preserve">which is an acronym for (C) congestive heart failure, (H) hypertension, (A) aged 75 years or older or (D) diabetes; and prior stroke, transient ischemic attack </w:t>
      </w:r>
      <w:r w:rsidR="00BE4AC4" w:rsidRPr="00532F44">
        <w:t>(S</w:t>
      </w:r>
      <w:r w:rsidR="00BE4AC4" w:rsidRPr="00532F44">
        <w:rPr>
          <w:vertAlign w:val="subscript"/>
        </w:rPr>
        <w:t>2</w:t>
      </w:r>
      <w:r w:rsidR="00BE4AC4" w:rsidRPr="00532F44">
        <w:t>)</w:t>
      </w:r>
      <w:r w:rsidR="00BE4AC4">
        <w:t xml:space="preserve"> </w:t>
      </w:r>
      <w:r w:rsidR="002F05E5" w:rsidRPr="00532F44">
        <w:fldChar w:fldCharType="begin" w:fldLock="1"/>
      </w:r>
      <w:r w:rsidR="00F82325">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532F44">
        <w:fldChar w:fldCharType="separate"/>
      </w:r>
      <w:r w:rsidR="009137B7" w:rsidRPr="009137B7">
        <w:rPr>
          <w:noProof/>
        </w:rPr>
        <w:t>[3]</w:t>
      </w:r>
      <w:r w:rsidR="002F05E5" w:rsidRPr="00532F44">
        <w:fldChar w:fldCharType="end"/>
      </w:r>
      <w:r w:rsidRPr="00532F44">
        <w:t xml:space="preserve"> </w:t>
      </w:r>
      <w:r w:rsidR="00BE4AC4">
        <w:t xml:space="preserve">In the 2010 European guidelines, if the </w:t>
      </w:r>
      <w:r w:rsidR="00BE4AC4" w:rsidRPr="00BE4AC4">
        <w:t>CHADS</w:t>
      </w:r>
      <w:r w:rsidR="00BE4AC4">
        <w:softHyphen/>
      </w:r>
      <w:r w:rsidR="00BE4AC4" w:rsidRPr="00BE4AC4">
        <w:rPr>
          <w:vertAlign w:val="subscript"/>
        </w:rPr>
        <w:t>2</w:t>
      </w:r>
      <w:r w:rsidR="00BE4AC4">
        <w:rPr>
          <w:vertAlign w:val="subscript"/>
        </w:rPr>
        <w:t xml:space="preserve"> </w:t>
      </w:r>
      <w:r w:rsidR="00BE4AC4">
        <w:t>score is one point or over, the OAC should be prescribed. In patients with a CHADS</w:t>
      </w:r>
      <w:r w:rsidR="00BE4AC4" w:rsidRPr="00FF7CB5">
        <w:rPr>
          <w:vertAlign w:val="subscript"/>
        </w:rPr>
        <w:t>2</w:t>
      </w:r>
      <w:r w:rsidR="00BE4AC4">
        <w:t xml:space="preserve"> score of zero, additional risk factors such as being between over 65 years old, being </w:t>
      </w:r>
      <w:proofErr w:type="gramStart"/>
      <w:r w:rsidR="00BE4AC4">
        <w:t>female,</w:t>
      </w:r>
      <w:proofErr w:type="gramEnd"/>
      <w:r w:rsidR="00BE4AC4">
        <w:t xml:space="preserve"> and vascular diseases should be considered as part of the C</w:t>
      </w:r>
      <w:r w:rsidR="00354D59">
        <w:t>H</w:t>
      </w:r>
      <w:r w:rsidR="00BE4AC4">
        <w:t>A</w:t>
      </w:r>
      <w:r w:rsidR="00BE4AC4" w:rsidRPr="00354D59">
        <w:rPr>
          <w:vertAlign w:val="subscript"/>
        </w:rPr>
        <w:t>2</w:t>
      </w:r>
      <w:r w:rsidR="00BE4AC4">
        <w:t>DS</w:t>
      </w:r>
      <w:r w:rsidR="00354D59" w:rsidRPr="00354D59">
        <w:rPr>
          <w:vertAlign w:val="subscript"/>
        </w:rPr>
        <w:t>2</w:t>
      </w:r>
      <w:r w:rsidR="00BE4AC4">
        <w:t xml:space="preserve">-VASc score. </w:t>
      </w:r>
      <w:r w:rsidR="00354D59">
        <w:fldChar w:fldCharType="begin" w:fldLock="1"/>
      </w:r>
      <w:r w:rsidR="00F82325">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354D59">
        <w:fldChar w:fldCharType="separate"/>
      </w:r>
      <w:r w:rsidR="00354D59" w:rsidRPr="00354D59">
        <w:rPr>
          <w:noProof/>
        </w:rPr>
        <w:t>[3]</w:t>
      </w:r>
      <w:r w:rsidR="00354D59">
        <w:fldChar w:fldCharType="end"/>
      </w:r>
      <w:r w:rsidR="00354D59">
        <w:t xml:space="preserve"> </w:t>
      </w:r>
      <w:r w:rsidR="00BE4AC4">
        <w:t>The latter score is the only recommend stroke score in the 2012 focused update of the ESC guidelines.</w:t>
      </w:r>
      <w:r w:rsidR="00C87195" w:rsidRPr="00532F44">
        <w:t xml:space="preserve">  </w:t>
      </w:r>
      <w:r w:rsidR="00354D59">
        <w:fldChar w:fldCharType="begin" w:fldLock="1"/>
      </w:r>
      <w:r w:rsidR="00F82325">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"mendeley" : { "previouslyFormattedCitation" : "[4]" }, "properties" : { "noteIndex" : 0 }, "schema" : "https://github.com/citation-style-language/schema/raw/master/csl-citation.json" }</w:instrText>
      </w:r>
      <w:r w:rsidR="00354D59">
        <w:fldChar w:fldCharType="separate"/>
      </w:r>
      <w:r w:rsidR="00354D59" w:rsidRPr="00354D59">
        <w:rPr>
          <w:noProof/>
        </w:rPr>
        <w:t>[4]</w:t>
      </w:r>
      <w:r w:rsidR="00354D59">
        <w:fldChar w:fldCharType="end"/>
      </w:r>
    </w:p>
    <w:p w:rsidR="003378D6" w:rsidRPr="00532F44" w:rsidRDefault="009344EA" w:rsidP="003378D6">
      <w:pPr>
        <w:pStyle w:val="Heading2"/>
        <w:numPr>
          <w:ilvl w:val="0"/>
          <w:numId w:val="0"/>
        </w:numPr>
      </w:pPr>
      <w:r w:rsidRPr="00532F44">
        <w:t>Transthoracic Echocardiography and the decision problem</w:t>
      </w:r>
    </w:p>
    <w:p w:rsidR="00395BE3" w:rsidRPr="00532F44" w:rsidRDefault="00354D59" w:rsidP="008D3B31">
      <w:pPr>
        <w:spacing w:line="480" w:lineRule="auto"/>
      </w:pPr>
      <w:r>
        <w:t xml:space="preserve">The present </w:t>
      </w:r>
      <w:r w:rsidR="00D57902" w:rsidRPr="00532F44">
        <w:t xml:space="preserve">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 (clinical effectiveness)</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 Based on </w:t>
      </w:r>
      <w:r w:rsidR="009A6772" w:rsidRPr="00532F44">
        <w:lastRenderedPageBreak/>
        <w:t>clinical history, they will either have an initial CHADS</w:t>
      </w:r>
      <w:r w:rsidR="009A6772" w:rsidRPr="00B36EBC">
        <w:rPr>
          <w:vertAlign w:val="subscript"/>
        </w:rPr>
        <w:t>2</w:t>
      </w:r>
      <w:r w:rsidR="009A6772" w:rsidRPr="00532F44">
        <w:t xml:space="preserve"> risk score of zero or one point</w:t>
      </w:r>
      <w:r w:rsidR="003A64BB">
        <w:t>, since those with CHADS</w:t>
      </w:r>
      <w:r w:rsidR="003A64BB" w:rsidRPr="00B36EBC">
        <w:rPr>
          <w:vertAlign w:val="subscript"/>
        </w:rPr>
        <w:t>2</w:t>
      </w:r>
      <w:r w:rsidR="003A64BB">
        <w:t xml:space="preserve"> scores greater are likely to be treated </w:t>
      </w:r>
      <w:r w:rsidR="004E06E9">
        <w:t>without requiring further diagnostic 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Importantly, it can detect </w:t>
      </w:r>
      <w:r>
        <w:t xml:space="preserve">some forms of </w:t>
      </w:r>
      <w:r w:rsidR="003A64BB" w:rsidRPr="00532F44">
        <w:t>left atrial abnormality</w:t>
      </w:r>
      <w:r w:rsidR="003A64BB">
        <w:t xml:space="preserve"> (LA ABN), </w:t>
      </w:r>
      <w:r w:rsidR="009A6772" w:rsidRPr="00532F44">
        <w:t>which has been shown to lead to an increa</w:t>
      </w:r>
      <w:r>
        <w:t xml:space="preserve">sed stroke risk. </w:t>
      </w:r>
      <w:r>
        <w:fldChar w:fldCharType="begin" w:fldLock="1"/>
      </w:r>
      <w:r w:rsidR="00F82325">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"id" : "ITEM-2",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"ITEM-2",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"[5,6]" }, "properties" : { "noteIndex" : 0 }, "schema" : "https://github.com/citation-style-language/schema/raw/master/csl-citation.json" }</w:instrText>
      </w:r>
      <w:r>
        <w:fldChar w:fldCharType="separate"/>
      </w:r>
      <w:r w:rsidRPr="00354D59">
        <w:rPr>
          <w:noProof/>
        </w:rPr>
        <w:t>[5,6]</w:t>
      </w:r>
      <w:r>
        <w:fldChar w:fldCharType="end"/>
      </w:r>
      <w:r w:rsidR="009A6772" w:rsidRPr="00532F44">
        <w:t xml:space="preserve"> </w:t>
      </w:r>
      <w:r w:rsidR="003A64BB">
        <w:t>As</w:t>
      </w:r>
      <w:r>
        <w:t xml:space="preserve"> some types of LA ABN</w:t>
      </w:r>
      <w:r w:rsidR="009A6772" w:rsidRPr="00532F44">
        <w:t xml:space="preserve"> can be detected by TTE, </w:t>
      </w:r>
      <w:r w:rsidR="00133DC2">
        <w:t>but not by CHADS</w:t>
      </w:r>
      <w:r w:rsidR="00133DC2" w:rsidRPr="00B36EBC">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B36EBC">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133DC2">
        <w:t xml:space="preserve">exists </w:t>
      </w:r>
      <w:r w:rsidR="00374A9D" w:rsidRPr="00532F44">
        <w:t xml:space="preserve">then 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3B31">
      <w:pPr>
        <w:spacing w:line="480" w:lineRule="auto"/>
      </w:pPr>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and separate scenarios were performed for each of three potential OACs: wa</w:t>
      </w:r>
      <w:r w:rsidR="00133DC2">
        <w:t xml:space="preserve">rfarin,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4E06E9">
        <w:t xml:space="preserve">These are listed in </w:t>
      </w:r>
      <w:r w:rsidR="004E06E9">
        <w:fldChar w:fldCharType="begin"/>
      </w:r>
      <w:r w:rsidR="004E06E9">
        <w:instrText xml:space="preserve"> REF _Ref321227101 \h </w:instrText>
      </w:r>
      <w:r w:rsidR="008D3B31">
        <w:instrText xml:space="preserve"> \* MERGEFORMAT </w:instrText>
      </w:r>
      <w:r w:rsidR="004E06E9">
        <w:fldChar w:fldCharType="separate"/>
      </w:r>
      <w:r w:rsidR="008D3B31" w:rsidRPr="00532F44">
        <w:t xml:space="preserve">Table </w:t>
      </w:r>
      <w:r w:rsidR="008D3B31">
        <w:t>1</w:t>
      </w:r>
      <w:r w:rsidR="004E06E9">
        <w:fldChar w:fldCharType="end"/>
      </w:r>
      <w:r w:rsidR="004E06E9">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2F05E5">
        <w:fldChar w:fldCharType="begin" w:fldLock="1"/>
      </w:r>
      <w:r w:rsidR="00F82325">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"[7]" }, "properties" : { "noteIndex" : 0 }, "schema" : "https://github.com/citation-style-language/schema/raw/master/csl-citation.json" }</w:instrText>
      </w:r>
      <w:r w:rsidR="002F05E5">
        <w:fldChar w:fldCharType="separate"/>
      </w:r>
      <w:r w:rsidR="00354D59" w:rsidRPr="00354D59">
        <w:rPr>
          <w:noProof/>
        </w:rPr>
        <w:t>[7]</w:t>
      </w:r>
      <w:r w:rsidR="002F05E5">
        <w:fldChar w:fldCharType="end"/>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w:t>
      </w:r>
      <w:r w:rsidR="006D7B3B" w:rsidRPr="00532F44">
        <w:lastRenderedPageBreak/>
        <w:t xml:space="preserve">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Pr="00532F44" w:rsidRDefault="00BE73AD" w:rsidP="008D3B31">
      <w:pPr>
        <w:spacing w:line="480" w:lineRule="auto"/>
      </w:pPr>
      <w:r w:rsidRPr="00532F44">
        <w:t xml:space="preserve">Warfarin,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t>
      </w:r>
      <w:r w:rsidR="00560933" w:rsidRPr="00532F44">
        <w:t xml:space="preserve">Warfarin is </w:t>
      </w:r>
      <w:r w:rsidR="00354D59">
        <w:t xml:space="preserve">recommended </w:t>
      </w:r>
      <w:r w:rsidR="00560933" w:rsidRPr="00532F44">
        <w:t>in patients with a CHADS</w:t>
      </w:r>
      <w:r w:rsidR="00560933" w:rsidRPr="00B36EBC">
        <w:rPr>
          <w:vertAlign w:val="subscript"/>
        </w:rPr>
        <w:t>2</w:t>
      </w:r>
      <w:r w:rsidR="00560933" w:rsidRPr="00532F44">
        <w:t xml:space="preserve"> score of </w:t>
      </w:r>
      <w:r w:rsidR="00354D59">
        <w:t xml:space="preserve">one </w:t>
      </w:r>
      <w:r w:rsidR="00560933" w:rsidRPr="00532F44">
        <w:t xml:space="preserve">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if they are also aged 65 years or more</w:t>
      </w:r>
      <w:r w:rsidR="002F05E5" w:rsidRPr="00532F44">
        <w:fldChar w:fldCharType="begin" w:fldLock="1"/>
      </w:r>
      <w:r w:rsidR="00F82325">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r w:rsidR="00B13ECE">
        <w:fldChar w:fldCharType="begin"/>
      </w:r>
      <w:r w:rsidR="00B13ECE">
        <w:instrText xml:space="preserve"> REF _Ref321227101 \h  \* MERGEFORMAT </w:instrText>
      </w:r>
      <w:r w:rsidR="00B13ECE">
        <w:fldChar w:fldCharType="separate"/>
      </w:r>
      <w:r w:rsidR="008D3B31" w:rsidRPr="00532F44">
        <w:t xml:space="preserve">Table </w:t>
      </w:r>
      <w:r w:rsidR="008D3B31">
        <w:t>1</w:t>
      </w:r>
      <w:r w:rsidR="00B13ECE">
        <w:fldChar w:fldCharType="end"/>
      </w:r>
      <w:r w:rsidRPr="00532F44">
        <w:t>.</w:t>
      </w:r>
    </w:p>
    <w:p w:rsidR="00515AEC" w:rsidRPr="00532F44" w:rsidRDefault="00515AEC" w:rsidP="003378D6">
      <w:pPr>
        <w:pStyle w:val="Heading2"/>
        <w:numPr>
          <w:ilvl w:val="0"/>
          <w:numId w:val="0"/>
        </w:numPr>
      </w:pPr>
      <w:r w:rsidRPr="00532F44">
        <w:t>Model Overview</w:t>
      </w:r>
    </w:p>
    <w:p w:rsidR="00004236" w:rsidRPr="00532F44" w:rsidRDefault="00397705" w:rsidP="008D3B31">
      <w:pPr>
        <w:spacing w:line="480" w:lineRule="auto"/>
      </w:pPr>
      <w:r w:rsidRPr="00532F44">
        <w:t>A</w:t>
      </w:r>
      <w:r w:rsidR="00004236" w:rsidRPr="00532F44">
        <w:t xml:space="preserve">n overview of the model is presented in </w:t>
      </w:r>
      <w:r w:rsidR="00B13ECE">
        <w:fldChar w:fldCharType="begin"/>
      </w:r>
      <w:r w:rsidR="00B13ECE">
        <w:instrText xml:space="preserve"> REF _Ref321241706 \h  \* MERGEFORMAT </w:instrText>
      </w:r>
      <w:r w:rsidR="00B13ECE">
        <w:fldChar w:fldCharType="separate"/>
      </w:r>
      <w:r w:rsidR="008D3B31" w:rsidRPr="00532F44">
        <w:t xml:space="preserve">Figure </w:t>
      </w:r>
      <w:r w:rsidR="008D3B31">
        <w:t>1</w:t>
      </w:r>
      <w:r w:rsidR="00B13ECE">
        <w:fldChar w:fldCharType="end"/>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4E06E9" w:rsidRPr="008D3B31">
        <w:t xml:space="preserve">an LAABN was identified and hence an </w:t>
      </w:r>
      <w:r w:rsidR="00004236" w:rsidRPr="00532F44">
        <w:t>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are assumed could lead to death, </w:t>
      </w:r>
      <w:r w:rsidR="00A07773" w:rsidRPr="00532F44">
        <w:t xml:space="preserve">or </w:t>
      </w:r>
      <w:r w:rsidR="001138A7" w:rsidRPr="00532F44">
        <w:t xml:space="preserve">they may 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3B31">
      <w:pPr>
        <w:spacing w:line="480" w:lineRule="auto"/>
      </w:pPr>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w:t>
      </w:r>
      <w:r w:rsidRPr="00532F44">
        <w:lastRenderedPageBreak/>
        <w:t xml:space="preserve">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3B31">
      <w:pPr>
        <w:spacing w:line="480" w:lineRule="auto"/>
      </w:pPr>
      <w:r w:rsidRPr="00532F44">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 xml:space="preserve">the proportion of the population with LA ABN, referred to here as the true proportion high risk (TPHR); and as sensitivity and specificity of the diagnostic technology, and </w:t>
      </w:r>
      <w:r w:rsidR="004E06E9">
        <w:t xml:space="preserve">is </w:t>
      </w:r>
      <w:r w:rsidR="00DE62D7" w:rsidRPr="00532F44">
        <w:t>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3B31">
      <w:pPr>
        <w:spacing w:line="480" w:lineRule="auto"/>
      </w:pPr>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89277F">
        <w:rPr>
          <w:lang w:val="en-GB"/>
        </w:rPr>
        <w:t>Mode</w:t>
      </w:r>
      <w:r w:rsidR="004E06E9" w:rsidRPr="0089277F">
        <w:rPr>
          <w:lang w:val="en-GB"/>
        </w:rPr>
        <w:t>l</w:t>
      </w:r>
      <w:r w:rsidRPr="0089277F">
        <w:rPr>
          <w:lang w:val="en-GB"/>
        </w:rPr>
        <w:t>ling</w:t>
      </w:r>
      <w:r w:rsidRPr="00532F44">
        <w:t xml:space="preserve"> long-term </w:t>
      </w:r>
      <w:r w:rsidR="00BC79E5" w:rsidRPr="00532F44">
        <w:t>events</w:t>
      </w:r>
    </w:p>
    <w:p w:rsidR="00E97667" w:rsidRPr="00532F44" w:rsidRDefault="00515AEC" w:rsidP="008D3B31">
      <w:pPr>
        <w:spacing w:line="480" w:lineRule="auto"/>
      </w:pPr>
      <w:r w:rsidRPr="00532F44">
        <w:t xml:space="preserve">Prescribing an OAC </w:t>
      </w:r>
      <w:r w:rsidR="00354D59">
        <w:t>reduces the risk of stroke, but increases risk of a potentially fatal major bleeding event</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different utilities,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2F05E5" w:rsidRPr="00532F44">
        <w:fldChar w:fldCharType="begin" w:fldLock="1"/>
      </w:r>
      <w:r w:rsidR="00F82325">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"[10]" }, "properties" : { "noteIndex" : 0 }, "schema" : "https://github.com/citation-style-language/schema/raw/master/csl-citation.json" }</w:instrText>
      </w:r>
      <w:r w:rsidR="002F05E5" w:rsidRPr="00532F44">
        <w:fldChar w:fldCharType="separate"/>
      </w:r>
      <w:r w:rsidR="00354D59" w:rsidRPr="00354D59">
        <w:rPr>
          <w:noProof/>
        </w:rPr>
        <w:t>[10]</w:t>
      </w:r>
      <w:r w:rsidR="002F05E5" w:rsidRPr="00532F44">
        <w:fldChar w:fldCharType="end"/>
      </w:r>
      <w:r w:rsidR="00E97667" w:rsidRPr="00532F44">
        <w:t xml:space="preserve"> </w:t>
      </w:r>
    </w:p>
    <w:p w:rsidR="00F91783" w:rsidRPr="00532F44" w:rsidRDefault="00A8404E" w:rsidP="008D3B31">
      <w:pPr>
        <w:spacing w:line="480" w:lineRule="auto"/>
      </w:pPr>
      <w:r w:rsidRPr="00532F44">
        <w:lastRenderedPageBreak/>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F91783" w:rsidRPr="00532F44">
        <w:t xml:space="preserve"> </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B36EBC">
        <w:rPr>
          <w:vertAlign w:val="subscript"/>
        </w:rPr>
        <w:t>2</w:t>
      </w:r>
      <w:r w:rsidR="0089277F">
        <w:t xml:space="preserve"> score by one </w:t>
      </w:r>
      <w:proofErr w:type="gramStart"/>
      <w:r w:rsidR="0089277F">
        <w:t>point</w:t>
      </w:r>
      <w:proofErr w:type="gramEnd"/>
      <w:r w:rsidR="007D1C2B">
        <w:t>.</w:t>
      </w:r>
      <w:r w:rsidR="00F91783" w:rsidRPr="00532F44">
        <w:t xml:space="preserve">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provided they have not experienced a previous bleeding episode</w:t>
      </w:r>
      <w:r w:rsidR="00604F56" w:rsidRPr="00532F44">
        <w:t>.</w:t>
      </w:r>
      <w:r w:rsidR="00F91783" w:rsidRPr="00532F44">
        <w:t xml:space="preserve"> If a patient suffers a severe intracranial </w:t>
      </w:r>
      <w:proofErr w:type="spellStart"/>
      <w:r w:rsidR="00F91783" w:rsidRPr="008D3B31">
        <w:t>haemorrhage</w:t>
      </w:r>
      <w:proofErr w:type="spellEnd"/>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2F05E5" w:rsidRPr="00532F44">
        <w:fldChar w:fldCharType="begin" w:fldLock="1"/>
      </w:r>
      <w:r w:rsidR="00F82325">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"[11]" }, "properties" : { "noteIndex" : 0 }, "schema" : "https://github.com/citation-style-language/schema/raw/master/csl-citation.json" }</w:instrText>
      </w:r>
      <w:r w:rsidR="002F05E5" w:rsidRPr="00532F44">
        <w:fldChar w:fldCharType="separate"/>
      </w:r>
      <w:r w:rsidR="00354D59" w:rsidRPr="00354D59">
        <w:rPr>
          <w:noProof/>
        </w:rPr>
        <w:t>[11]</w:t>
      </w:r>
      <w:r w:rsidR="002F05E5"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warfarin. </w:t>
      </w:r>
      <w:r w:rsidR="002F05E5" w:rsidRPr="00532F44">
        <w:fldChar w:fldCharType="begin" w:fldLock="1"/>
      </w:r>
      <w:r w:rsidR="00F82325">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8D3B31">
      <w:pPr>
        <w:spacing w:line="480" w:lineRule="auto"/>
      </w:pPr>
      <w:r w:rsidRPr="00532F44">
        <w:t xml:space="preserve">A full list of the information used to populate the parameters in the model, including event risks, costs and utilities, is presented in </w:t>
      </w:r>
      <w:r w:rsidR="00B13ECE">
        <w:fldChar w:fldCharType="begin"/>
      </w:r>
      <w:r w:rsidR="00B13ECE">
        <w:instrText xml:space="preserve"> REF _Ref321401422 \h  \* MERGEFORMAT </w:instrText>
      </w:r>
      <w:r w:rsidR="00B13ECE">
        <w:fldChar w:fldCharType="separate"/>
      </w:r>
      <w:r w:rsidR="008D3B31" w:rsidRPr="00532F44">
        <w:t xml:space="preserve">Table </w:t>
      </w:r>
      <w:r w:rsidR="008D3B31">
        <w:t>2</w:t>
      </w:r>
      <w:r w:rsidR="00B13ECE">
        <w:fldChar w:fldCharType="end"/>
      </w:r>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741A7A" w:rsidP="008D3B31">
      <w:pPr>
        <w:spacing w:line="480" w:lineRule="auto"/>
      </w:pPr>
      <w:bookmarkStart w:id="0" w:name="_Toc316637315"/>
      <w:r>
        <w:t xml:space="preserve">The scatterplots of estimates produced by the PSA provide an indication of the clinical and cost-effectiveness of the TTE option compared with the no TTE option.  If the majority of the </w:t>
      </w:r>
      <w:proofErr w:type="gramStart"/>
      <w:r>
        <w:t>scatter are</w:t>
      </w:r>
      <w:proofErr w:type="gramEnd"/>
      <w:r>
        <w:t xml:space="preserve"> in the north west quadrant of these graphs, then this indicates that the TTE option is both more costly and less effective than the no TTE option, and this is said to be ruled out by simple dominance. Scatter in the north east quadrant indicates that, compared with no TTE, TTE is both more expensive but also more clinically effective; in these cases, it is important to identify whether the ratio of incremental costs to incremental benefits </w:t>
      </w:r>
      <w:r w:rsidR="00C3520A">
        <w:t xml:space="preserve">– the incremental cost-effectiveness ratio (ICER) - </w:t>
      </w:r>
      <w:r>
        <w:t xml:space="preserve">is below </w:t>
      </w:r>
      <w:r w:rsidR="00C3520A">
        <w:t xml:space="preserve">a given threshold value, defined as </w:t>
      </w:r>
      <w:r w:rsidR="00C3520A" w:rsidRPr="00532F44">
        <w:t>maximum acceptable incre</w:t>
      </w:r>
      <w:r w:rsidR="00C3520A">
        <w:t>mental cost effectiveness ratios</w:t>
      </w:r>
      <w:r w:rsidR="00C3520A" w:rsidRPr="00532F44">
        <w:t xml:space="preserve"> (MAICERS)</w:t>
      </w:r>
      <w:r w:rsidR="00C3520A">
        <w:t xml:space="preserve">. Treatment options are usually described as ‘cost effective’ if their ICER is below the MAICER, and not cost effective otherwise. </w:t>
      </w:r>
      <w:r w:rsidR="00670364" w:rsidRPr="00532F44">
        <w:t xml:space="preserve">The </w:t>
      </w:r>
      <w:r w:rsidR="00270FD8" w:rsidRPr="00532F44">
        <w:t xml:space="preserve">probabilities </w:t>
      </w:r>
      <w:r w:rsidR="00670364" w:rsidRPr="00532F44">
        <w:t>that the</w:t>
      </w:r>
      <w:r w:rsidR="00266451" w:rsidRPr="00532F44">
        <w:t xml:space="preserve"> addition of TTE </w:t>
      </w:r>
      <w:r w:rsidR="001138A7" w:rsidRPr="00532F44">
        <w:t>is cost-effective at</w:t>
      </w:r>
      <w:r w:rsidR="00670364" w:rsidRPr="00532F44">
        <w:t xml:space="preserve"> </w:t>
      </w:r>
      <w:r w:rsidR="00C3520A">
        <w:t xml:space="preserve">was calculated for MAICERs </w:t>
      </w:r>
      <w:r w:rsidR="00270FD8" w:rsidRPr="00532F44">
        <w:t>ranging from £0/QALY to £50,000/QALY.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w:t>
      </w:r>
      <w:r w:rsidR="00C3520A">
        <w:t xml:space="preserve"> </w:t>
      </w:r>
      <w:r w:rsidR="00270FD8" w:rsidRPr="00532F44">
        <w:t xml:space="preserve">show the probability </w:t>
      </w:r>
      <w:r w:rsidR="00CA434B" w:rsidRPr="00532F44">
        <w:t xml:space="preserve">of the adoption decision </w:t>
      </w:r>
      <w:r w:rsidR="00C3520A">
        <w:t xml:space="preserve">being </w:t>
      </w:r>
      <w:r w:rsidR="00270FD8" w:rsidRPr="00532F44">
        <w:t>cost-effective.</w:t>
      </w:r>
      <w:r w:rsidR="00266451" w:rsidRPr="00532F44">
        <w:t xml:space="preserve"> </w:t>
      </w:r>
      <w:r w:rsidR="002F05E5" w:rsidRPr="00532F44">
        <w:fldChar w:fldCharType="begin" w:fldLock="1"/>
      </w:r>
      <w:r w:rsidR="00F82325">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"[13]" }, "properties" : { "noteIndex" : 0 }, "schema" : "https://github.com/citation-style-language/schema/raw/master/csl-citation.json" }</w:instrText>
      </w:r>
      <w:r w:rsidR="002F05E5" w:rsidRPr="00532F44">
        <w:fldChar w:fldCharType="separate"/>
      </w:r>
      <w:r w:rsidR="00354D59" w:rsidRPr="00354D59">
        <w:rPr>
          <w:noProof/>
        </w:rPr>
        <w:t>[13]</w:t>
      </w:r>
      <w:r w:rsidR="002F05E5" w:rsidRPr="00532F44">
        <w:fldChar w:fldCharType="end"/>
      </w:r>
    </w:p>
    <w:p w:rsidR="00270FD8" w:rsidRPr="00532F44" w:rsidRDefault="00AB2D8E" w:rsidP="003378D6">
      <w:pPr>
        <w:pStyle w:val="Heading2"/>
        <w:numPr>
          <w:ilvl w:val="0"/>
          <w:numId w:val="0"/>
        </w:numPr>
      </w:pPr>
      <w:r w:rsidRPr="00532F44">
        <w:lastRenderedPageBreak/>
        <w:t>Deterministic</w:t>
      </w:r>
      <w:r w:rsidR="00270FD8" w:rsidRPr="00532F44">
        <w:t xml:space="preserve"> sensitivity analyses</w:t>
      </w:r>
    </w:p>
    <w:p w:rsidR="00454436" w:rsidRPr="00532F44" w:rsidRDefault="00DF7E46" w:rsidP="008D3B31">
      <w:pPr>
        <w:spacing w:line="480" w:lineRule="auto"/>
      </w:pPr>
      <w:r w:rsidRPr="00532F44">
        <w:t>S</w:t>
      </w:r>
      <w:r w:rsidR="00454436" w:rsidRPr="00532F44">
        <w:t xml:space="preserve">ensitivity analyses were </w:t>
      </w:r>
      <w:r w:rsidRPr="00532F44">
        <w:t xml:space="preserve">also </w:t>
      </w:r>
      <w:r w:rsidR="00454436" w:rsidRPr="00532F44">
        <w:t xml:space="preserve">undertaken on two key parameters, the </w:t>
      </w:r>
      <w:r w:rsidR="000F1109" w:rsidRPr="00532F44">
        <w:t>TPHR, and</w:t>
      </w:r>
      <w:r w:rsidR="00454436" w:rsidRPr="00532F44">
        <w:t xml:space="preserve"> the joint uncertainty in the sensitivity and specificity of TTE in detecting LA ABN.</w:t>
      </w:r>
      <w:r w:rsidR="001138A7" w:rsidRPr="00532F44">
        <w:t xml:space="preserve"> The results for the joint uncertainty for two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bookmarkEnd w:id="0"/>
    <w:p w:rsidR="0005390C" w:rsidRPr="00532F44" w:rsidRDefault="00DF4463" w:rsidP="003378D6">
      <w:pPr>
        <w:pStyle w:val="Heading1"/>
        <w:numPr>
          <w:ilvl w:val="0"/>
          <w:numId w:val="0"/>
        </w:numPr>
      </w:pPr>
      <w:r w:rsidRPr="00532F44">
        <w:t>Results</w:t>
      </w:r>
    </w:p>
    <w:p w:rsidR="000804F2" w:rsidRPr="00532F44" w:rsidRDefault="000804F2" w:rsidP="008D3B31">
      <w:pPr>
        <w:spacing w:line="480" w:lineRule="auto"/>
      </w:pPr>
      <w:r w:rsidRPr="00532F44">
        <w:t xml:space="preserve">Due to the large number of scenarios run, </w:t>
      </w:r>
      <w:r w:rsidR="0089277F">
        <w:t xml:space="preserve">for brevity </w:t>
      </w:r>
      <w:r w:rsidRPr="00532F44">
        <w:t xml:space="preserve">only the results for </w:t>
      </w:r>
      <w:r w:rsidR="006C3CB6">
        <w:t xml:space="preserve">two </w:t>
      </w:r>
      <w:r w:rsidRPr="00532F44">
        <w:t xml:space="preserve">scenarios are </w:t>
      </w:r>
      <w:r w:rsidR="00FC748C">
        <w:t xml:space="preserve">discussed </w:t>
      </w:r>
      <w:r w:rsidR="0055657D" w:rsidRPr="00532F44">
        <w:t>in detail</w:t>
      </w:r>
      <w:r w:rsidR="007D1C2B">
        <w:t>, although the results for the other scenarios are also provided</w:t>
      </w:r>
      <w:r w:rsidR="0089277F">
        <w:t xml:space="preserve"> and the implications briefly </w:t>
      </w:r>
      <w:proofErr w:type="spellStart"/>
      <w:r w:rsidR="0089277F">
        <w:t>summarised</w:t>
      </w:r>
      <w:proofErr w:type="spellEnd"/>
      <w:r w:rsidRPr="00532F44">
        <w:t xml:space="preserve">. </w:t>
      </w:r>
      <w:r w:rsidR="0055657D" w:rsidRPr="00532F44">
        <w:t xml:space="preserve">These </w:t>
      </w:r>
      <w:r w:rsidR="006C3CB6">
        <w:t xml:space="preserve">two </w:t>
      </w:r>
      <w:r w:rsidR="0055657D" w:rsidRPr="00532F44">
        <w:t>scenarios are</w:t>
      </w:r>
      <w:r w:rsidR="00354D59">
        <w:t xml:space="preserve"> of fifty year old males with initial CHADS</w:t>
      </w:r>
      <w:r w:rsidR="00354D59" w:rsidRPr="00B36EBC">
        <w:rPr>
          <w:vertAlign w:val="subscript"/>
        </w:rPr>
        <w:t>2</w:t>
      </w:r>
      <w:r w:rsidR="00354D59">
        <w:t xml:space="preserve"> scores of zero</w:t>
      </w:r>
      <w:r w:rsidR="006C3CB6">
        <w:t xml:space="preserve">, and where the clinical decision to make is whether to prescribe either a) warfarin, or b) </w:t>
      </w:r>
      <w:proofErr w:type="spellStart"/>
      <w:r w:rsidR="006C3CB6">
        <w:t>rivaroxaban</w:t>
      </w:r>
      <w:proofErr w:type="spellEnd"/>
      <w:r w:rsidR="006C3CB6">
        <w:t>, as the OAC.</w:t>
      </w:r>
    </w:p>
    <w:p w:rsidR="00273A34" w:rsidRPr="00532F44" w:rsidRDefault="00B13ECE" w:rsidP="008D3B31">
      <w:pPr>
        <w:spacing w:line="480" w:lineRule="auto"/>
      </w:pPr>
      <w:r>
        <w:fldChar w:fldCharType="begin"/>
      </w:r>
      <w:r>
        <w:instrText xml:space="preserve"> REF _Ref321238070 \h  \* MERGEFORMAT </w:instrText>
      </w:r>
      <w:r>
        <w:fldChar w:fldCharType="separate"/>
      </w:r>
      <w:r w:rsidR="00FF7CB5" w:rsidRPr="00532F44">
        <w:t xml:space="preserve">Table </w:t>
      </w:r>
      <w:r w:rsidR="00FF7CB5">
        <w:t>3</w:t>
      </w:r>
      <w:r>
        <w:fldChar w:fldCharType="end"/>
      </w:r>
      <w:r w:rsidR="00605BB7" w:rsidRPr="00532F44">
        <w:t xml:space="preserve"> </w:t>
      </w:r>
      <w:r w:rsidR="00AD6705" w:rsidRPr="00532F44">
        <w:t xml:space="preserve">compares </w:t>
      </w:r>
      <w:r w:rsidR="00B325C3" w:rsidRPr="00532F44">
        <w:t xml:space="preserve">the simulated patient experience when TTE is added to </w:t>
      </w:r>
      <w:r w:rsidR="00AD6705" w:rsidRPr="00532F44">
        <w:t xml:space="preserve">the decision making process either for fifty year old males with an initial </w:t>
      </w:r>
      <w:r w:rsidR="00B325C3" w:rsidRPr="00532F44">
        <w:t>CHADS</w:t>
      </w:r>
      <w:r w:rsidR="00B325C3" w:rsidRPr="00B36EBC">
        <w:rPr>
          <w:vertAlign w:val="subscript"/>
        </w:rPr>
        <w:t>2</w:t>
      </w:r>
      <w:r w:rsidR="00B325C3" w:rsidRPr="00532F44">
        <w:t xml:space="preserve"> </w:t>
      </w:r>
      <w:r w:rsidR="00AD6705" w:rsidRPr="00532F44">
        <w:t>score of zero</w:t>
      </w:r>
      <w:r w:rsidR="00741A7A">
        <w:t xml:space="preserve">, where the clinical decision is to prescribe either a) warfarin or b) </w:t>
      </w:r>
      <w:proofErr w:type="spellStart"/>
      <w:r w:rsidR="00741A7A">
        <w:t>rivaroxaban</w:t>
      </w:r>
      <w:proofErr w:type="spellEnd"/>
      <w:r w:rsidR="00AD6705" w:rsidRPr="00532F44">
        <w:t xml:space="preserve">. </w:t>
      </w:r>
      <w:r w:rsidR="00273A34" w:rsidRPr="00532F44">
        <w:t>For both cohorts the effect of using TTE to inform the decision is to increase the number of life</w:t>
      </w:r>
      <w:r w:rsidR="00DD5C22" w:rsidRPr="00532F44">
        <w:t xml:space="preserve"> </w:t>
      </w:r>
      <w:r w:rsidR="00273A34" w:rsidRPr="00532F44">
        <w:t xml:space="preserve">years, decrease the proportion of patients dying of strokes, but increase the proportion dying of major bleeding events. </w:t>
      </w:r>
      <w:r w:rsidR="0089277F">
        <w:t>While t</w:t>
      </w:r>
      <w:r w:rsidR="0089277F" w:rsidRPr="00532F44">
        <w:t>he proportion of patients suffering strokes is decreased in the TTE arms compared with the No TTE arms, the proportion experiencing either in</w:t>
      </w:r>
      <w:r w:rsidR="0089277F">
        <w:t>tra</w:t>
      </w:r>
      <w:r w:rsidR="0089277F" w:rsidRPr="00532F44">
        <w:t xml:space="preserve">cranial </w:t>
      </w:r>
      <w:proofErr w:type="spellStart"/>
      <w:r w:rsidR="0089277F" w:rsidRPr="008D3B31">
        <w:t>haemorrhages</w:t>
      </w:r>
      <w:proofErr w:type="spellEnd"/>
      <w:r w:rsidR="0089277F" w:rsidRPr="00532F44">
        <w:t xml:space="preserve"> (ICH) or </w:t>
      </w:r>
      <w:proofErr w:type="spellStart"/>
      <w:r w:rsidR="0089277F" w:rsidRPr="00532F44">
        <w:t>nonintracranial</w:t>
      </w:r>
      <w:proofErr w:type="spellEnd"/>
      <w:r w:rsidR="0089277F" w:rsidRPr="008D3B31">
        <w:t xml:space="preserve"> </w:t>
      </w:r>
      <w:proofErr w:type="spellStart"/>
      <w:r w:rsidR="0089277F" w:rsidRPr="008D3B31">
        <w:t>haemorrhages</w:t>
      </w:r>
      <w:proofErr w:type="spellEnd"/>
      <w:r w:rsidR="0089277F">
        <w:t xml:space="preserve"> (NICH) is increased. </w:t>
      </w:r>
    </w:p>
    <w:p w:rsidR="008D3B31" w:rsidRPr="00532F44" w:rsidRDefault="000C4858" w:rsidP="008D3B31">
      <w:pPr>
        <w:spacing w:line="480" w:lineRule="auto"/>
      </w:pPr>
      <w:r w:rsidRPr="00532F44">
        <w:t>For the cohort of fifty year old males with a CHADS</w:t>
      </w:r>
      <w:r w:rsidRPr="00B36EBC">
        <w:rPr>
          <w:vertAlign w:val="subscript"/>
        </w:rPr>
        <w:t>2</w:t>
      </w:r>
      <w:r w:rsidRPr="00532F44">
        <w:t xml:space="preserve"> score of zero, </w:t>
      </w:r>
      <w:r w:rsidR="00B13ECE">
        <w:fldChar w:fldCharType="begin"/>
      </w:r>
      <w:r w:rsidR="00B13ECE">
        <w:instrText xml:space="preserve"> REF _Ref335131627 \h  \* MERGEFORMAT </w:instrText>
      </w:r>
      <w:r w:rsidR="00B13ECE">
        <w:fldChar w:fldCharType="separate"/>
      </w:r>
      <w:r w:rsidR="00FF7CB5" w:rsidRPr="00532F44">
        <w:t xml:space="preserve">Table </w:t>
      </w:r>
      <w:r w:rsidR="00FF7CB5">
        <w:t>4</w:t>
      </w:r>
      <w:r w:rsidR="00B13ECE">
        <w:fldChar w:fldCharType="end"/>
      </w:r>
      <w:r w:rsidRPr="00532F44">
        <w:t xml:space="preserve"> presents </w:t>
      </w:r>
      <w:r w:rsidR="00354D59">
        <w:t xml:space="preserve">the following: </w:t>
      </w:r>
      <w:r w:rsidR="001B7E26" w:rsidRPr="00532F44">
        <w:t>a)</w:t>
      </w:r>
      <w:r w:rsidR="007973DF" w:rsidRPr="00532F44">
        <w:t xml:space="preserve"> </w:t>
      </w:r>
      <w:r w:rsidR="001B7E26" w:rsidRPr="00532F44">
        <w:t>a</w:t>
      </w:r>
      <w:r w:rsidR="001B7E26" w:rsidRPr="008D3B31">
        <w:t xml:space="preserve"> scatterplot</w:t>
      </w:r>
      <w:r w:rsidR="001B7E26" w:rsidRPr="00532F44">
        <w:t xml:space="preserve"> of one thousand probabilistic sensitivity analysis runs; b) the cost effec</w:t>
      </w:r>
      <w:r w:rsidR="00BB340B">
        <w:t>tiveness acceptability frontier</w:t>
      </w:r>
      <w:r w:rsidR="00405A96">
        <w:t xml:space="preserve"> (CEAF)</w:t>
      </w:r>
      <w:r w:rsidR="001B7E26" w:rsidRPr="00532F44">
        <w:t>; c) the mean cost and mean QALY associated with each option, and the ICER</w:t>
      </w:r>
      <w:r w:rsidR="009A3B70" w:rsidRPr="00532F44">
        <w:t>, with jackknifed 95% confidence interval,</w:t>
      </w:r>
      <w:r w:rsidR="001B7E26" w:rsidRPr="00532F44">
        <w:t xml:space="preserve"> ass</w:t>
      </w:r>
      <w:r w:rsidRPr="00532F44">
        <w:t>ociated with these mean values.</w:t>
      </w:r>
      <w:r w:rsidR="009A3B70" w:rsidRPr="00532F44">
        <w:t xml:space="preserve"> </w:t>
      </w:r>
      <w:r w:rsidR="002F05E5" w:rsidRPr="00532F44">
        <w:fldChar w:fldCharType="begin" w:fldLock="1"/>
      </w:r>
      <w:r w:rsidR="00F82325">
        <w:instrText>ADDIN CSL_CITATION { "citationItems" : [ { "id" : "ITEM-1", "itemData" : { "author" : [ { "dropping-particle" : "", "family" : "Inglehart", "given" : "DL", "non-dropping-particle" : "", "parse-names" : false, "suffix" : "" } ], "container-title" : "Naval Research Logistics", "id" : "ITEM-1", "issued" : { "date-parts" : [ [ "1975" ] ] }, "page" : "553-565", "title" : "Simulating stable stochastic systems, V: Comparison of ratio estimators", "type" : "article-journal", "volume" : "22" }, "uris" : [ "http://www.mendeley.com/documents/?uuid=c8573195-cfbc-49e5-9d78-da276e37aa91" ] } ], "mendeley" : { "previouslyFormattedCitation" : "[14]" }, "properties" : { "noteIndex" : 0 }, "schema" : "https://github.com/citation-style-language/schema/raw/master/csl-citation.json" }</w:instrText>
      </w:r>
      <w:r w:rsidR="002F05E5" w:rsidRPr="00532F44">
        <w:fldChar w:fldCharType="separate"/>
      </w:r>
      <w:r w:rsidR="00354D59" w:rsidRPr="00354D59">
        <w:rPr>
          <w:noProof/>
        </w:rPr>
        <w:t>[14]</w:t>
      </w:r>
      <w:r w:rsidR="002F05E5" w:rsidRPr="00532F44">
        <w:fldChar w:fldCharType="end"/>
      </w:r>
      <w:r w:rsidRPr="00532F44">
        <w:t xml:space="preserve"> </w:t>
      </w:r>
      <w:r w:rsidR="00B13ECE">
        <w:fldChar w:fldCharType="begin"/>
      </w:r>
      <w:r w:rsidR="00B13ECE">
        <w:instrText xml:space="preserve"> REF _Ref335131630 \h  \* MERGEFORMAT </w:instrText>
      </w:r>
      <w:r w:rsidR="00B13ECE">
        <w:fldChar w:fldCharType="separate"/>
      </w:r>
    </w:p>
    <w:p w:rsidR="00920A0B" w:rsidRPr="00532F44" w:rsidRDefault="008D3B31" w:rsidP="008D3B31">
      <w:pPr>
        <w:spacing w:line="480" w:lineRule="auto"/>
      </w:pPr>
      <w:r w:rsidRPr="00532F44">
        <w:t xml:space="preserve">Table </w:t>
      </w:r>
      <w:r>
        <w:rPr>
          <w:noProof/>
        </w:rPr>
        <w:t>5</w:t>
      </w:r>
      <w:r w:rsidR="00B13ECE">
        <w:fldChar w:fldCharType="end"/>
      </w:r>
      <w:r w:rsidR="001B7E26" w:rsidRPr="00532F44">
        <w:t xml:space="preserve"> presents the equivalent information for the cohort with an initial CHADS</w:t>
      </w:r>
      <w:r w:rsidR="001B7E26" w:rsidRPr="00B36EBC">
        <w:rPr>
          <w:vertAlign w:val="subscript"/>
        </w:rPr>
        <w:t>2</w:t>
      </w:r>
      <w:r w:rsidR="001B7E26" w:rsidRPr="00532F44">
        <w:t xml:space="preserve"> score of one point.</w:t>
      </w:r>
      <w:r w:rsidR="00920A0B" w:rsidRPr="00532F44">
        <w:t xml:space="preserve"> </w:t>
      </w:r>
    </w:p>
    <w:p w:rsidR="00920A0B" w:rsidRPr="00532F44" w:rsidRDefault="00920A0B" w:rsidP="008D3B31">
      <w:pPr>
        <w:spacing w:line="480" w:lineRule="auto"/>
      </w:pPr>
      <w:r w:rsidRPr="00532F44">
        <w:lastRenderedPageBreak/>
        <w:t>For the cohort with an initial CHADS</w:t>
      </w:r>
      <w:r w:rsidRPr="00B36EBC">
        <w:rPr>
          <w:vertAlign w:val="subscript"/>
        </w:rPr>
        <w:t>2</w:t>
      </w:r>
      <w:r w:rsidRPr="00532F44">
        <w:t xml:space="preserve"> score of zero points (</w:t>
      </w:r>
      <w:r w:rsidR="00B13ECE">
        <w:fldChar w:fldCharType="begin"/>
      </w:r>
      <w:r w:rsidR="00B13ECE">
        <w:instrText xml:space="preserve"> REF _Ref335131627 \h  \* MERGEFORMAT </w:instrText>
      </w:r>
      <w:r w:rsidR="00B13ECE">
        <w:fldChar w:fldCharType="separate"/>
      </w:r>
      <w:r w:rsidR="008D3B31" w:rsidRPr="00532F44">
        <w:t xml:space="preserve">Table </w:t>
      </w:r>
      <w:r w:rsidR="008D3B31">
        <w:t>4</w:t>
      </w:r>
      <w:r w:rsidR="00B13ECE">
        <w:fldChar w:fldCharType="end"/>
      </w:r>
      <w:r w:rsidRPr="00532F44">
        <w:t xml:space="preserve">), the scatterplot </w:t>
      </w:r>
      <w:r w:rsidR="00354D59">
        <w:t xml:space="preserve">shows that </w:t>
      </w:r>
      <w:r w:rsidRPr="00532F44">
        <w:t xml:space="preserve">(a) that the majority of the estimates are in the </w:t>
      </w:r>
      <w:r w:rsidR="001138A7" w:rsidRPr="00532F44">
        <w:t>n</w:t>
      </w:r>
      <w:r w:rsidRPr="00532F44">
        <w:t xml:space="preserve">orth </w:t>
      </w:r>
      <w:r w:rsidR="001138A7" w:rsidRPr="00532F44">
        <w:t>w</w:t>
      </w:r>
      <w:r w:rsidRPr="00532F44">
        <w:t xml:space="preserve">est quadrant, indicating that the TTE strategy is dominated by </w:t>
      </w:r>
      <w:r w:rsidR="00BB340B">
        <w:t xml:space="preserve">(is both more expensive and less effective than) </w:t>
      </w:r>
      <w:r w:rsidRPr="00532F44">
        <w:t>the No TTE strategy</w:t>
      </w:r>
      <w:r w:rsidR="00BB340B">
        <w:t xml:space="preserve"> and</w:t>
      </w:r>
      <w:r w:rsidRPr="00532F44">
        <w:t xml:space="preserve"> </w:t>
      </w:r>
      <w:r w:rsidR="00BB340B">
        <w:t>t</w:t>
      </w:r>
      <w:r w:rsidRPr="00532F44">
        <w:t xml:space="preserve">he mean ICER is negative. </w:t>
      </w:r>
      <w:r w:rsidR="008D30D8" w:rsidRPr="00532F44">
        <w:t xml:space="preserve">These results suggest that TTE can harm </w:t>
      </w:r>
      <w:r w:rsidR="00CA434B" w:rsidRPr="00532F44">
        <w:t>patients</w:t>
      </w:r>
      <w:r w:rsidR="008D30D8" w:rsidRPr="00532F44">
        <w:t xml:space="preserve"> </w:t>
      </w:r>
      <w:r w:rsidR="00405A96">
        <w:t xml:space="preserve">falsely diagnosed with LA ABN </w:t>
      </w:r>
      <w:r w:rsidR="008D30D8" w:rsidRPr="00532F44">
        <w:t>due to higher bleed risks</w:t>
      </w:r>
      <w:r w:rsidR="00405A96">
        <w:t xml:space="preserve"> with little reduction in absolute stroke risk</w:t>
      </w:r>
      <w:r w:rsidR="008D30D8" w:rsidRPr="00532F44">
        <w:t xml:space="preserve">. </w:t>
      </w:r>
      <w:r w:rsidR="00444C4D" w:rsidRPr="00532F44">
        <w:t>T</w:t>
      </w:r>
      <w:r w:rsidRPr="00532F44">
        <w:t xml:space="preserve">he CEAF indicates that the no TTE strategy is </w:t>
      </w:r>
      <w:r w:rsidR="00444C4D" w:rsidRPr="00532F44">
        <w:t xml:space="preserve">the adoption strategy </w:t>
      </w:r>
      <w:r w:rsidRPr="00532F44">
        <w:t xml:space="preserve">at all </w:t>
      </w:r>
      <w:r w:rsidR="00E60AF4">
        <w:t>MAICER levels</w:t>
      </w:r>
      <w:r w:rsidRPr="00532F44">
        <w:t xml:space="preserve"> between £0 and £50,000/QALY. </w:t>
      </w:r>
      <w:r w:rsidR="000C4858" w:rsidRPr="00532F44">
        <w:t>The estimated probability of TTE being cost effective is only 7.8% at a MAICER of £20,000/QALY, and 9.6% at a MAICER of £30,000/QALY.</w:t>
      </w:r>
    </w:p>
    <w:p w:rsidR="00E2513B" w:rsidRPr="00532F44" w:rsidRDefault="008D30D8" w:rsidP="003378D6">
      <w:pPr>
        <w:pStyle w:val="Heading2"/>
        <w:numPr>
          <w:ilvl w:val="0"/>
          <w:numId w:val="0"/>
        </w:numPr>
        <w:rPr>
          <w:rFonts w:eastAsia="Times New Roman"/>
          <w:lang w:eastAsia="en-GB"/>
        </w:rPr>
      </w:pPr>
      <w:r w:rsidRPr="00532F44">
        <w:rPr>
          <w:rFonts w:eastAsia="Times New Roman"/>
          <w:lang w:eastAsia="en-GB"/>
        </w:rPr>
        <w:t>Deterministic</w:t>
      </w:r>
      <w:r w:rsidR="000406AE" w:rsidRPr="00532F44">
        <w:rPr>
          <w:rFonts w:eastAsia="Times New Roman"/>
          <w:lang w:eastAsia="en-GB"/>
        </w:rPr>
        <w:t xml:space="preserve"> s</w:t>
      </w:r>
      <w:r w:rsidR="001138A7" w:rsidRPr="00532F44">
        <w:rPr>
          <w:rFonts w:eastAsia="Times New Roman"/>
          <w:lang w:eastAsia="en-GB"/>
        </w:rPr>
        <w:t>ensitivity analyses</w:t>
      </w:r>
    </w:p>
    <w:p w:rsidR="003A6116" w:rsidRPr="00532F44" w:rsidRDefault="00B13ECE" w:rsidP="008D3B31">
      <w:pPr>
        <w:spacing w:line="480" w:lineRule="auto"/>
      </w:pPr>
      <w:r>
        <w:fldChar w:fldCharType="begin"/>
      </w:r>
      <w:r>
        <w:instrText xml:space="preserve"> REF _Ref335141468 \h  \* MERGEFORMAT </w:instrText>
      </w:r>
      <w:r>
        <w:fldChar w:fldCharType="separate"/>
      </w:r>
      <w:r w:rsidR="008D3B31" w:rsidRPr="00532F44">
        <w:t xml:space="preserve">Table </w:t>
      </w:r>
      <w:r w:rsidR="008D3B31">
        <w:t>6</w:t>
      </w:r>
      <w:r>
        <w:fldChar w:fldCharType="end"/>
      </w:r>
      <w:r w:rsidR="003A6116" w:rsidRPr="00532F44">
        <w:t xml:space="preserve"> shows how the mean ICER estimated depend</w:t>
      </w:r>
      <w:r w:rsidR="00405A96">
        <w:t>s</w:t>
      </w:r>
      <w:r w:rsidR="003A6116" w:rsidRPr="00532F44">
        <w:t xml:space="preserve"> on sensitivity and specificity of the technology, assuming all </w:t>
      </w:r>
      <w:r w:rsidR="00CA434B" w:rsidRPr="00532F44">
        <w:t>other</w:t>
      </w:r>
      <w:r w:rsidR="003A6116" w:rsidRPr="00532F44">
        <w:t xml:space="preserve"> values are held at their mean levels. These results indicate that the </w:t>
      </w:r>
      <w:r w:rsidR="00BB340B">
        <w:t xml:space="preserve">most </w:t>
      </w:r>
      <w:proofErr w:type="spellStart"/>
      <w:r w:rsidR="00BB340B" w:rsidRPr="008D3B31">
        <w:t>favourable</w:t>
      </w:r>
      <w:proofErr w:type="spellEnd"/>
      <w:r w:rsidR="00BB340B">
        <w:t xml:space="preserve"> </w:t>
      </w:r>
      <w:r w:rsidR="002148A0">
        <w:t xml:space="preserve">ICER </w:t>
      </w:r>
      <w:r w:rsidR="003A6116" w:rsidRPr="00532F44">
        <w:t>of TTE in this context could be around £3,600/QALY in the cohort with a CHADS</w:t>
      </w:r>
      <w:r w:rsidR="003A6116" w:rsidRPr="00B36EBC">
        <w:rPr>
          <w:vertAlign w:val="subscript"/>
        </w:rPr>
        <w:t>2</w:t>
      </w:r>
      <w:r w:rsidR="003A6116" w:rsidRPr="00532F44">
        <w:t xml:space="preserve"> score of zero (a), and £3,300/QALY in the cohort with an initial CHADS</w:t>
      </w:r>
      <w:r w:rsidR="003A6116" w:rsidRPr="008D3B31">
        <w:t>2</w:t>
      </w:r>
      <w:r w:rsidR="003A6116" w:rsidRPr="00532F44">
        <w:t xml:space="preserve"> score of one (b). This is seen by considering the bottom right cells, where both sensitivity and specifici</w:t>
      </w:r>
      <w:r w:rsidR="00B36EBC">
        <w:t xml:space="preserve">ty are 1, i.e. a perfect test. </w:t>
      </w:r>
      <w:r w:rsidR="003A6116" w:rsidRPr="00532F44">
        <w:t>In the CHADS</w:t>
      </w:r>
      <w:r w:rsidR="003A6116" w:rsidRPr="00B36EBC">
        <w:rPr>
          <w:vertAlign w:val="subscript"/>
        </w:rPr>
        <w:t>2</w:t>
      </w:r>
      <w:r w:rsidR="0009234A">
        <w:t xml:space="preserve"> of one point cohort, </w:t>
      </w:r>
      <w:r w:rsidR="003A6116" w:rsidRPr="00532F44">
        <w:t xml:space="preserve">TTE remains a cost-effective strategy compared with No TTE, almost irrespective of the sensitivity and specificity of the test. </w:t>
      </w:r>
      <w:r w:rsidR="006D0808" w:rsidRPr="00532F44">
        <w:t xml:space="preserve">For </w:t>
      </w:r>
      <w:r w:rsidR="003A6116" w:rsidRPr="00532F44">
        <w:t xml:space="preserve">the </w:t>
      </w:r>
      <w:r w:rsidR="00E5368F" w:rsidRPr="00532F44">
        <w:t>cohort</w:t>
      </w:r>
      <w:r w:rsidR="003A6116" w:rsidRPr="00532F44">
        <w:t xml:space="preserve"> with a CHADS</w:t>
      </w:r>
      <w:r w:rsidR="003A6116" w:rsidRPr="00B36EBC">
        <w:rPr>
          <w:vertAlign w:val="subscript"/>
        </w:rPr>
        <w:t>2</w:t>
      </w:r>
      <w:r w:rsidR="003A6116" w:rsidRPr="00532F44">
        <w:t xml:space="preserve"> score of zero, TTE only appears cost effective</w:t>
      </w:r>
      <w:r w:rsidR="00BB340B">
        <w:t>,</w:t>
      </w:r>
      <w:r w:rsidR="00620AA2">
        <w:t xml:space="preserve"> </w:t>
      </w:r>
      <w:r w:rsidR="00BB340B">
        <w:t>assuming</w:t>
      </w:r>
      <w:r w:rsidR="00620AA2">
        <w:t xml:space="preserve"> a</w:t>
      </w:r>
      <w:r w:rsidR="00BB340B">
        <w:t xml:space="preserve"> </w:t>
      </w:r>
      <w:r w:rsidR="00620AA2">
        <w:t>MAICER of £20,000/</w:t>
      </w:r>
      <w:r w:rsidR="00BB340B">
        <w:t>QALY</w:t>
      </w:r>
      <w:r w:rsidR="00620AA2">
        <w:t>,</w:t>
      </w:r>
      <w:r w:rsidR="003A6116" w:rsidRPr="00532F44">
        <w:t xml:space="preserve"> where both sensitivity and specificity are very high</w:t>
      </w:r>
      <w:r w:rsidR="00C32E52" w:rsidRPr="00532F44">
        <w:t>, near the bottom right hand corner of the table.</w:t>
      </w:r>
    </w:p>
    <w:p w:rsidR="003A6116" w:rsidRPr="00532F44" w:rsidRDefault="003A6116" w:rsidP="003378D6">
      <w:pPr>
        <w:pStyle w:val="Heading2"/>
        <w:numPr>
          <w:ilvl w:val="0"/>
          <w:numId w:val="0"/>
        </w:numPr>
        <w:rPr>
          <w:rFonts w:eastAsia="Times New Roman"/>
          <w:lang w:eastAsia="en-GB"/>
        </w:rPr>
      </w:pPr>
      <w:r w:rsidRPr="00532F44">
        <w:rPr>
          <w:rFonts w:eastAsia="Times New Roman"/>
          <w:lang w:eastAsia="en-GB"/>
        </w:rPr>
        <w:t>Overview of results for other scenarios</w:t>
      </w:r>
    </w:p>
    <w:p w:rsidR="00536C35" w:rsidRPr="00532F44" w:rsidRDefault="003A6116" w:rsidP="008D3B31">
      <w:pPr>
        <w:spacing w:line="480" w:lineRule="auto"/>
      </w:pPr>
      <w:r w:rsidRPr="00532F44">
        <w:t xml:space="preserve">The results for all 14 scenarios considered are presented in the </w:t>
      </w:r>
      <w:r w:rsidR="008D30D8" w:rsidRPr="00532F44">
        <w:t>online</w:t>
      </w:r>
      <w:r w:rsidRPr="00532F44">
        <w:t xml:space="preserve"> appendix. </w:t>
      </w:r>
      <w:r w:rsidR="00536C35" w:rsidRPr="00532F44">
        <w:t xml:space="preserve">A brief summary, indicating whether the results suggest TTE appears the optimal strategy at MAICERs of £20,000 /QALY or £30,000/QALY, is shown in </w:t>
      </w:r>
      <w:r w:rsidR="00B13ECE">
        <w:fldChar w:fldCharType="begin"/>
      </w:r>
      <w:r w:rsidR="00B13ECE">
        <w:instrText xml:space="preserve"> REF _Ref335142114 \h  \* MERGEFORMAT </w:instrText>
      </w:r>
      <w:r w:rsidR="00B13ECE">
        <w:fldChar w:fldCharType="separate"/>
      </w:r>
      <w:r w:rsidR="008D3B31" w:rsidRPr="00532F44">
        <w:t xml:space="preserve">Table </w:t>
      </w:r>
      <w:r w:rsidR="008D3B31">
        <w:t>7</w:t>
      </w:r>
      <w:r w:rsidR="00B13ECE">
        <w:fldChar w:fldCharType="end"/>
      </w:r>
      <w:r w:rsidR="00536C35" w:rsidRPr="00532F44">
        <w:t>. These results suggest that using TTE to make the decision whether to prescribe warfarin may be cost-effective in all patients with a CHADS</w:t>
      </w:r>
      <w:r w:rsidR="00536C35" w:rsidRPr="00B36EBC">
        <w:rPr>
          <w:vertAlign w:val="subscript"/>
        </w:rPr>
        <w:t>2</w:t>
      </w:r>
      <w:r w:rsidR="00536C35" w:rsidRPr="00532F44">
        <w:t xml:space="preserve"> score of one point. It also suggests that it may be cost effective to use TTE to help make the decision whether to prescribe </w:t>
      </w:r>
      <w:proofErr w:type="spellStart"/>
      <w:r w:rsidR="00536C35" w:rsidRPr="00532F44">
        <w:t>dabigatran</w:t>
      </w:r>
      <w:proofErr w:type="spellEnd"/>
      <w:r w:rsidR="00536C35" w:rsidRPr="00532F44">
        <w:t xml:space="preserve"> in older patients (aged 65 years)</w:t>
      </w:r>
      <w:r w:rsidR="00D62831" w:rsidRPr="00532F44">
        <w:t xml:space="preserve">, and it may be borderline cost effective, if assuming a MAICER of £30,000/QALY, </w:t>
      </w:r>
      <w:r w:rsidR="00536C35" w:rsidRPr="00532F44">
        <w:t xml:space="preserve">to use TTE to make the decision whether to prescribe </w:t>
      </w:r>
      <w:proofErr w:type="spellStart"/>
      <w:r w:rsidR="00536C35" w:rsidRPr="00532F44">
        <w:lastRenderedPageBreak/>
        <w:t>rivaroxaban</w:t>
      </w:r>
      <w:proofErr w:type="spellEnd"/>
      <w:r w:rsidR="00536C35" w:rsidRPr="00532F44">
        <w:t xml:space="preserve"> in older patients (age 65 years). Gender has a slight effect on these results, but the choice of OAC, initial CHADS</w:t>
      </w:r>
      <w:r w:rsidR="00536C35" w:rsidRPr="00B36EBC">
        <w:rPr>
          <w:vertAlign w:val="subscript"/>
        </w:rPr>
        <w:t>2</w:t>
      </w:r>
      <w:r w:rsidR="00536C35" w:rsidRPr="00532F44">
        <w:t xml:space="preserve"> risk score, and patient age appear to have much greater </w:t>
      </w:r>
      <w:r w:rsidR="00933C10" w:rsidRPr="00532F44">
        <w:t>influence.</w:t>
      </w:r>
      <w:bookmarkStart w:id="1" w:name="_GoBack"/>
      <w:bookmarkEnd w:id="1"/>
    </w:p>
    <w:p w:rsidR="0005390C" w:rsidRPr="00532F44" w:rsidRDefault="00F15320" w:rsidP="003378D6">
      <w:pPr>
        <w:pStyle w:val="Heading1"/>
        <w:numPr>
          <w:ilvl w:val="0"/>
          <w:numId w:val="0"/>
        </w:numPr>
      </w:pPr>
      <w:r w:rsidRPr="00532F44">
        <w:t>Discussion</w:t>
      </w:r>
    </w:p>
    <w:p w:rsidR="00D20CA0" w:rsidRPr="00532F44" w:rsidRDefault="00D20CA0" w:rsidP="008D3B31">
      <w:pPr>
        <w:spacing w:line="480" w:lineRule="auto"/>
      </w:pPr>
      <w:r w:rsidRPr="00532F44">
        <w:t>Prior to producing this model, a systematic literature review was conducted to identify,</w:t>
      </w:r>
      <w:r w:rsidRPr="008D3B31">
        <w:t xml:space="preserve"> </w:t>
      </w:r>
      <w:proofErr w:type="spellStart"/>
      <w:r w:rsidRPr="008D3B31">
        <w:t>summarise</w:t>
      </w:r>
      <w:proofErr w:type="spellEnd"/>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3B31">
      <w:pPr>
        <w:spacing w:line="480" w:lineRule="auto"/>
      </w:pPr>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B36EBC">
        <w:rPr>
          <w:vertAlign w:val="subscript"/>
        </w:rPr>
        <w:t>2</w:t>
      </w:r>
      <w:r w:rsidR="00654FFC" w:rsidRPr="00532F44">
        <w:t xml:space="preserve"> clinical risk prediction tool was used as the baseline strategy. An alternative to this tool is CHA</w:t>
      </w:r>
      <w:r w:rsidR="00654FFC" w:rsidRPr="00B36EBC">
        <w:rPr>
          <w:vertAlign w:val="subscript"/>
        </w:rPr>
        <w:t>2</w:t>
      </w:r>
      <w:r w:rsidR="00654FFC" w:rsidRPr="00532F44">
        <w:t>DS</w:t>
      </w:r>
      <w:r w:rsidR="00654FFC" w:rsidRPr="00B36EBC">
        <w:rPr>
          <w:vertAlign w:val="subscript"/>
        </w:rPr>
        <w:t>2</w:t>
      </w:r>
      <w:r w:rsidR="00654FFC" w:rsidRPr="00532F44">
        <w:t>-VASc, which is considered to be better at distinguishing low risk from very low risk patients</w:t>
      </w:r>
      <w:r w:rsidR="00DB7C63" w:rsidRPr="00532F44">
        <w:t xml:space="preserve">. </w:t>
      </w:r>
      <w:r w:rsidR="002F05E5" w:rsidRPr="00532F44">
        <w:fldChar w:fldCharType="begin" w:fldLock="1"/>
      </w:r>
      <w:r w:rsidR="00F82325">
        <w:instrText>ADDIN CSL_CITATION { "citationItems" : [ { "id" : "ITEM-1",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"ITEM-1",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"ITEM-2",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"ITEM-2",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"[15,16]" }, "properties" : { "noteIndex" : 0 }, "schema" : "https://github.com/citation-style-language/schema/raw/master/csl-citation.json" }</w:instrText>
      </w:r>
      <w:r w:rsidR="002F05E5" w:rsidRPr="00532F44">
        <w:fldChar w:fldCharType="separate"/>
      </w:r>
      <w:r w:rsidR="00354D59" w:rsidRPr="00354D59">
        <w:rPr>
          <w:noProof/>
        </w:rPr>
        <w:t>[15,16]</w:t>
      </w:r>
      <w:r w:rsidR="002F05E5" w:rsidRPr="00532F44">
        <w:fldChar w:fldCharType="end"/>
      </w:r>
      <w:r w:rsidR="00654FFC" w:rsidRPr="00532F44">
        <w:t xml:space="preserve"> CHA</w:t>
      </w:r>
      <w:r w:rsidR="00654FFC" w:rsidRPr="00B36EBC">
        <w:rPr>
          <w:vertAlign w:val="subscript"/>
        </w:rPr>
        <w:t>2</w:t>
      </w:r>
      <w:r w:rsidR="00654FFC" w:rsidRPr="00532F44">
        <w:t>DS</w:t>
      </w:r>
      <w:r w:rsidR="00654FFC" w:rsidRPr="00B36EBC">
        <w:rPr>
          <w:vertAlign w:val="subscript"/>
        </w:rPr>
        <w:t>2</w:t>
      </w:r>
      <w:r w:rsidR="00654FFC" w:rsidRPr="00532F44">
        <w:t xml:space="preserve">-VASc was not used in these analyses as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B36EBC">
        <w:rPr>
          <w:vertAlign w:val="subscript"/>
        </w:rPr>
        <w:t>2</w:t>
      </w:r>
      <w:r w:rsidR="00654FFC" w:rsidRPr="00532F44">
        <w:t xml:space="preserve"> risk scores, but not specific CHA</w:t>
      </w:r>
      <w:r w:rsidR="00654FFC" w:rsidRPr="00B36EBC">
        <w:rPr>
          <w:vertAlign w:val="subscript"/>
        </w:rPr>
        <w:t>2</w:t>
      </w:r>
      <w:r w:rsidR="00654FFC" w:rsidRPr="00532F44">
        <w:t>DS</w:t>
      </w:r>
      <w:r w:rsidR="00654FFC" w:rsidRPr="00B36EBC">
        <w:rPr>
          <w:vertAlign w:val="subscript"/>
        </w:rPr>
        <w:t>2</w:t>
      </w:r>
      <w:r w:rsidR="00654FFC" w:rsidRPr="00532F44">
        <w:t>-VASc risk scores.</w:t>
      </w:r>
      <w:r w:rsidR="00DB7C63" w:rsidRPr="00532F44">
        <w:t xml:space="preserve"> </w:t>
      </w:r>
      <w:r w:rsidR="002F05E5" w:rsidRPr="00532F44">
        <w:fldChar w:fldCharType="begin" w:fldLock="1"/>
      </w:r>
      <w:r w:rsidR="00F82325">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w:t>
      </w:r>
      <w:r w:rsidR="002148A0">
        <w:t xml:space="preserve">LA ABN </w:t>
      </w:r>
      <w:r w:rsidR="00E36870" w:rsidRPr="00532F44">
        <w:t xml:space="preserve">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3B31">
      <w:pPr>
        <w:spacing w:line="480" w:lineRule="auto"/>
      </w:pPr>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2F05E5" w:rsidRPr="00532F44">
        <w:fldChar w:fldCharType="begin" w:fldLock="1"/>
      </w:r>
      <w:r w:rsidR="00F82325">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stroke</w:t>
      </w:r>
      <w:r w:rsidR="00407CD7" w:rsidRPr="00532F44">
        <w:t xml:space="preserve">. </w:t>
      </w:r>
      <w:r w:rsidR="00B24433" w:rsidRPr="00532F44">
        <w:t xml:space="preserve">If TTE were found to be superior to TOE at identifying certain types of LA ABN which expose </w:t>
      </w:r>
      <w:r w:rsidR="00B24433" w:rsidRPr="00532F44">
        <w:lastRenderedPageBreak/>
        <w:t xml:space="preserve">patients to increased stroke risks, then </w:t>
      </w:r>
      <w:r w:rsidR="00E36064" w:rsidRPr="00532F44">
        <w:t>the true benefits of TTE in improving patient management 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2F05E5" w:rsidRPr="00532F44">
        <w:fldChar w:fldCharType="begin" w:fldLock="1"/>
      </w:r>
      <w:r w:rsidR="00F82325">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r w:rsidR="002148A0">
        <w:t xml:space="preserve"> </w:t>
      </w:r>
      <w:r w:rsidR="0009234A">
        <w:fldChar w:fldCharType="begin" w:fldLock="1"/>
      </w:r>
      <w:r w:rsidR="00F82325">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09234A">
        <w:fldChar w:fldCharType="separate"/>
      </w:r>
      <w:r w:rsidR="00354D59" w:rsidRPr="00354D59">
        <w:rPr>
          <w:noProof/>
        </w:rPr>
        <w:t>[17]</w:t>
      </w:r>
      <w:r w:rsidR="0009234A">
        <w:fldChar w:fldCharType="end"/>
      </w:r>
    </w:p>
    <w:p w:rsidR="004850ED" w:rsidRPr="00532F44" w:rsidRDefault="004850ED" w:rsidP="008D3B31">
      <w:pPr>
        <w:spacing w:line="480" w:lineRule="auto"/>
      </w:pPr>
      <w:r w:rsidRPr="00532F44">
        <w:t>A key uncertainty is whether there are other benefits that are accrued from a TTE other than identifying LA ABN. If these exist, and produce even small net QALY gains (&gt; 0.0033) then TTE would be cost effective in all scenarios</w:t>
      </w:r>
      <w:r w:rsidR="00621BC9">
        <w:t>, assuming a cost of £66 per test</w:t>
      </w:r>
      <w:r w:rsidRPr="00532F44">
        <w:t xml:space="preserve">. </w:t>
      </w:r>
      <w:r w:rsidR="00F00EDF" w:rsidRPr="00532F44">
        <w:t xml:space="preserve">As </w:t>
      </w:r>
      <w:r w:rsidR="00B13ECE">
        <w:fldChar w:fldCharType="begin"/>
      </w:r>
      <w:r w:rsidR="00B13ECE">
        <w:instrText xml:space="preserve"> REF _Ref335141468 \h  \* MERGEFORMAT </w:instrText>
      </w:r>
      <w:r w:rsidR="00B13ECE">
        <w:fldChar w:fldCharType="separate"/>
      </w:r>
      <w:r w:rsidR="008D3B31" w:rsidRPr="00532F44">
        <w:t xml:space="preserve">Table </w:t>
      </w:r>
      <w:r w:rsidR="008D3B31">
        <w:t>6</w:t>
      </w:r>
      <w:r w:rsidR="00B13ECE">
        <w:fldChar w:fldCharType="end"/>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3B31">
      <w:pPr>
        <w:spacing w:line="480" w:lineRule="auto"/>
      </w:pPr>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The extent to which these cost-effectiveness estimated relate</w:t>
      </w:r>
      <w:r w:rsidR="00620AA2">
        <w:t>s</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3B31">
      <w:pPr>
        <w:spacing w:line="480" w:lineRule="auto"/>
      </w:pPr>
      <w:r w:rsidRPr="00532F44">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lastRenderedPageBreak/>
        <w:t>Implications for clinical practice</w:t>
      </w:r>
    </w:p>
    <w:p w:rsidR="00A42D14" w:rsidRPr="00532F44" w:rsidRDefault="00DB7C63" w:rsidP="008D3B31">
      <w:pPr>
        <w:spacing w:line="480" w:lineRule="auto"/>
      </w:pPr>
      <w:r w:rsidRPr="00532F44">
        <w:t>Should TTE be recommended for those patients with CHADS</w:t>
      </w:r>
      <w:r w:rsidRPr="00B36EBC">
        <w:rPr>
          <w:vertAlign w:val="subscript"/>
        </w:rPr>
        <w:t>2</w:t>
      </w:r>
      <w:r w:rsidRPr="00532F44">
        <w:t xml:space="preserve"> scores of </w:t>
      </w:r>
      <w:r w:rsidR="00B36EBC">
        <w:t xml:space="preserve">zero </w:t>
      </w:r>
      <w:r w:rsidRPr="00532F44">
        <w:t>point</w:t>
      </w:r>
      <w:r w:rsidR="00B36EBC">
        <w:t>s</w:t>
      </w:r>
      <w:r w:rsidRPr="00532F44">
        <w: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532F44" w:rsidRDefault="004850ED" w:rsidP="003378D6">
      <w:pPr>
        <w:pStyle w:val="Heading2"/>
        <w:numPr>
          <w:ilvl w:val="0"/>
          <w:numId w:val="0"/>
        </w:numPr>
      </w:pPr>
      <w:r w:rsidRPr="00532F44">
        <w:t>Conclusion</w:t>
      </w:r>
    </w:p>
    <w:p w:rsidR="00911187" w:rsidRPr="00532F44" w:rsidRDefault="00911187" w:rsidP="008D3B31">
      <w:pPr>
        <w:spacing w:line="480" w:lineRule="auto"/>
      </w:pPr>
      <w:r w:rsidRPr="00532F44">
        <w:t xml:space="preserve">This paper presented the results of mathematical models which simulated the effects of using TTE to help make the decision whether to prescribe an OAC in a range of </w:t>
      </w:r>
      <w:r w:rsidR="002B0A3A">
        <w:t>patients with AF</w:t>
      </w:r>
      <w:r w:rsidRPr="00532F44">
        <w:t xml:space="preserve">. </w:t>
      </w:r>
      <w:r w:rsidR="00B36EBC">
        <w:t xml:space="preserve">If found </w:t>
      </w:r>
      <w:r w:rsidR="00C314AC" w:rsidRPr="00532F44">
        <w:t xml:space="preserve">that when </w:t>
      </w:r>
      <w:proofErr w:type="spellStart"/>
      <w:r w:rsidR="00C314AC" w:rsidRPr="00532F44">
        <w:t>rivaroxaban</w:t>
      </w:r>
      <w:proofErr w:type="spellEnd"/>
      <w:r w:rsidR="00C314AC" w:rsidRPr="00532F44">
        <w:t xml:space="preserve"> or </w:t>
      </w:r>
      <w:proofErr w:type="spellStart"/>
      <w:r w:rsidR="00C314AC" w:rsidRPr="00532F44">
        <w:t>dabigatran</w:t>
      </w:r>
      <w:proofErr w:type="spellEnd"/>
      <w:r w:rsidRPr="00532F44">
        <w:t xml:space="preserve"> </w:t>
      </w:r>
      <w:r w:rsidR="00C314AC" w:rsidRPr="00532F44">
        <w:t xml:space="preserve">is </w:t>
      </w:r>
      <w:r w:rsidR="00B36EBC">
        <w:t>the OAC</w:t>
      </w:r>
      <w:r w:rsidRPr="00532F44">
        <w:t xml:space="preserve"> of choice then it appears cost-effective to us</w:t>
      </w:r>
      <w:r w:rsidR="00B36EBC">
        <w:t>e TTE in patients aged 65 years; when warfarin is the OAC of choice, then the addition of TTE does not appear cost-effective at standard willingness to pay thresholds of either £20,000/QALY or £30,000/QALY.</w:t>
      </w:r>
      <w:r w:rsidRPr="00532F44">
        <w:t xml:space="preserve"> </w:t>
      </w:r>
      <w:r w:rsidR="002B0A3A">
        <w:t>T</w:t>
      </w:r>
      <w:r w:rsidRPr="00532F44">
        <w:t>hese results suggest that</w:t>
      </w:r>
      <w:r w:rsidR="00B36EBC">
        <w:t xml:space="preserve"> if considering prescribing a newer OAC</w:t>
      </w:r>
      <w:r w:rsidRPr="00532F44">
        <w:t xml:space="preserve">, it may be both clinically effective and cost effective to use TTE to help inform the decision in all but the patients with the lowest </w:t>
      </w:r>
      <w:r w:rsidR="00620AA2">
        <w:t xml:space="preserve">estimated </w:t>
      </w:r>
      <w:r w:rsidRPr="00532F44">
        <w:t>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2"/>
    <w:p w:rsidR="00F82325" w:rsidRPr="00F82325" w:rsidRDefault="002F05E5">
      <w:pPr>
        <w:pStyle w:val="NormalWeb"/>
        <w:ind w:left="640" w:hanging="640"/>
        <w:divId w:val="818763781"/>
        <w:rPr>
          <w:rFonts w:ascii="Calibri" w:hAnsi="Calibri"/>
          <w:noProof/>
          <w:sz w:val="22"/>
        </w:rPr>
      </w:pPr>
      <w:r>
        <w:fldChar w:fldCharType="begin" w:fldLock="1"/>
      </w:r>
      <w:r w:rsidR="008E6143">
        <w:instrText xml:space="preserve">ADDIN Mendeley Bibliography CSL_BIBLIOGRAPHY </w:instrText>
      </w:r>
      <w:r>
        <w:fldChar w:fldCharType="separate"/>
      </w:r>
      <w:r w:rsidR="00F82325" w:rsidRPr="00F82325">
        <w:rPr>
          <w:rFonts w:ascii="Calibri" w:hAnsi="Calibri"/>
          <w:noProof/>
          <w:sz w:val="22"/>
        </w:rPr>
        <w:t xml:space="preserve">1 </w:t>
      </w:r>
      <w:r w:rsidR="00F82325" w:rsidRPr="00F82325">
        <w:rPr>
          <w:rFonts w:ascii="Calibri" w:hAnsi="Calibri"/>
          <w:noProof/>
          <w:sz w:val="22"/>
        </w:rPr>
        <w:tab/>
        <w:t xml:space="preserve">Go AS, Hylek EM, Phillips KA, </w:t>
      </w:r>
      <w:r w:rsidR="00F82325" w:rsidRPr="00F82325">
        <w:rPr>
          <w:rFonts w:ascii="Calibri" w:hAnsi="Calibri"/>
          <w:i/>
          <w:iCs/>
          <w:noProof/>
          <w:sz w:val="22"/>
        </w:rPr>
        <w:t>et al.</w:t>
      </w:r>
      <w:r w:rsidR="00F82325" w:rsidRPr="00F82325">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F82325" w:rsidRPr="00F82325">
        <w:rPr>
          <w:rFonts w:ascii="Calibri" w:hAnsi="Calibri"/>
          <w:i/>
          <w:iCs/>
          <w:noProof/>
          <w:sz w:val="22"/>
        </w:rPr>
        <w:t>JAMA : the journal of the American Medical Association</w:t>
      </w:r>
      <w:r w:rsidR="00F82325" w:rsidRPr="00F82325">
        <w:rPr>
          <w:rFonts w:ascii="Calibri" w:hAnsi="Calibri"/>
          <w:noProof/>
          <w:sz w:val="22"/>
        </w:rPr>
        <w:t xml:space="preserve"> 2001;</w:t>
      </w:r>
      <w:r w:rsidR="00F82325" w:rsidRPr="00F82325">
        <w:rPr>
          <w:rFonts w:ascii="Calibri" w:hAnsi="Calibri"/>
          <w:b/>
          <w:bCs/>
          <w:noProof/>
          <w:sz w:val="22"/>
        </w:rPr>
        <w:t>285</w:t>
      </w:r>
      <w:r w:rsidR="00F82325" w:rsidRPr="00F82325">
        <w:rPr>
          <w:rFonts w:ascii="Calibri" w:hAnsi="Calibri"/>
          <w:noProof/>
          <w:sz w:val="22"/>
        </w:rPr>
        <w:t>:2370–5.</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 </w:t>
      </w:r>
      <w:r w:rsidRPr="00F82325">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F82325">
        <w:rPr>
          <w:rFonts w:ascii="Calibri" w:hAnsi="Calibri"/>
          <w:i/>
          <w:iCs/>
          <w:noProof/>
          <w:sz w:val="22"/>
        </w:rPr>
        <w:t>American heart journal</w:t>
      </w:r>
      <w:r w:rsidRPr="00F82325">
        <w:rPr>
          <w:rFonts w:ascii="Calibri" w:hAnsi="Calibri"/>
          <w:noProof/>
          <w:sz w:val="22"/>
        </w:rPr>
        <w:t xml:space="preserve"> 2010;</w:t>
      </w:r>
      <w:r w:rsidRPr="00F82325">
        <w:rPr>
          <w:rFonts w:ascii="Calibri" w:hAnsi="Calibri"/>
          <w:b/>
          <w:bCs/>
          <w:noProof/>
          <w:sz w:val="22"/>
        </w:rPr>
        <w:t>159</w:t>
      </w:r>
      <w:r w:rsidRPr="00F82325">
        <w:rPr>
          <w:rFonts w:ascii="Calibri" w:hAnsi="Calibri"/>
          <w:noProof/>
          <w:sz w:val="22"/>
        </w:rPr>
        <w:t>:340–347.e1.</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3 </w:t>
      </w:r>
      <w:r w:rsidRPr="00F82325">
        <w:rPr>
          <w:rFonts w:ascii="Calibri" w:hAnsi="Calibri"/>
          <w:noProof/>
          <w:sz w:val="22"/>
        </w:rPr>
        <w:tab/>
        <w:t xml:space="preserve">Camm AJ, Kirchhof P, Lip GY, </w:t>
      </w:r>
      <w:r w:rsidRPr="00F82325">
        <w:rPr>
          <w:rFonts w:ascii="Calibri" w:hAnsi="Calibri"/>
          <w:i/>
          <w:iCs/>
          <w:noProof/>
          <w:sz w:val="22"/>
        </w:rPr>
        <w:t>et al.</w:t>
      </w:r>
      <w:r w:rsidRPr="00F82325">
        <w:rPr>
          <w:rFonts w:ascii="Calibri" w:hAnsi="Calibri"/>
          <w:noProof/>
          <w:sz w:val="22"/>
        </w:rPr>
        <w:t xml:space="preserve"> Guidelines for the management of atrial fibrillation: the Task Force for the Management of Atrial Fibrillation of the European Society of Cardiology (ESC). </w:t>
      </w:r>
      <w:r w:rsidRPr="00F82325">
        <w:rPr>
          <w:rFonts w:ascii="Calibri" w:hAnsi="Calibri"/>
          <w:i/>
          <w:iCs/>
          <w:noProof/>
          <w:sz w:val="22"/>
        </w:rPr>
        <w:t>Eur Heart J</w:t>
      </w:r>
      <w:r w:rsidRPr="00F82325">
        <w:rPr>
          <w:rFonts w:ascii="Calibri" w:hAnsi="Calibri"/>
          <w:noProof/>
          <w:sz w:val="22"/>
        </w:rPr>
        <w:t xml:space="preserve"> 2010;</w:t>
      </w:r>
      <w:r w:rsidRPr="00F82325">
        <w:rPr>
          <w:rFonts w:ascii="Calibri" w:hAnsi="Calibri"/>
          <w:b/>
          <w:bCs/>
          <w:noProof/>
          <w:sz w:val="22"/>
        </w:rPr>
        <w:t>31</w:t>
      </w:r>
      <w:r w:rsidRPr="00F82325">
        <w:rPr>
          <w:rFonts w:ascii="Calibri" w:hAnsi="Calibri"/>
          <w:noProof/>
          <w:sz w:val="22"/>
        </w:rPr>
        <w:t>:2369–429.</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4 </w:t>
      </w:r>
      <w:r w:rsidRPr="00F82325">
        <w:rPr>
          <w:rFonts w:ascii="Calibri" w:hAnsi="Calibri"/>
          <w:noProof/>
          <w:sz w:val="22"/>
        </w:rPr>
        <w:tab/>
        <w:t xml:space="preserve">Camm AJ, Lip GYH, De Caterina R, </w:t>
      </w:r>
      <w:r w:rsidRPr="00F82325">
        <w:rPr>
          <w:rFonts w:ascii="Calibri" w:hAnsi="Calibri"/>
          <w:i/>
          <w:iCs/>
          <w:noProof/>
          <w:sz w:val="22"/>
        </w:rPr>
        <w:t>et al.</w:t>
      </w:r>
      <w:r w:rsidRPr="00F82325">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F82325">
        <w:rPr>
          <w:rFonts w:ascii="Calibri" w:hAnsi="Calibri"/>
          <w:i/>
          <w:iCs/>
          <w:noProof/>
          <w:sz w:val="22"/>
        </w:rPr>
        <w:t>European heart journal</w:t>
      </w:r>
      <w:r w:rsidRPr="00F82325">
        <w:rPr>
          <w:rFonts w:ascii="Calibri" w:hAnsi="Calibri"/>
          <w:noProof/>
          <w:sz w:val="22"/>
        </w:rPr>
        <w:t xml:space="preserve"> Published Online First: 24 August 2012. doi:10.1093/eurheartj/ehs253</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5 </w:t>
      </w:r>
      <w:r w:rsidRPr="00F82325">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F82325">
        <w:rPr>
          <w:rFonts w:ascii="Calibri" w:hAnsi="Calibri"/>
          <w:i/>
          <w:iCs/>
          <w:noProof/>
          <w:sz w:val="22"/>
        </w:rPr>
        <w:t>Ann Intern Med</w:t>
      </w:r>
      <w:r w:rsidRPr="00F82325">
        <w:rPr>
          <w:rFonts w:ascii="Calibri" w:hAnsi="Calibri"/>
          <w:noProof/>
          <w:sz w:val="22"/>
        </w:rPr>
        <w:t xml:space="preserve"> 1998;</w:t>
      </w:r>
      <w:r w:rsidRPr="00F82325">
        <w:rPr>
          <w:rFonts w:ascii="Calibri" w:hAnsi="Calibri"/>
          <w:b/>
          <w:bCs/>
          <w:noProof/>
          <w:sz w:val="22"/>
        </w:rPr>
        <w:t>128</w:t>
      </w:r>
      <w:r w:rsidRPr="00F82325">
        <w:rPr>
          <w:rFonts w:ascii="Calibri" w:hAnsi="Calibri"/>
          <w:noProof/>
          <w:sz w:val="22"/>
        </w:rPr>
        <w:t>:639–47.</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6 </w:t>
      </w:r>
      <w:r w:rsidRPr="00F82325">
        <w:rPr>
          <w:rFonts w:ascii="Calibri" w:hAnsi="Calibri"/>
          <w:noProof/>
          <w:sz w:val="22"/>
        </w:rPr>
        <w:tab/>
        <w:t xml:space="preserve">Providencia R, Botelho A, Trigo J, </w:t>
      </w:r>
      <w:r w:rsidRPr="00F82325">
        <w:rPr>
          <w:rFonts w:ascii="Calibri" w:hAnsi="Calibri"/>
          <w:i/>
          <w:iCs/>
          <w:noProof/>
          <w:sz w:val="22"/>
        </w:rPr>
        <w:t>et al.</w:t>
      </w:r>
      <w:r w:rsidRPr="00F82325">
        <w:rPr>
          <w:rFonts w:ascii="Calibri" w:hAnsi="Calibri"/>
          <w:noProof/>
          <w:sz w:val="22"/>
        </w:rPr>
        <w:t xml:space="preserve"> Possible refinement of clinical thromboembolism assessment in patients with atrial fibrillation using echocardiographic parameters. </w:t>
      </w:r>
      <w:r w:rsidRPr="00F82325">
        <w:rPr>
          <w:rFonts w:ascii="Calibri" w:hAnsi="Calibri"/>
          <w:i/>
          <w:iCs/>
          <w:noProof/>
          <w:sz w:val="22"/>
        </w:rPr>
        <w:t>Europace</w:t>
      </w:r>
      <w:r w:rsidRPr="00F82325">
        <w:rPr>
          <w:rFonts w:ascii="Calibri" w:hAnsi="Calibri"/>
          <w:noProof/>
          <w:sz w:val="22"/>
        </w:rPr>
        <w:t xml:space="preserve"> 2012;</w:t>
      </w:r>
      <w:r w:rsidRPr="00F82325">
        <w:rPr>
          <w:rFonts w:ascii="Calibri" w:hAnsi="Calibri"/>
          <w:b/>
          <w:bCs/>
          <w:noProof/>
          <w:sz w:val="22"/>
        </w:rPr>
        <w:t>14</w:t>
      </w:r>
      <w:r w:rsidRPr="00F82325">
        <w:rPr>
          <w:rFonts w:ascii="Calibri" w:hAnsi="Calibri"/>
          <w:noProof/>
          <w:sz w:val="22"/>
        </w:rPr>
        <w:t>:36–45.</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7 </w:t>
      </w:r>
      <w:r w:rsidRPr="00F82325">
        <w:rPr>
          <w:rFonts w:ascii="Calibri" w:hAnsi="Calibri"/>
          <w:noProof/>
          <w:sz w:val="22"/>
        </w:rPr>
        <w:tab/>
        <w:t>NICE. Guide to the methods of technology appraisal. NICE methods guide. 2008;:80.</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8 </w:t>
      </w:r>
      <w:r w:rsidRPr="00F82325">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9 </w:t>
      </w:r>
      <w:r w:rsidRPr="00F82325">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10 </w:t>
      </w:r>
      <w:r w:rsidRPr="00F82325">
        <w:rPr>
          <w:rFonts w:ascii="Calibri" w:hAnsi="Calibri"/>
          <w:noProof/>
          <w:sz w:val="22"/>
        </w:rPr>
        <w:tab/>
        <w:t xml:space="preserve">Simpson EL, Stevenson MD, Scope A, </w:t>
      </w:r>
      <w:r w:rsidRPr="00F82325">
        <w:rPr>
          <w:rFonts w:ascii="Calibri" w:hAnsi="Calibri"/>
          <w:i/>
          <w:iCs/>
          <w:noProof/>
          <w:sz w:val="22"/>
        </w:rPr>
        <w:t>et al.</w:t>
      </w:r>
      <w:r w:rsidRPr="00F82325">
        <w:rPr>
          <w:rFonts w:ascii="Calibri" w:hAnsi="Calibri"/>
          <w:noProof/>
          <w:sz w:val="22"/>
        </w:rPr>
        <w:t xml:space="preserve"> Echocardiography in newly diagnosed atrial fibrillation patients: a systematic review and economic evaluation. 2012. </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11 </w:t>
      </w:r>
      <w:r w:rsidRPr="00F82325">
        <w:rPr>
          <w:rFonts w:ascii="Calibri" w:hAnsi="Calibri"/>
          <w:noProof/>
          <w:sz w:val="22"/>
        </w:rPr>
        <w:tab/>
        <w:t xml:space="preserve">PVS TM-STF on. Medical aspects of the persistent vegetative state: second of two parts. </w:t>
      </w:r>
      <w:r w:rsidRPr="00F82325">
        <w:rPr>
          <w:rFonts w:ascii="Calibri" w:hAnsi="Calibri"/>
          <w:i/>
          <w:iCs/>
          <w:noProof/>
          <w:sz w:val="22"/>
        </w:rPr>
        <w:t>The New England Journal of Medicine</w:t>
      </w:r>
      <w:r w:rsidRPr="00F82325">
        <w:rPr>
          <w:rFonts w:ascii="Calibri" w:hAnsi="Calibri"/>
          <w:noProof/>
          <w:sz w:val="22"/>
        </w:rPr>
        <w:t xml:space="preserve"> 1994;</w:t>
      </w:r>
      <w:r w:rsidRPr="00F82325">
        <w:rPr>
          <w:rFonts w:ascii="Calibri" w:hAnsi="Calibri"/>
          <w:b/>
          <w:bCs/>
          <w:noProof/>
          <w:sz w:val="22"/>
        </w:rPr>
        <w:t>330</w:t>
      </w:r>
      <w:r w:rsidRPr="00F82325">
        <w:rPr>
          <w:rFonts w:ascii="Calibri" w:hAnsi="Calibri"/>
          <w:noProof/>
          <w:sz w:val="22"/>
        </w:rPr>
        <w:t>.http://www.nejm.org/doi/full/10.1056/NEJM199406023302206</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12 </w:t>
      </w:r>
      <w:r w:rsidRPr="00F82325">
        <w:rPr>
          <w:rFonts w:ascii="Calibri" w:hAnsi="Calibri"/>
          <w:noProof/>
          <w:sz w:val="22"/>
        </w:rPr>
        <w:tab/>
        <w:t xml:space="preserve">Eikelboom JW, Wallentin L, Connolly SJ, </w:t>
      </w:r>
      <w:r w:rsidRPr="00F82325">
        <w:rPr>
          <w:rFonts w:ascii="Calibri" w:hAnsi="Calibri"/>
          <w:i/>
          <w:iCs/>
          <w:noProof/>
          <w:sz w:val="22"/>
        </w:rPr>
        <w:t>et al.</w:t>
      </w:r>
      <w:r w:rsidRPr="00F82325">
        <w:rPr>
          <w:rFonts w:ascii="Calibri" w:hAnsi="Calibri"/>
          <w:noProof/>
          <w:sz w:val="22"/>
        </w:rPr>
        <w:t xml:space="preserve"> Risk of bleeding with 2 doses of dabigatran compared with warfarin in older and younger patients with atrial fibrillation: an analysis of </w:t>
      </w:r>
      <w:r w:rsidRPr="00F82325">
        <w:rPr>
          <w:rFonts w:ascii="Calibri" w:hAnsi="Calibri"/>
          <w:noProof/>
          <w:sz w:val="22"/>
        </w:rPr>
        <w:lastRenderedPageBreak/>
        <w:t xml:space="preserve">the randomized evaluation of long-term anticoagulant therapy (RE-LY) trial. </w:t>
      </w:r>
      <w:r w:rsidRPr="00F82325">
        <w:rPr>
          <w:rFonts w:ascii="Calibri" w:hAnsi="Calibri"/>
          <w:i/>
          <w:iCs/>
          <w:noProof/>
          <w:sz w:val="22"/>
        </w:rPr>
        <w:t>Circulation</w:t>
      </w:r>
      <w:r w:rsidRPr="00F82325">
        <w:rPr>
          <w:rFonts w:ascii="Calibri" w:hAnsi="Calibri"/>
          <w:noProof/>
          <w:sz w:val="22"/>
        </w:rPr>
        <w:t xml:space="preserve"> 2011;</w:t>
      </w:r>
      <w:r w:rsidRPr="00F82325">
        <w:rPr>
          <w:rFonts w:ascii="Calibri" w:hAnsi="Calibri"/>
          <w:b/>
          <w:bCs/>
          <w:noProof/>
          <w:sz w:val="22"/>
        </w:rPr>
        <w:t>123</w:t>
      </w:r>
      <w:r w:rsidRPr="00F82325">
        <w:rPr>
          <w:rFonts w:ascii="Calibri" w:hAnsi="Calibri"/>
          <w:noProof/>
          <w:sz w:val="22"/>
        </w:rPr>
        <w:t>:2363–72.</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13 </w:t>
      </w:r>
      <w:r w:rsidRPr="00F82325">
        <w:rPr>
          <w:rFonts w:ascii="Calibri" w:hAnsi="Calibri"/>
          <w:noProof/>
          <w:sz w:val="22"/>
        </w:rPr>
        <w:tab/>
        <w:t>NICE. Guide to the methods of technology appraisal. 2008.http://www.nice.org.uk/media/B52/A7/TAMethodsGuideUpdatedJune2008.pdf</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14 </w:t>
      </w:r>
      <w:r w:rsidRPr="00F82325">
        <w:rPr>
          <w:rFonts w:ascii="Calibri" w:hAnsi="Calibri"/>
          <w:noProof/>
          <w:sz w:val="22"/>
        </w:rPr>
        <w:tab/>
        <w:t xml:space="preserve">Inglehart D. Simulating stable stochastic systems, V: Comparison of ratio estimators. </w:t>
      </w:r>
      <w:r w:rsidRPr="00F82325">
        <w:rPr>
          <w:rFonts w:ascii="Calibri" w:hAnsi="Calibri"/>
          <w:i/>
          <w:iCs/>
          <w:noProof/>
          <w:sz w:val="22"/>
        </w:rPr>
        <w:t>Naval Research Logistics</w:t>
      </w:r>
      <w:r w:rsidRPr="00F82325">
        <w:rPr>
          <w:rFonts w:ascii="Calibri" w:hAnsi="Calibri"/>
          <w:noProof/>
          <w:sz w:val="22"/>
        </w:rPr>
        <w:t xml:space="preserve"> 1975;</w:t>
      </w:r>
      <w:r w:rsidRPr="00F82325">
        <w:rPr>
          <w:rFonts w:ascii="Calibri" w:hAnsi="Calibri"/>
          <w:b/>
          <w:bCs/>
          <w:noProof/>
          <w:sz w:val="22"/>
        </w:rPr>
        <w:t>22</w:t>
      </w:r>
      <w:r w:rsidRPr="00F82325">
        <w:rPr>
          <w:rFonts w:ascii="Calibri" w:hAnsi="Calibri"/>
          <w:noProof/>
          <w:sz w:val="22"/>
        </w:rPr>
        <w:t>:553–65.</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15 </w:t>
      </w:r>
      <w:r w:rsidRPr="00F82325">
        <w:rPr>
          <w:rFonts w:ascii="Calibri" w:hAnsi="Calibri"/>
          <w:noProof/>
          <w:sz w:val="22"/>
        </w:rPr>
        <w:tab/>
        <w:t xml:space="preserve">Lip GY, Nieuwlaat R, Pisters R, </w:t>
      </w:r>
      <w:r w:rsidRPr="00F82325">
        <w:rPr>
          <w:rFonts w:ascii="Calibri" w:hAnsi="Calibri"/>
          <w:i/>
          <w:iCs/>
          <w:noProof/>
          <w:sz w:val="22"/>
        </w:rPr>
        <w:t>et al.</w:t>
      </w:r>
      <w:r w:rsidRPr="00F82325">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F82325">
        <w:rPr>
          <w:rFonts w:ascii="Calibri" w:hAnsi="Calibri"/>
          <w:i/>
          <w:iCs/>
          <w:noProof/>
          <w:sz w:val="22"/>
        </w:rPr>
        <w:t>Chest</w:t>
      </w:r>
      <w:r w:rsidRPr="00F82325">
        <w:rPr>
          <w:rFonts w:ascii="Calibri" w:hAnsi="Calibri"/>
          <w:noProof/>
          <w:sz w:val="22"/>
        </w:rPr>
        <w:t xml:space="preserve"> 2010;</w:t>
      </w:r>
      <w:r w:rsidRPr="00F82325">
        <w:rPr>
          <w:rFonts w:ascii="Calibri" w:hAnsi="Calibri"/>
          <w:b/>
          <w:bCs/>
          <w:noProof/>
          <w:sz w:val="22"/>
        </w:rPr>
        <w:t>137</w:t>
      </w:r>
      <w:r w:rsidRPr="00F82325">
        <w:rPr>
          <w:rFonts w:ascii="Calibri" w:hAnsi="Calibri"/>
          <w:noProof/>
          <w:sz w:val="22"/>
        </w:rPr>
        <w:t>:263–72.</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16 </w:t>
      </w:r>
      <w:r w:rsidRPr="00F82325">
        <w:rPr>
          <w:rFonts w:ascii="Calibri" w:hAnsi="Calibri"/>
          <w:noProof/>
          <w:sz w:val="22"/>
        </w:rPr>
        <w:tab/>
        <w:t xml:space="preserve">Olesen JB, Lip GYH, Hansen ML, </w:t>
      </w:r>
      <w:r w:rsidRPr="00F82325">
        <w:rPr>
          <w:rFonts w:ascii="Calibri" w:hAnsi="Calibri"/>
          <w:i/>
          <w:iCs/>
          <w:noProof/>
          <w:sz w:val="22"/>
        </w:rPr>
        <w:t>et al.</w:t>
      </w:r>
      <w:r w:rsidRPr="00F82325">
        <w:rPr>
          <w:rFonts w:ascii="Calibri" w:hAnsi="Calibri"/>
          <w:noProof/>
          <w:sz w:val="22"/>
        </w:rPr>
        <w:t xml:space="preserve"> Validation of risk stratification schemes for predicting stroke and thromboembolism in patients with atrial fibrillation: nationwide cohort study. </w:t>
      </w:r>
      <w:r w:rsidRPr="00F82325">
        <w:rPr>
          <w:rFonts w:ascii="Calibri" w:hAnsi="Calibri"/>
          <w:i/>
          <w:iCs/>
          <w:noProof/>
          <w:sz w:val="22"/>
        </w:rPr>
        <w:t>BMJ</w:t>
      </w:r>
      <w:r w:rsidRPr="00F82325">
        <w:rPr>
          <w:rFonts w:ascii="Calibri" w:hAnsi="Calibri"/>
          <w:noProof/>
          <w:sz w:val="22"/>
        </w:rPr>
        <w:t xml:space="preserve"> 2011;</w:t>
      </w:r>
      <w:r w:rsidRPr="00F82325">
        <w:rPr>
          <w:rFonts w:ascii="Calibri" w:hAnsi="Calibri"/>
          <w:b/>
          <w:bCs/>
          <w:noProof/>
          <w:sz w:val="22"/>
        </w:rPr>
        <w:t>342</w:t>
      </w:r>
      <w:r w:rsidRPr="00F82325">
        <w:rPr>
          <w:rFonts w:ascii="Calibri" w:hAnsi="Calibri"/>
          <w:noProof/>
          <w:sz w:val="22"/>
        </w:rPr>
        <w:t>:d124–d124.</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17 </w:t>
      </w:r>
      <w:r w:rsidRPr="00F82325">
        <w:rPr>
          <w:rFonts w:ascii="Calibri" w:hAnsi="Calibri"/>
          <w:noProof/>
          <w:sz w:val="22"/>
        </w:rPr>
        <w:tab/>
        <w:t>ONS. Interim Life Tables. 2011;</w:t>
      </w:r>
      <w:r w:rsidRPr="00F82325">
        <w:rPr>
          <w:rFonts w:ascii="Calibri" w:hAnsi="Calibri"/>
          <w:b/>
          <w:bCs/>
          <w:noProof/>
          <w:sz w:val="22"/>
        </w:rPr>
        <w:t>2012</w:t>
      </w:r>
      <w:r w:rsidRPr="00F82325">
        <w:rPr>
          <w:rFonts w:ascii="Calibri" w:hAnsi="Calibri"/>
          <w:noProof/>
          <w:sz w:val="22"/>
        </w:rPr>
        <w:t>.http://www.ons.gov.uk/ons/taxonomy/index.html?nscl=Interim+Life+Tables</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18 </w:t>
      </w:r>
      <w:r w:rsidRPr="00F82325">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F82325">
        <w:rPr>
          <w:rFonts w:ascii="Calibri" w:hAnsi="Calibri"/>
          <w:i/>
          <w:iCs/>
          <w:noProof/>
          <w:sz w:val="22"/>
        </w:rPr>
        <w:t>European heart journal</w:t>
      </w:r>
      <w:r w:rsidRPr="00F82325">
        <w:rPr>
          <w:rFonts w:ascii="Calibri" w:hAnsi="Calibri"/>
          <w:noProof/>
          <w:sz w:val="22"/>
        </w:rPr>
        <w:t xml:space="preserve"> Published Online First: 13 January 2012. doi:10.1093/eurheartj/ehr488</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19 </w:t>
      </w:r>
      <w:r w:rsidRPr="00F82325">
        <w:rPr>
          <w:rFonts w:ascii="Calibri" w:hAnsi="Calibri"/>
          <w:noProof/>
          <w:sz w:val="22"/>
        </w:rPr>
        <w:tab/>
        <w:t xml:space="preserve">Connolly SJ, Ezekowitz MD, Yusuf S, </w:t>
      </w:r>
      <w:r w:rsidRPr="00F82325">
        <w:rPr>
          <w:rFonts w:ascii="Calibri" w:hAnsi="Calibri"/>
          <w:i/>
          <w:iCs/>
          <w:noProof/>
          <w:sz w:val="22"/>
        </w:rPr>
        <w:t>et al.</w:t>
      </w:r>
      <w:r w:rsidRPr="00F82325">
        <w:rPr>
          <w:rFonts w:ascii="Calibri" w:hAnsi="Calibri"/>
          <w:noProof/>
          <w:sz w:val="22"/>
        </w:rPr>
        <w:t xml:space="preserve"> Dabigatran versus warfarin in patients with atrial fibrillation. </w:t>
      </w:r>
      <w:r w:rsidRPr="00F82325">
        <w:rPr>
          <w:rFonts w:ascii="Calibri" w:hAnsi="Calibri"/>
          <w:i/>
          <w:iCs/>
          <w:noProof/>
          <w:sz w:val="22"/>
        </w:rPr>
        <w:t>N Engl J Med</w:t>
      </w:r>
      <w:r w:rsidRPr="00F82325">
        <w:rPr>
          <w:rFonts w:ascii="Calibri" w:hAnsi="Calibri"/>
          <w:noProof/>
          <w:sz w:val="22"/>
        </w:rPr>
        <w:t xml:space="preserve"> 2009;</w:t>
      </w:r>
      <w:r w:rsidRPr="00F82325">
        <w:rPr>
          <w:rFonts w:ascii="Calibri" w:hAnsi="Calibri"/>
          <w:b/>
          <w:bCs/>
          <w:noProof/>
          <w:sz w:val="22"/>
        </w:rPr>
        <w:t>361</w:t>
      </w:r>
      <w:r w:rsidRPr="00F82325">
        <w:rPr>
          <w:rFonts w:ascii="Calibri" w:hAnsi="Calibri"/>
          <w:noProof/>
          <w:sz w:val="22"/>
        </w:rPr>
        <w:t>:1139–51.</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20 </w:t>
      </w:r>
      <w:r w:rsidRPr="00F82325">
        <w:rPr>
          <w:rFonts w:ascii="Calibri" w:hAnsi="Calibri"/>
          <w:noProof/>
          <w:sz w:val="22"/>
        </w:rPr>
        <w:tab/>
        <w:t xml:space="preserve">Lip GYH, Edwards SJ. Stroke prevention with aspirin, warfarin and ximelagatran in patients with non-valvular atrial fibrillation: a systematic review and meta-analysis. </w:t>
      </w:r>
      <w:r w:rsidRPr="00F82325">
        <w:rPr>
          <w:rFonts w:ascii="Calibri" w:hAnsi="Calibri"/>
          <w:i/>
          <w:iCs/>
          <w:noProof/>
          <w:sz w:val="22"/>
        </w:rPr>
        <w:t>Thrombosis research</w:t>
      </w:r>
      <w:r w:rsidRPr="00F82325">
        <w:rPr>
          <w:rFonts w:ascii="Calibri" w:hAnsi="Calibri"/>
          <w:noProof/>
          <w:sz w:val="22"/>
        </w:rPr>
        <w:t xml:space="preserve"> 2006;</w:t>
      </w:r>
      <w:r w:rsidRPr="00F82325">
        <w:rPr>
          <w:rFonts w:ascii="Calibri" w:hAnsi="Calibri"/>
          <w:b/>
          <w:bCs/>
          <w:noProof/>
          <w:sz w:val="22"/>
        </w:rPr>
        <w:t>118</w:t>
      </w:r>
      <w:r w:rsidRPr="00F82325">
        <w:rPr>
          <w:rFonts w:ascii="Calibri" w:hAnsi="Calibri"/>
          <w:noProof/>
          <w:sz w:val="22"/>
        </w:rPr>
        <w:t>:321–33.</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21 </w:t>
      </w:r>
      <w:r w:rsidRPr="00F82325">
        <w:rPr>
          <w:rFonts w:ascii="Calibri" w:hAnsi="Calibri"/>
          <w:noProof/>
          <w:sz w:val="22"/>
        </w:rPr>
        <w:tab/>
        <w:t xml:space="preserve">Patel MR, Mahaffey KW, Garg J, </w:t>
      </w:r>
      <w:r w:rsidRPr="00F82325">
        <w:rPr>
          <w:rFonts w:ascii="Calibri" w:hAnsi="Calibri"/>
          <w:i/>
          <w:iCs/>
          <w:noProof/>
          <w:sz w:val="22"/>
        </w:rPr>
        <w:t>et al.</w:t>
      </w:r>
      <w:r w:rsidRPr="00F82325">
        <w:rPr>
          <w:rFonts w:ascii="Calibri" w:hAnsi="Calibri"/>
          <w:noProof/>
          <w:sz w:val="22"/>
        </w:rPr>
        <w:t xml:space="preserve"> Rivaroxaban versus Warfarin in Nonvalvular Atrial Fibrillation. </w:t>
      </w:r>
      <w:r w:rsidRPr="00F82325">
        <w:rPr>
          <w:rFonts w:ascii="Calibri" w:hAnsi="Calibri"/>
          <w:i/>
          <w:iCs/>
          <w:noProof/>
          <w:sz w:val="22"/>
        </w:rPr>
        <w:t>New England Journal of Medicine</w:t>
      </w:r>
      <w:r w:rsidRPr="00F82325">
        <w:rPr>
          <w:rFonts w:ascii="Calibri" w:hAnsi="Calibri"/>
          <w:noProof/>
          <w:sz w:val="22"/>
        </w:rPr>
        <w:t xml:space="preserve"> 2011;</w:t>
      </w:r>
      <w:r w:rsidRPr="00F82325">
        <w:rPr>
          <w:rFonts w:ascii="Calibri" w:hAnsi="Calibri"/>
          <w:b/>
          <w:bCs/>
          <w:noProof/>
          <w:sz w:val="22"/>
        </w:rPr>
        <w:t>365</w:t>
      </w:r>
      <w:r w:rsidRPr="00F82325">
        <w:rPr>
          <w:rFonts w:ascii="Calibri" w:hAnsi="Calibri"/>
          <w:noProof/>
          <w:sz w:val="22"/>
        </w:rPr>
        <w:t>:883–91.</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22 </w:t>
      </w:r>
      <w:r w:rsidRPr="00F82325">
        <w:rPr>
          <w:rFonts w:ascii="Calibri" w:hAnsi="Calibri"/>
          <w:noProof/>
          <w:sz w:val="22"/>
        </w:rPr>
        <w:tab/>
        <w:t xml:space="preserve">Rivero-Arias O, Ouellet M, Gray A, </w:t>
      </w:r>
      <w:r w:rsidRPr="00F82325">
        <w:rPr>
          <w:rFonts w:ascii="Calibri" w:hAnsi="Calibri"/>
          <w:i/>
          <w:iCs/>
          <w:noProof/>
          <w:sz w:val="22"/>
        </w:rPr>
        <w:t>et al.</w:t>
      </w:r>
      <w:r w:rsidRPr="00F82325">
        <w:rPr>
          <w:rFonts w:ascii="Calibri" w:hAnsi="Calibri"/>
          <w:noProof/>
          <w:sz w:val="22"/>
        </w:rPr>
        <w:t xml:space="preserve"> Mapping the Modified Rankin Scale (mRS) Measurement into the Generic EuroQol (EQ-5D) Health Outcome. </w:t>
      </w:r>
      <w:r w:rsidRPr="00F82325">
        <w:rPr>
          <w:rFonts w:ascii="Calibri" w:hAnsi="Calibri"/>
          <w:i/>
          <w:iCs/>
          <w:noProof/>
          <w:sz w:val="22"/>
        </w:rPr>
        <w:t>Medical Decision Making</w:t>
      </w:r>
      <w:r w:rsidRPr="00F82325">
        <w:rPr>
          <w:rFonts w:ascii="Calibri" w:hAnsi="Calibri"/>
          <w:noProof/>
          <w:sz w:val="22"/>
        </w:rPr>
        <w:t xml:space="preserve"> 2010;</w:t>
      </w:r>
      <w:r w:rsidRPr="00F82325">
        <w:rPr>
          <w:rFonts w:ascii="Calibri" w:hAnsi="Calibri"/>
          <w:b/>
          <w:bCs/>
          <w:noProof/>
          <w:sz w:val="22"/>
        </w:rPr>
        <w:t>30</w:t>
      </w:r>
      <w:r w:rsidRPr="00F82325">
        <w:rPr>
          <w:rFonts w:ascii="Calibri" w:hAnsi="Calibri"/>
          <w:noProof/>
          <w:sz w:val="22"/>
        </w:rPr>
        <w:t>:341–54.</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23 </w:t>
      </w:r>
      <w:r w:rsidRPr="00F82325">
        <w:rPr>
          <w:rFonts w:ascii="Calibri" w:hAnsi="Calibri"/>
          <w:noProof/>
          <w:sz w:val="22"/>
        </w:rPr>
        <w:tab/>
        <w:t xml:space="preserve">Simpson EL, Stevenson MD, Rawdin A, </w:t>
      </w:r>
      <w:r w:rsidRPr="00F82325">
        <w:rPr>
          <w:rFonts w:ascii="Calibri" w:hAnsi="Calibri"/>
          <w:i/>
          <w:iCs/>
          <w:noProof/>
          <w:sz w:val="22"/>
        </w:rPr>
        <w:t>et al.</w:t>
      </w:r>
      <w:r w:rsidRPr="00F82325">
        <w:rPr>
          <w:rFonts w:ascii="Calibri" w:hAnsi="Calibri"/>
          <w:noProof/>
          <w:sz w:val="22"/>
        </w:rPr>
        <w:t xml:space="preserve"> Thrombophilia testing in people with venous thromboembolism: systematic review and cost-effectiveness analysis. </w:t>
      </w:r>
      <w:r w:rsidRPr="00F82325">
        <w:rPr>
          <w:rFonts w:ascii="Calibri" w:hAnsi="Calibri"/>
          <w:i/>
          <w:iCs/>
          <w:noProof/>
          <w:sz w:val="22"/>
        </w:rPr>
        <w:t>Health Technology Assessment</w:t>
      </w:r>
      <w:r w:rsidRPr="00F82325">
        <w:rPr>
          <w:rFonts w:ascii="Calibri" w:hAnsi="Calibri"/>
          <w:noProof/>
          <w:sz w:val="22"/>
        </w:rPr>
        <w:t xml:space="preserve"> 2009;</w:t>
      </w:r>
      <w:r w:rsidRPr="00F82325">
        <w:rPr>
          <w:rFonts w:ascii="Calibri" w:hAnsi="Calibri"/>
          <w:b/>
          <w:bCs/>
          <w:noProof/>
          <w:sz w:val="22"/>
        </w:rPr>
        <w:t>13</w:t>
      </w:r>
      <w:r w:rsidRPr="00F82325">
        <w:rPr>
          <w:rFonts w:ascii="Calibri" w:hAnsi="Calibri"/>
          <w:noProof/>
          <w:sz w:val="22"/>
        </w:rPr>
        <w:t>. doi:10.3310/hta13020</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24 </w:t>
      </w:r>
      <w:r w:rsidRPr="00F82325">
        <w:rPr>
          <w:rFonts w:ascii="Calibri" w:hAnsi="Calibri"/>
          <w:noProof/>
          <w:sz w:val="22"/>
        </w:rPr>
        <w:tab/>
        <w:t xml:space="preserve">Ara R, Brazier JE. Populating an economic model with health state utility values: moving toward better practice. </w:t>
      </w:r>
      <w:r w:rsidRPr="00F82325">
        <w:rPr>
          <w:rFonts w:ascii="Calibri" w:hAnsi="Calibri"/>
          <w:i/>
          <w:iCs/>
          <w:noProof/>
          <w:sz w:val="22"/>
        </w:rPr>
        <w:t>Value in health : the journal of the International Society for Pharmacoeconomics and Outcomes Research</w:t>
      </w:r>
      <w:r w:rsidRPr="00F82325">
        <w:rPr>
          <w:rFonts w:ascii="Calibri" w:hAnsi="Calibri"/>
          <w:noProof/>
          <w:sz w:val="22"/>
        </w:rPr>
        <w:t xml:space="preserve"> 2010;</w:t>
      </w:r>
      <w:r w:rsidRPr="00F82325">
        <w:rPr>
          <w:rFonts w:ascii="Calibri" w:hAnsi="Calibri"/>
          <w:b/>
          <w:bCs/>
          <w:noProof/>
          <w:sz w:val="22"/>
        </w:rPr>
        <w:t>13</w:t>
      </w:r>
      <w:r w:rsidRPr="00F82325">
        <w:rPr>
          <w:rFonts w:ascii="Calibri" w:hAnsi="Calibri"/>
          <w:noProof/>
          <w:sz w:val="22"/>
        </w:rPr>
        <w:t>:509–18.</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25 </w:t>
      </w:r>
      <w:r w:rsidRPr="00F82325">
        <w:rPr>
          <w:rFonts w:ascii="Calibri" w:hAnsi="Calibri"/>
          <w:noProof/>
          <w:sz w:val="22"/>
        </w:rPr>
        <w:tab/>
        <w:t>NICE. Dabigatran etexilate for the prevention of stroke and systemic embolism in atrial fibrillation: Final appraisal determination. 2011;</w:t>
      </w:r>
      <w:r w:rsidRPr="00F82325">
        <w:rPr>
          <w:rFonts w:ascii="Calibri" w:hAnsi="Calibri"/>
          <w:b/>
          <w:bCs/>
          <w:noProof/>
          <w:sz w:val="22"/>
        </w:rPr>
        <w:t>2012</w:t>
      </w:r>
      <w:r w:rsidRPr="00F82325">
        <w:rPr>
          <w:rFonts w:ascii="Calibri" w:hAnsi="Calibri"/>
          <w:noProof/>
          <w:sz w:val="22"/>
        </w:rPr>
        <w:t>.http://www.nice.org.uk/nicemedia/live/12225/56899/56899.pdf</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lastRenderedPageBreak/>
        <w:t xml:space="preserve">26 </w:t>
      </w:r>
      <w:r w:rsidRPr="00F82325">
        <w:rPr>
          <w:rFonts w:ascii="Calibri" w:hAnsi="Calibri"/>
          <w:noProof/>
          <w:sz w:val="22"/>
        </w:rPr>
        <w:tab/>
        <w:t>Group LND. A briefing paper on Dabigatran and Rivaroxaban: What we know so far... 2012;</w:t>
      </w:r>
      <w:r w:rsidRPr="00F82325">
        <w:rPr>
          <w:rFonts w:ascii="Calibri" w:hAnsi="Calibri"/>
          <w:b/>
          <w:bCs/>
          <w:noProof/>
          <w:sz w:val="22"/>
        </w:rPr>
        <w:t>2012</w:t>
      </w:r>
      <w:r w:rsidRPr="00F82325">
        <w:rPr>
          <w:rFonts w:ascii="Calibri" w:hAnsi="Calibri"/>
          <w:noProof/>
          <w:sz w:val="22"/>
        </w:rPr>
        <w:t>.http://www.nelm.nhs.uk/en/NeLM-Area/Evidence/Drug-Specific-Reviews/A-briefing-paper-on-dabigatran-and-rivaroxaban/</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27 </w:t>
      </w:r>
      <w:r w:rsidRPr="00F82325">
        <w:rPr>
          <w:rFonts w:ascii="Calibri" w:hAnsi="Calibri"/>
          <w:noProof/>
          <w:sz w:val="22"/>
        </w:rPr>
        <w:tab/>
        <w:t>BNF. Warfarin. 2011;</w:t>
      </w:r>
      <w:r w:rsidRPr="00F82325">
        <w:rPr>
          <w:rFonts w:ascii="Calibri" w:hAnsi="Calibri"/>
          <w:b/>
          <w:bCs/>
          <w:noProof/>
          <w:sz w:val="22"/>
        </w:rPr>
        <w:t>2012</w:t>
      </w:r>
      <w:r w:rsidRPr="00F82325">
        <w:rPr>
          <w:rFonts w:ascii="Calibri" w:hAnsi="Calibri"/>
          <w:noProof/>
          <w:sz w:val="22"/>
        </w:rPr>
        <w:t>.https://mail.google.com/mail/u/1/#inbox/134f06255f3f63de</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28 </w:t>
      </w:r>
      <w:r w:rsidRPr="00F82325">
        <w:rPr>
          <w:rFonts w:ascii="Calibri" w:hAnsi="Calibri"/>
          <w:noProof/>
          <w:sz w:val="22"/>
        </w:rPr>
        <w:tab/>
        <w:t>DoH. NHS Reference Costs 2009-2010. 2011;</w:t>
      </w:r>
      <w:r w:rsidRPr="00F82325">
        <w:rPr>
          <w:rFonts w:ascii="Calibri" w:hAnsi="Calibri"/>
          <w:b/>
          <w:bCs/>
          <w:noProof/>
          <w:sz w:val="22"/>
        </w:rPr>
        <w:t>2012</w:t>
      </w:r>
      <w:r w:rsidRPr="00F82325">
        <w:rPr>
          <w:rFonts w:ascii="Calibri" w:hAnsi="Calibri"/>
          <w:noProof/>
          <w:sz w:val="22"/>
        </w:rPr>
        <w:t>.http://www.dh.gov.uk/en/Publicationsandstatistics/Publications/PublicationsPolicyAndGuidance/DH_123459</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29 </w:t>
      </w:r>
      <w:r w:rsidRPr="00F82325">
        <w:rPr>
          <w:rFonts w:ascii="Calibri" w:hAnsi="Calibri"/>
          <w:noProof/>
          <w:sz w:val="22"/>
        </w:rPr>
        <w:tab/>
        <w:t xml:space="preserve">Sandercock P, Berge E, Dennis M, </w:t>
      </w:r>
      <w:r w:rsidRPr="00F82325">
        <w:rPr>
          <w:rFonts w:ascii="Calibri" w:hAnsi="Calibri"/>
          <w:i/>
          <w:iCs/>
          <w:noProof/>
          <w:sz w:val="22"/>
        </w:rPr>
        <w:t>et al.</w:t>
      </w:r>
      <w:r w:rsidRPr="00F82325">
        <w:rPr>
          <w:rFonts w:ascii="Calibri" w:hAnsi="Calibri"/>
          <w:noProof/>
          <w:sz w:val="22"/>
        </w:rPr>
        <w:t xml:space="preserve"> A systematic review of the effectiveness, cost-effectiveness and barriers to implementation of thrombolytic and neuroprotective therapy for acute ischaemic stroke in the NHS. </w:t>
      </w:r>
      <w:r w:rsidRPr="00F82325">
        <w:rPr>
          <w:rFonts w:ascii="Calibri" w:hAnsi="Calibri"/>
          <w:i/>
          <w:iCs/>
          <w:noProof/>
          <w:sz w:val="22"/>
        </w:rPr>
        <w:t>Health Technology Assessment</w:t>
      </w:r>
      <w:r w:rsidRPr="00F82325">
        <w:rPr>
          <w:rFonts w:ascii="Calibri" w:hAnsi="Calibri"/>
          <w:noProof/>
          <w:sz w:val="22"/>
        </w:rPr>
        <w:t xml:space="preserve"> 2002;</w:t>
      </w:r>
      <w:r w:rsidRPr="00F82325">
        <w:rPr>
          <w:rFonts w:ascii="Calibri" w:hAnsi="Calibri"/>
          <w:b/>
          <w:bCs/>
          <w:noProof/>
          <w:sz w:val="22"/>
        </w:rPr>
        <w:t>6</w:t>
      </w:r>
      <w:r w:rsidRPr="00F82325">
        <w:rPr>
          <w:rFonts w:ascii="Calibri" w:hAnsi="Calibri"/>
          <w:noProof/>
          <w:sz w:val="22"/>
        </w:rPr>
        <w:t>.</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30 </w:t>
      </w:r>
      <w:r w:rsidRPr="00F82325">
        <w:rPr>
          <w:rFonts w:ascii="Calibri" w:hAnsi="Calibri"/>
          <w:noProof/>
          <w:sz w:val="22"/>
        </w:rPr>
        <w:tab/>
        <w:t>NHS. National Stroke Strategy Impact Assessment. 2007;</w:t>
      </w:r>
      <w:r w:rsidRPr="00F82325">
        <w:rPr>
          <w:rFonts w:ascii="Calibri" w:hAnsi="Calibri"/>
          <w:b/>
          <w:bCs/>
          <w:noProof/>
          <w:sz w:val="22"/>
        </w:rPr>
        <w:t>2012</w:t>
      </w:r>
      <w:r w:rsidRPr="00F82325">
        <w:rPr>
          <w:rFonts w:ascii="Calibri" w:hAnsi="Calibri"/>
          <w:noProof/>
          <w:sz w:val="22"/>
        </w:rPr>
        <w:t>.http://www.dh.gov.uk/prod_consum_dh/groups/dh_digitalassets/documents/digitalasset/dh_081054.pdf</w:t>
      </w:r>
    </w:p>
    <w:p w:rsidR="00F82325" w:rsidRPr="00F82325" w:rsidRDefault="00F82325">
      <w:pPr>
        <w:pStyle w:val="NormalWeb"/>
        <w:ind w:left="640" w:hanging="640"/>
        <w:divId w:val="818763781"/>
        <w:rPr>
          <w:rFonts w:ascii="Calibri" w:hAnsi="Calibri"/>
          <w:noProof/>
          <w:sz w:val="22"/>
        </w:rPr>
      </w:pPr>
      <w:r w:rsidRPr="00F82325">
        <w:rPr>
          <w:rFonts w:ascii="Calibri" w:hAnsi="Calibri"/>
          <w:noProof/>
          <w:sz w:val="22"/>
        </w:rPr>
        <w:t xml:space="preserve">31 </w:t>
      </w:r>
      <w:r w:rsidRPr="00F82325">
        <w:rPr>
          <w:rFonts w:ascii="Calibri" w:hAnsi="Calibri"/>
          <w:noProof/>
          <w:sz w:val="22"/>
        </w:rPr>
        <w:tab/>
        <w:t xml:space="preserve">Curtis L. Unit Costs of Health and Social Care 2010. Kent: 2010. </w:t>
      </w:r>
    </w:p>
    <w:p w:rsidR="00834F71" w:rsidRPr="00532F44" w:rsidRDefault="002F05E5" w:rsidP="00F82325">
      <w:pPr>
        <w:pStyle w:val="NormalWeb"/>
        <w:ind w:left="640" w:hanging="640"/>
        <w:divId w:val="192228042"/>
      </w:pPr>
      <w:r>
        <w:fldChar w:fldCharType="end"/>
      </w:r>
      <w:commentRangeEnd w:id="2"/>
      <w:r w:rsidR="008E6143">
        <w:rPr>
          <w:rStyle w:val="CommentReference"/>
          <w:rFonts w:eastAsia="Times New Roman"/>
        </w:rPr>
        <w:commentReference w:id="2"/>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14:anchorId="67074D7A" wp14:editId="1E343EAD">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3"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8D3B31">
        <w:rPr>
          <w:noProof/>
          <w:color w:val="auto"/>
        </w:rPr>
        <w:t>1</w:t>
      </w:r>
      <w:r w:rsidR="002F05E5" w:rsidRPr="00532F44">
        <w:rPr>
          <w:noProof/>
          <w:color w:val="auto"/>
        </w:rPr>
        <w:fldChar w:fldCharType="end"/>
      </w:r>
      <w:bookmarkEnd w:id="3"/>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4" w:name="_Ref321227101"/>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FF7CB5">
        <w:rPr>
          <w:noProof/>
          <w:color w:val="auto"/>
        </w:rPr>
        <w:t>1</w:t>
      </w:r>
      <w:r w:rsidR="002F05E5" w:rsidRPr="00532F44">
        <w:rPr>
          <w:noProof/>
          <w:color w:val="auto"/>
        </w:rPr>
        <w:fldChar w:fldCharType="end"/>
      </w:r>
      <w:bookmarkEnd w:id="4"/>
      <w:r w:rsidRPr="00532F44">
        <w:rPr>
          <w:color w:val="auto"/>
        </w:rPr>
        <w:t xml:space="preserve"> </w:t>
      </w:r>
      <w:r w:rsidR="00BC4AAE" w:rsidRPr="00532F44">
        <w:rPr>
          <w:color w:val="auto"/>
        </w:rPr>
        <w:t xml:space="preserve">Simplified OAC indications by </w:t>
      </w:r>
      <w:proofErr w:type="gramStart"/>
      <w:r w:rsidR="00BC4AAE" w:rsidRPr="00532F44">
        <w:rPr>
          <w:color w:val="auto"/>
        </w:rPr>
        <w:t>OAC,</w:t>
      </w:r>
      <w:proofErr w:type="gramEnd"/>
      <w:r w:rsidR="00BC4AAE" w:rsidRPr="00532F44">
        <w:rPr>
          <w:color w:val="auto"/>
        </w:rPr>
        <w:t xml:space="preserve">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2F05E5" w:rsidRPr="00532F44">
              <w:fldChar w:fldCharType="begin" w:fldLock="1"/>
            </w:r>
            <w:r w:rsidR="00F82325">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2F05E5" w:rsidRPr="00532F44">
              <w:fldChar w:fldCharType="separate"/>
            </w:r>
            <w:r w:rsidR="00354D59" w:rsidRPr="00354D59">
              <w:rPr>
                <w:noProof/>
              </w:rPr>
              <w:t>[17]</w:t>
            </w:r>
            <w:r w:rsidR="002F05E5"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F82325">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F82325">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2F05E5" w:rsidRPr="00532F44">
              <w:fldChar w:fldCharType="begin" w:fldLock="1"/>
            </w:r>
            <w:r w:rsidR="00F82325">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"[18]" }, "properties" : { "noteIndex" : 0 }, "schema" : "https://github.com/citation-style-language/schema/raw/master/csl-citation.json" }</w:instrText>
            </w:r>
            <w:r w:rsidR="002F05E5" w:rsidRPr="00532F44">
              <w:fldChar w:fldCharType="separate"/>
            </w:r>
            <w:r w:rsidR="00354D59" w:rsidRPr="00354D59">
              <w:rPr>
                <w:noProof/>
              </w:rPr>
              <w:t>[18]</w:t>
            </w:r>
            <w:r w:rsidR="002F05E5"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2F05E5" w:rsidRPr="00532F44">
              <w:fldChar w:fldCharType="begin" w:fldLock="1"/>
            </w:r>
            <w:r w:rsidR="00F82325">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"dropping-particle" : "", "family" : "Connolly", "given" : "S J", "non-dropping-particle" : "", "parse-names" : false, "suffix" : "" }, { "dropping-particle" : "", "family" : "Ezekowitz", "given" : "M D", "non-dropping-particle" : "", "parse-names" : false, "suffix" : "" }, { "dropping-particle" : "", "family" : "Yusuf", "given" : "S", "non-dropping-particle" : "", "parse-names" : false, "suffix" : "" }, { "dropping-particle" : "", "family" : "Eikelboom", "given" : "J", "non-dropping-particle" : "", "parse-names" : false, "suffix" : "" }, { "dropping-particle" : "", "family" : "Oldgren", "given" : "J", "non-dropping-particle" : "", "parse-names" : false, "suffix" : "" }, { "dropping-particle" : "", "family" : "Parekh", "given" : "A", "non-dropping-particle" : "", "parse-names" : false, "suffix" : "" }, { "dropping-particle" : "", "family" : "Pogue", "given" : "J", "non-dropping-particle" : "", "parse-names" : false, "suffix" : "" }, { "dropping-particle" : "", "family" : "Reilly", "given" : "P A", "non-dropping-particle" : "", "parse-names" : false, "suffix" : "" }, { "dropping-particle" : "", "family" : "Themeles", "given" : "E", "non-dropping-particle" : "", "parse-names" : false, "suffix" : "" }, { "dropping-particle" : "", "family" : "Varrone", "given" : "J", "non-dropping-particle" : "", "parse-names" : false, "suffix" : "" }, { "dropping-particle" : "", "family" : "Wang", "given" : "S", "non-dropping-particle" : "", "parse-names" : false, "suffix" : "" }, { "dropping-particle" : "", "family" : "Alings", "given" : "M", "non-dropping-particle" : "", "parse-names" : false, "suffix" : "" }, { "dropping-particle" : "", "family" : "Xavier", "given" : "D", "non-dropping-particle" : "", "parse-names" : false, "suffix" : "" }, { "dropping-particle" : "", "family" : "Zhu", "given" : "J", "non-dropping-particle" : "", "parse-names" : false, "suffix" : "" }, { "dropping-particle" : "", "family" : "Diaz", "given" : "R", "non-dropping-particle" : "", "parse-names" : false, "suffix" : "" }, { "dropping-particle" : "", "family" : "Lewis", "given" : "B S", "non-dropping-particle" : "", "parse-names" : false, "suffix" : "" }, { "dropping-particle" : "", "family" : "Darius", "given" : "H", "non-dropping-particle" : "", "parse-names" : false, "suffix" : "" }, { "dropping-particle" : "", "family" : "Diener", "given" : "H C", "non-dropping-particle" : "", "parse-names" : false, "suffix" : "" }, { "dropping-particle" : "", "family" : "Joyner", "given" : "C D", "non-dropping-particle" : "", "parse-names" : false, "suffix" : "" }, { "dropping-particle" : "", "family" : "Wallentin", "given" : "L", "non-dropping-particle" : "", "parse-names" : false, "suffix" : ""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"[19]" }, "properties" : { "noteIndex" : 0 }, "schema" : "https://github.com/citation-style-language/schema/raw/master/csl-citation.json" }</w:instrText>
            </w:r>
            <w:r w:rsidR="002F05E5" w:rsidRPr="00532F44">
              <w:fldChar w:fldCharType="separate"/>
            </w:r>
            <w:r w:rsidR="00354D59" w:rsidRPr="00354D59">
              <w:rPr>
                <w:noProof/>
              </w:rPr>
              <w:t>[19]</w:t>
            </w:r>
            <w:r w:rsidR="002F05E5"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2F05E5" w:rsidRPr="00532F44">
              <w:fldChar w:fldCharType="begin" w:fldLock="1"/>
            </w:r>
            <w:r w:rsidR="00F82325">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002F05E5" w:rsidRPr="00532F44">
              <w:fldChar w:fldCharType="separate"/>
            </w:r>
            <w:r w:rsidR="00354D59" w:rsidRPr="00354D59">
              <w:rPr>
                <w:noProof/>
              </w:rPr>
              <w:t>[20]</w:t>
            </w:r>
            <w:r w:rsidR="002F05E5"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002F05E5" w:rsidRPr="00532F44">
              <w:fldChar w:fldCharType="begin" w:fldLock="1"/>
            </w:r>
            <w:r w:rsidR="00F82325">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2F05E5" w:rsidRPr="00532F44">
              <w:fldChar w:fldCharType="begin" w:fldLock="1"/>
            </w:r>
            <w:r w:rsidR="00F82325">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ED28B9" w:rsidRPr="00532F44" w:rsidTr="003225C4">
        <w:trPr>
          <w:divId w:val="1548566716"/>
          <w:trHeight w:val="679"/>
        </w:trPr>
        <w:tc>
          <w:tcPr>
            <w:tcW w:w="1951" w:type="dxa"/>
            <w:vMerge/>
          </w:tcPr>
          <w:p w:rsidR="00ED28B9" w:rsidRPr="00532F44" w:rsidRDefault="00ED28B9" w:rsidP="00920A0B">
            <w:pPr>
              <w:rPr>
                <w:b/>
              </w:rPr>
            </w:pPr>
          </w:p>
        </w:tc>
        <w:tc>
          <w:tcPr>
            <w:tcW w:w="3497" w:type="dxa"/>
          </w:tcPr>
          <w:p w:rsidR="00ED28B9" w:rsidRPr="00532F44" w:rsidRDefault="00ED28B9" w:rsidP="00920A0B">
            <w:r>
              <w:t>Relative risk (RR) of stroke in patients receiving warfarin</w:t>
            </w:r>
          </w:p>
        </w:tc>
        <w:tc>
          <w:tcPr>
            <w:tcW w:w="4299" w:type="dxa"/>
          </w:tcPr>
          <w:p w:rsidR="00ED28B9" w:rsidRPr="00532F44" w:rsidRDefault="00F82325" w:rsidP="00920A0B">
            <w:pPr>
              <w:jc w:val="left"/>
            </w:pPr>
            <w:r w:rsidRPr="00532F44">
              <w:t>RR of warfarin compared with placebo</w:t>
            </w:r>
          </w:p>
        </w:tc>
        <w:tc>
          <w:tcPr>
            <w:tcW w:w="3969" w:type="dxa"/>
          </w:tcPr>
          <w:p w:rsidR="00ED28B9" w:rsidRPr="00532F44" w:rsidRDefault="00F82325" w:rsidP="00F82325">
            <w:r w:rsidRPr="00532F44">
              <w:t xml:space="preserve">Lip et al 2006 </w:t>
            </w:r>
            <w:r w:rsidRPr="00532F44">
              <w:fldChar w:fldCharType="begin" w:fldLock="1"/>
            </w:r>
            <w:r>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t>Annual major bleeding risk for patients receiving warfarin</w:t>
            </w:r>
          </w:p>
        </w:tc>
        <w:tc>
          <w:tcPr>
            <w:tcW w:w="4299" w:type="dxa"/>
          </w:tcPr>
          <w:p w:rsidR="00F82325" w:rsidRPr="00532F44" w:rsidRDefault="00F82325" w:rsidP="00FF7CB5">
            <w:pPr>
              <w:jc w:val="left"/>
            </w:pPr>
            <w:r w:rsidRPr="00532F44">
              <w:t>St</w:t>
            </w:r>
            <w:r>
              <w:t>r</w:t>
            </w:r>
            <w:r w:rsidRPr="00532F44">
              <w:t>atified by age. Credible interval calculated using simulation approach</w:t>
            </w:r>
          </w:p>
        </w:tc>
        <w:tc>
          <w:tcPr>
            <w:tcW w:w="3969" w:type="dxa"/>
          </w:tcPr>
          <w:p w:rsidR="00F82325" w:rsidRPr="00532F44" w:rsidRDefault="00F82325" w:rsidP="00FF7CB5">
            <w:proofErr w:type="spellStart"/>
            <w:r w:rsidRPr="00532F44">
              <w:t>Eikelboom</w:t>
            </w:r>
            <w:proofErr w:type="spellEnd"/>
            <w:r w:rsidRPr="00532F44">
              <w:t xml:space="preserve"> et al 2011 </w:t>
            </w:r>
            <w:r w:rsidRPr="00532F44">
              <w:fldChar w:fldCharType="begin" w:fldLock="1"/>
            </w:r>
            <w:r>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Pr="00532F44">
              <w:fldChar w:fldCharType="separate"/>
            </w:r>
            <w:r w:rsidRPr="00354D59">
              <w:rPr>
                <w:noProof/>
              </w:rPr>
              <w:t>[12]</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Relative risk (RR) of stroke in patients receiving </w:t>
            </w:r>
            <w:proofErr w:type="spellStart"/>
            <w:r>
              <w:t>rivaroxaban</w:t>
            </w:r>
            <w:proofErr w:type="spellEnd"/>
          </w:p>
        </w:tc>
        <w:tc>
          <w:tcPr>
            <w:tcW w:w="4299" w:type="dxa"/>
          </w:tcPr>
          <w:p w:rsidR="00F82325" w:rsidRPr="00532F44" w:rsidRDefault="00F82325" w:rsidP="00FF7CB5">
            <w:pPr>
              <w:jc w:val="left"/>
            </w:pPr>
            <w:r w:rsidRPr="00532F44">
              <w:t>Indirect comparison simulation approach</w:t>
            </w:r>
          </w:p>
        </w:tc>
        <w:tc>
          <w:tcPr>
            <w:tcW w:w="3969" w:type="dxa"/>
          </w:tcPr>
          <w:p w:rsidR="00F82325" w:rsidRPr="00532F44" w:rsidRDefault="00F82325" w:rsidP="00F82325">
            <w:r w:rsidRPr="00532F44">
              <w:t xml:space="preserve">Lip et al 2006 for RR of warfarin compared with placebo </w:t>
            </w:r>
            <w:r w:rsidRPr="00532F44">
              <w:fldChar w:fldCharType="begin" w:fldLock="1"/>
            </w:r>
            <w:r>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p w:rsidR="00F82325" w:rsidRDefault="00F82325" w:rsidP="00FF7CB5"/>
          <w:p w:rsidR="00F82325" w:rsidRPr="00532F44" w:rsidRDefault="00F82325" w:rsidP="00FF7CB5">
            <w:r>
              <w:t xml:space="preserve">Patel et al 2011 for RR of </w:t>
            </w:r>
            <w:proofErr w:type="spellStart"/>
            <w:r>
              <w:t>rivaroxaban</w:t>
            </w:r>
            <w:proofErr w:type="spellEnd"/>
            <w:r>
              <w:t xml:space="preserve"> compared with warfarin </w:t>
            </w:r>
            <w:r>
              <w:fldChar w:fldCharType="begin" w:fldLock="1"/>
            </w:r>
            <w:r>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"[21]" }, "properties" : { "noteIndex" : 0 }, "schema" : "https://github.com/citation-style-language/schema/raw/master/csl-citation.json" }</w:instrText>
            </w:r>
            <w:r>
              <w:fldChar w:fldCharType="separate"/>
            </w:r>
            <w:r w:rsidRPr="00F82325">
              <w:rPr>
                <w:noProof/>
              </w:rPr>
              <w:t>[21]</w:t>
            </w:r>
            <w:r>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Annual major bleeding risk for patients receiving </w:t>
            </w:r>
            <w:proofErr w:type="spellStart"/>
            <w:r>
              <w:t>rivaroxaban</w:t>
            </w:r>
            <w:proofErr w:type="spellEnd"/>
          </w:p>
        </w:tc>
        <w:tc>
          <w:tcPr>
            <w:tcW w:w="4299" w:type="dxa"/>
          </w:tcPr>
          <w:p w:rsidR="00F82325" w:rsidRPr="00532F44" w:rsidRDefault="00F82325" w:rsidP="00FF7CB5">
            <w:pPr>
              <w:jc w:val="left"/>
            </w:pPr>
          </w:p>
        </w:tc>
        <w:tc>
          <w:tcPr>
            <w:tcW w:w="3969" w:type="dxa"/>
          </w:tcPr>
          <w:p w:rsidR="00F82325" w:rsidRPr="00532F44" w:rsidRDefault="00F82325" w:rsidP="00FF7CB5">
            <w:r>
              <w:t>Patel et al 2011</w:t>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stroke</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3225C4">
            <w:r w:rsidRPr="00532F44">
              <w:t xml:space="preserve">Method described in report using results published in </w:t>
            </w:r>
            <w:proofErr w:type="spellStart"/>
            <w:r w:rsidRPr="00532F44">
              <w:t>Rivero</w:t>
            </w:r>
            <w:proofErr w:type="spellEnd"/>
            <w:r w:rsidRPr="00532F44">
              <w:t xml:space="preserve">-Arias et al 2010 </w:t>
            </w:r>
            <w:r w:rsidRPr="00532F44">
              <w:fldChar w:fldCharType="begin" w:fldLock="1"/>
            </w:r>
            <w:r>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r w:rsidRPr="00532F44">
              <w:t xml:space="preserve"> </w:t>
            </w:r>
          </w:p>
        </w:tc>
      </w:tr>
      <w:tr w:rsidR="00F82325" w:rsidRPr="00532F44" w:rsidTr="003225C4">
        <w:trPr>
          <w:divId w:val="1548566716"/>
          <w:trHeight w:val="10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a major bleeding event</w:t>
            </w:r>
          </w:p>
        </w:tc>
        <w:tc>
          <w:tcPr>
            <w:tcW w:w="4299" w:type="dxa"/>
          </w:tcPr>
          <w:p w:rsidR="00F82325" w:rsidRPr="00532F44" w:rsidRDefault="00F82325" w:rsidP="00920A0B">
            <w:pPr>
              <w:jc w:val="left"/>
            </w:pPr>
            <w:r w:rsidRPr="00532F44">
              <w:t>Previous estimates</w:t>
            </w:r>
          </w:p>
        </w:tc>
        <w:tc>
          <w:tcPr>
            <w:tcW w:w="3969" w:type="dxa"/>
          </w:tcPr>
          <w:p w:rsidR="00F82325" w:rsidRPr="00532F44" w:rsidRDefault="00F82325" w:rsidP="00920A0B">
            <w:r w:rsidRPr="00532F44">
              <w:t xml:space="preserve"> Simpson et al 2010 </w:t>
            </w:r>
            <w:r w:rsidRPr="00532F44">
              <w:fldChar w:fldCharType="begin" w:fldLock="1"/>
            </w:r>
            <w:r>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"[23]" }, "properties" : { "noteIndex" : 0 }, "schema" : "https://github.com/citation-style-language/schema/raw/master/csl-citation.json" }</w:instrText>
            </w:r>
            <w:r w:rsidRPr="00532F44">
              <w:fldChar w:fldCharType="separate"/>
            </w:r>
            <w:r w:rsidRPr="00F82325">
              <w:rPr>
                <w:noProof/>
              </w:rPr>
              <w:t>[23]</w:t>
            </w:r>
            <w:r w:rsidRPr="00532F44">
              <w:fldChar w:fldCharType="end"/>
            </w:r>
          </w:p>
        </w:tc>
      </w:tr>
      <w:tr w:rsidR="00F82325" w:rsidRPr="00532F44" w:rsidTr="003225C4">
        <w:trPr>
          <w:divId w:val="1548566716"/>
          <w:trHeight w:val="612"/>
        </w:trPr>
        <w:tc>
          <w:tcPr>
            <w:tcW w:w="1951" w:type="dxa"/>
            <w:vMerge w:val="restart"/>
          </w:tcPr>
          <w:p w:rsidR="00F82325" w:rsidRPr="00532F44" w:rsidRDefault="00F82325" w:rsidP="00920A0B">
            <w:pPr>
              <w:rPr>
                <w:b/>
              </w:rPr>
            </w:pPr>
            <w:r w:rsidRPr="00532F44">
              <w:rPr>
                <w:b/>
              </w:rPr>
              <w:t>Utilities</w:t>
            </w:r>
          </w:p>
        </w:tc>
        <w:tc>
          <w:tcPr>
            <w:tcW w:w="3497" w:type="dxa"/>
          </w:tcPr>
          <w:p w:rsidR="00F82325" w:rsidRPr="00532F44" w:rsidRDefault="00F82325" w:rsidP="00920A0B">
            <w:r w:rsidRPr="00532F44">
              <w:t>Baseline utilities by age and gender</w:t>
            </w:r>
          </w:p>
        </w:tc>
        <w:tc>
          <w:tcPr>
            <w:tcW w:w="4299" w:type="dxa"/>
          </w:tcPr>
          <w:p w:rsidR="00F82325" w:rsidRPr="00532F44" w:rsidRDefault="00F82325" w:rsidP="00920A0B">
            <w:r w:rsidRPr="00532F44">
              <w:t>Regression based approach</w:t>
            </w:r>
          </w:p>
        </w:tc>
        <w:tc>
          <w:tcPr>
            <w:tcW w:w="3969" w:type="dxa"/>
          </w:tcPr>
          <w:p w:rsidR="00F82325" w:rsidRPr="00532F44" w:rsidRDefault="00F82325" w:rsidP="00920A0B">
            <w:proofErr w:type="spellStart"/>
            <w:r w:rsidRPr="00532F44">
              <w:t>Ara</w:t>
            </w:r>
            <w:proofErr w:type="spellEnd"/>
            <w:r w:rsidRPr="00532F44">
              <w:t xml:space="preserve"> et al 2010 </w:t>
            </w:r>
            <w:r w:rsidRPr="00532F44">
              <w:fldChar w:fldCharType="begin" w:fldLock="1"/>
            </w:r>
            <w:r>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"[24]" }, "properties" : { "noteIndex" : 0 }, "schema" : "https://github.com/citation-style-language/schema/raw/master/csl-citation.json" }</w:instrText>
            </w:r>
            <w:r w:rsidRPr="00532F44">
              <w:fldChar w:fldCharType="separate"/>
            </w:r>
            <w:r w:rsidRPr="00F82325">
              <w:rPr>
                <w:noProof/>
              </w:rPr>
              <w:t>[24]</w:t>
            </w:r>
            <w:r w:rsidRPr="00532F44">
              <w:fldChar w:fldCharType="end"/>
            </w:r>
          </w:p>
          <w:p w:rsidR="00F82325" w:rsidRPr="00532F44" w:rsidRDefault="00F82325" w:rsidP="00920A0B"/>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Utility multiplier following stroke, utility multiplier following major non-fatal intracranial bleed</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920A0B">
            <w:r w:rsidRPr="00532F44">
              <w:t xml:space="preserve">Method described in report results published in </w:t>
            </w:r>
          </w:p>
          <w:p w:rsidR="00F82325" w:rsidRPr="00532F44" w:rsidRDefault="00F82325" w:rsidP="00920A0B">
            <w:proofErr w:type="spellStart"/>
            <w:r w:rsidRPr="00532F44">
              <w:t>Rivero</w:t>
            </w:r>
            <w:proofErr w:type="spellEnd"/>
            <w:r w:rsidRPr="00532F44">
              <w:t xml:space="preserve">-Arias et al 2010 </w:t>
            </w:r>
            <w:r w:rsidRPr="00532F44">
              <w:fldChar w:fldCharType="begin" w:fldLock="1"/>
            </w:r>
            <w:r>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p>
        </w:tc>
      </w:tr>
      <w:tr w:rsidR="00F82325" w:rsidRPr="00532F44" w:rsidTr="003225C4">
        <w:trPr>
          <w:divId w:val="1548566716"/>
          <w:trHeight w:val="304"/>
        </w:trPr>
        <w:tc>
          <w:tcPr>
            <w:tcW w:w="1951" w:type="dxa"/>
            <w:vMerge w:val="restart"/>
          </w:tcPr>
          <w:p w:rsidR="00F82325" w:rsidRPr="00532F44" w:rsidRDefault="00F82325" w:rsidP="00920A0B">
            <w:pPr>
              <w:rPr>
                <w:b/>
              </w:rPr>
            </w:pPr>
            <w:r w:rsidRPr="00532F44">
              <w:rPr>
                <w:b/>
              </w:rPr>
              <w:t>Costs</w:t>
            </w:r>
          </w:p>
        </w:tc>
        <w:tc>
          <w:tcPr>
            <w:tcW w:w="3497" w:type="dxa"/>
          </w:tcPr>
          <w:p w:rsidR="00F82325" w:rsidRPr="00532F44" w:rsidRDefault="00F82325" w:rsidP="00920A0B">
            <w:r w:rsidRPr="00532F44">
              <w:t xml:space="preserve">Annual cost of </w:t>
            </w:r>
            <w:proofErr w:type="spellStart"/>
            <w:r w:rsidRPr="00532F44">
              <w:t>dabigatran</w:t>
            </w:r>
            <w:proofErr w:type="spellEnd"/>
          </w:p>
        </w:tc>
        <w:tc>
          <w:tcPr>
            <w:tcW w:w="4299" w:type="dxa"/>
          </w:tcPr>
          <w:p w:rsidR="00F82325" w:rsidRPr="00532F44" w:rsidRDefault="00F82325" w:rsidP="00621BC9">
            <w:r w:rsidRPr="00532F44">
              <w:t>£</w:t>
            </w:r>
            <w:r>
              <w:t>920</w:t>
            </w:r>
            <w:r w:rsidRPr="00532F44">
              <w:t>.</w:t>
            </w:r>
            <w:r>
              <w:t>43</w:t>
            </w:r>
          </w:p>
        </w:tc>
        <w:tc>
          <w:tcPr>
            <w:tcW w:w="3969" w:type="dxa"/>
          </w:tcPr>
          <w:p w:rsidR="00F82325" w:rsidRPr="00532F44" w:rsidRDefault="00F82325" w:rsidP="003225C4">
            <w:r w:rsidRPr="00532F44">
              <w:t xml:space="preserve">NICE FAD, 2011   </w:t>
            </w:r>
            <w:r w:rsidRPr="00532F44">
              <w:fldChar w:fldCharType="begin" w:fldLock="1"/>
            </w:r>
            <w:r>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"[25]" }, "properties" : { "noteIndex" : 0 }, "schema" : "https://github.com/citation-style-language/schema/raw/master/csl-citation.json" }</w:instrText>
            </w:r>
            <w:r w:rsidRPr="00532F44">
              <w:fldChar w:fldCharType="separate"/>
            </w:r>
            <w:r w:rsidRPr="00F82325">
              <w:rPr>
                <w:noProof/>
              </w:rPr>
              <w:t>[25]</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t xml:space="preserve">Annual cost of </w:t>
            </w:r>
            <w:proofErr w:type="spellStart"/>
            <w:r>
              <w:t>rivaroxaban</w:t>
            </w:r>
            <w:proofErr w:type="spellEnd"/>
          </w:p>
        </w:tc>
        <w:tc>
          <w:tcPr>
            <w:tcW w:w="4299" w:type="dxa"/>
          </w:tcPr>
          <w:p w:rsidR="00F82325" w:rsidRPr="00532F44" w:rsidRDefault="00F82325" w:rsidP="00920A0B">
            <w:r>
              <w:t>£767</w:t>
            </w:r>
          </w:p>
        </w:tc>
        <w:tc>
          <w:tcPr>
            <w:tcW w:w="3969" w:type="dxa"/>
          </w:tcPr>
          <w:p w:rsidR="00F82325" w:rsidRPr="00532F44" w:rsidRDefault="00F82325" w:rsidP="003225C4">
            <w:r>
              <w:t xml:space="preserve">London New Drugs Group </w:t>
            </w:r>
            <w:r>
              <w:fldChar w:fldCharType="begin" w:fldLock="1"/>
            </w:r>
            <w:r>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"[26]" }, "properties" : { "noteIndex" : 0 }, "schema" : "https://github.com/citation-style-language/schema/raw/master/csl-citation.json" }</w:instrText>
            </w:r>
            <w:r>
              <w:fldChar w:fldCharType="separate"/>
            </w:r>
            <w:r w:rsidRPr="00F82325">
              <w:rPr>
                <w:noProof/>
              </w:rPr>
              <w:t>[26]</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Default="00F82325" w:rsidP="00920A0B">
            <w:r>
              <w:t>Annual cost of warfarin</w:t>
            </w:r>
          </w:p>
        </w:tc>
        <w:tc>
          <w:tcPr>
            <w:tcW w:w="4299" w:type="dxa"/>
          </w:tcPr>
          <w:p w:rsidR="00F82325" w:rsidRDefault="00F82325" w:rsidP="00920A0B">
            <w:r>
              <w:t>£252 to £259 including monitoring costs</w:t>
            </w:r>
          </w:p>
        </w:tc>
        <w:tc>
          <w:tcPr>
            <w:tcW w:w="3969" w:type="dxa"/>
          </w:tcPr>
          <w:p w:rsidR="00F82325" w:rsidRPr="00532F44" w:rsidRDefault="00F82325" w:rsidP="003225C4">
            <w:r>
              <w:t xml:space="preserve">BNF </w:t>
            </w:r>
            <w:r>
              <w:fldChar w:fldCharType="begin" w:fldLock="1"/>
            </w:r>
            <w:r>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"[27]" }, "properties" : { "noteIndex" : 0 }, "schema" : "https://github.com/citation-style-language/schema/raw/master/csl-citation.json" }</w:instrText>
            </w:r>
            <w:r>
              <w:fldChar w:fldCharType="separate"/>
            </w:r>
            <w:r w:rsidRPr="00F82325">
              <w:rPr>
                <w:noProof/>
              </w:rPr>
              <w:t>[27]</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621BC9" w:rsidRDefault="00F82325" w:rsidP="00B13ECE">
            <w:r w:rsidRPr="00621BC9">
              <w:t>Cost of TTE</w:t>
            </w:r>
          </w:p>
        </w:tc>
        <w:tc>
          <w:tcPr>
            <w:tcW w:w="4299" w:type="dxa"/>
          </w:tcPr>
          <w:p w:rsidR="00F82325" w:rsidRPr="00532F44" w:rsidRDefault="00F82325" w:rsidP="00B13ECE">
            <w:r w:rsidRPr="00532F44">
              <w:t>£66</w:t>
            </w:r>
          </w:p>
        </w:tc>
        <w:tc>
          <w:tcPr>
            <w:tcW w:w="3969" w:type="dxa"/>
          </w:tcPr>
          <w:p w:rsidR="00F82325" w:rsidRPr="00532F44" w:rsidRDefault="00F82325" w:rsidP="00B13ECE">
            <w:r w:rsidRPr="00532F44">
              <w:t xml:space="preserve">NHS Reference Costs </w:t>
            </w:r>
            <w:r>
              <w:fldChar w:fldCharType="begin" w:fldLock="1"/>
            </w:r>
            <w:r>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fldChar w:fldCharType="separate"/>
            </w:r>
            <w:r w:rsidRPr="00F82325">
              <w:rPr>
                <w:noProof/>
              </w:rPr>
              <w:t>[28]</w:t>
            </w:r>
            <w:r>
              <w:fldChar w:fldCharType="end"/>
            </w:r>
          </w:p>
        </w:tc>
      </w:tr>
      <w:tr w:rsidR="00F82325" w:rsidRPr="00532F44" w:rsidTr="003225C4">
        <w:trPr>
          <w:divId w:val="1548566716"/>
          <w:trHeight w:val="399"/>
        </w:trPr>
        <w:tc>
          <w:tcPr>
            <w:tcW w:w="1951" w:type="dxa"/>
            <w:vMerge/>
          </w:tcPr>
          <w:p w:rsidR="00F82325" w:rsidRPr="00532F44" w:rsidRDefault="00F82325" w:rsidP="00920A0B"/>
        </w:tc>
        <w:tc>
          <w:tcPr>
            <w:tcW w:w="3497" w:type="dxa"/>
          </w:tcPr>
          <w:p w:rsidR="00F82325" w:rsidRPr="00532F44" w:rsidRDefault="00F82325" w:rsidP="00920A0B">
            <w:r w:rsidRPr="00532F44">
              <w:t>Cost of death due to stroke</w:t>
            </w:r>
          </w:p>
        </w:tc>
        <w:tc>
          <w:tcPr>
            <w:tcW w:w="4299" w:type="dxa"/>
          </w:tcPr>
          <w:p w:rsidR="00F82325" w:rsidRPr="00532F44" w:rsidRDefault="00F82325" w:rsidP="00920A0B">
            <w:r w:rsidRPr="00532F44">
              <w:t xml:space="preserve">£7,019 (95% </w:t>
            </w:r>
            <w:proofErr w:type="spellStart"/>
            <w:r w:rsidRPr="00532F44">
              <w:t>CrI</w:t>
            </w:r>
            <w:proofErr w:type="spellEnd"/>
            <w:r w:rsidRPr="00532F44">
              <w:t xml:space="preserve"> £6,975 to £7,064)</w:t>
            </w:r>
          </w:p>
        </w:tc>
        <w:tc>
          <w:tcPr>
            <w:tcW w:w="3969" w:type="dxa"/>
          </w:tcPr>
          <w:p w:rsidR="00F82325" w:rsidRPr="00532F44" w:rsidRDefault="00F82325" w:rsidP="003225C4">
            <w:proofErr w:type="spellStart"/>
            <w:r w:rsidRPr="00532F44">
              <w:t>Sandercock</w:t>
            </w:r>
            <w:proofErr w:type="spellEnd"/>
            <w:r w:rsidRPr="00532F44">
              <w:t xml:space="preserve"> et al 2002 </w:t>
            </w:r>
            <w:r w:rsidRPr="00532F44">
              <w:fldChar w:fldCharType="begin" w:fldLock="1"/>
            </w:r>
            <w:r>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"[29]" }, "properties" : { "noteIndex" : 0 }, "schema" : "https://github.com/citation-style-language/schema/raw/master/csl-citation.json" }</w:instrText>
            </w:r>
            <w:r w:rsidRPr="00532F44">
              <w:fldChar w:fldCharType="separate"/>
            </w:r>
            <w:r w:rsidRPr="00F82325">
              <w:rPr>
                <w:noProof/>
              </w:rPr>
              <w:t>[29]</w:t>
            </w:r>
            <w:r w:rsidRPr="00532F44">
              <w:fldChar w:fldCharType="end"/>
            </w:r>
          </w:p>
        </w:tc>
      </w:tr>
      <w:tr w:rsidR="00F82325" w:rsidRPr="00532F44" w:rsidTr="003225C4">
        <w:trPr>
          <w:divId w:val="1548566716"/>
          <w:trHeight w:val="1128"/>
        </w:trPr>
        <w:tc>
          <w:tcPr>
            <w:tcW w:w="1951" w:type="dxa"/>
            <w:vMerge/>
          </w:tcPr>
          <w:p w:rsidR="00F82325" w:rsidRPr="00532F44" w:rsidRDefault="00F82325" w:rsidP="00920A0B"/>
        </w:tc>
        <w:tc>
          <w:tcPr>
            <w:tcW w:w="3497" w:type="dxa"/>
          </w:tcPr>
          <w:p w:rsidR="00F82325" w:rsidRPr="00532F44" w:rsidRDefault="00F82325" w:rsidP="00920A0B">
            <w:r w:rsidRPr="00532F44">
              <w:t>Costs in stroke survivors</w:t>
            </w:r>
          </w:p>
        </w:tc>
        <w:tc>
          <w:tcPr>
            <w:tcW w:w="4299" w:type="dxa"/>
          </w:tcPr>
          <w:p w:rsidR="00F82325" w:rsidRPr="00532F44" w:rsidRDefault="00F82325" w:rsidP="00920A0B">
            <w:r w:rsidRPr="00532F44">
              <w:t>Various. Differing according to dependent and independent states. Subdivided into ongoing and continuing costs</w:t>
            </w:r>
          </w:p>
        </w:tc>
        <w:tc>
          <w:tcPr>
            <w:tcW w:w="3969" w:type="dxa"/>
          </w:tcPr>
          <w:p w:rsidR="00F82325" w:rsidRPr="00532F44" w:rsidRDefault="00F82325" w:rsidP="00920A0B">
            <w:r w:rsidRPr="00532F44">
              <w:t xml:space="preserve">NHS Reference Costs </w:t>
            </w:r>
            <w:r w:rsidRPr="00532F44">
              <w:fldChar w:fldCharType="begin" w:fldLock="1"/>
            </w:r>
            <w:r>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r w:rsidRPr="00532F44">
              <w:t xml:space="preserve">NHS Stroke Strategy Impact Assessment  </w:t>
            </w:r>
            <w:r w:rsidRPr="00532F44">
              <w:fldChar w:fldCharType="begin" w:fldLock="1"/>
            </w:r>
            <w:r>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"[30]" }, "properties" : { "noteIndex" : 0 }, "schema" : "https://github.com/citation-style-language/schema/raw/master/csl-citation.json" }</w:instrText>
            </w:r>
            <w:r w:rsidRPr="00532F44">
              <w:fldChar w:fldCharType="separate"/>
            </w:r>
            <w:r w:rsidRPr="00F82325">
              <w:rPr>
                <w:noProof/>
              </w:rPr>
              <w:t>[30]</w:t>
            </w:r>
            <w:r w:rsidRPr="00532F44">
              <w:fldChar w:fldCharType="end"/>
            </w:r>
          </w:p>
          <w:p w:rsidR="00F82325" w:rsidRPr="00532F44" w:rsidRDefault="00F82325" w:rsidP="003225C4">
            <w:r w:rsidRPr="00532F44">
              <w:t xml:space="preserve">Unit Costs of Health and Social Care 2010 </w:t>
            </w:r>
            <w:r w:rsidRPr="00532F44">
              <w:fldChar w:fldCharType="begin" w:fldLock="1"/>
            </w:r>
            <w:r>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"[31]" }, "properties" : { "noteIndex" : 0 }, "schema" : "https://github.com/citation-style-language/schema/raw/master/csl-citation.json" }</w:instrText>
            </w:r>
            <w:r w:rsidRPr="00532F44">
              <w:fldChar w:fldCharType="separate"/>
            </w:r>
            <w:r w:rsidRPr="00F82325">
              <w:rPr>
                <w:noProof/>
              </w:rPr>
              <w:t>[31]</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rsidRPr="00532F44">
              <w:t>Costs of fatal bleed</w:t>
            </w:r>
          </w:p>
        </w:tc>
        <w:tc>
          <w:tcPr>
            <w:tcW w:w="8268" w:type="dxa"/>
            <w:gridSpan w:val="2"/>
          </w:tcPr>
          <w:p w:rsidR="00F82325" w:rsidRPr="00532F44" w:rsidRDefault="00F82325" w:rsidP="00920A0B">
            <w:r w:rsidRPr="00532F44">
              <w:t>Assumed identical to costs of death due to stroke</w:t>
            </w:r>
          </w:p>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Costs of nonfatal bleed</w:t>
            </w:r>
          </w:p>
        </w:tc>
        <w:tc>
          <w:tcPr>
            <w:tcW w:w="4299" w:type="dxa"/>
          </w:tcPr>
          <w:p w:rsidR="00F82325" w:rsidRPr="00532F44" w:rsidRDefault="00F82325" w:rsidP="00920A0B">
            <w:r w:rsidRPr="00532F44">
              <w:t>Various</w:t>
            </w:r>
          </w:p>
          <w:p w:rsidR="00F82325" w:rsidRPr="00532F44" w:rsidRDefault="00F82325" w:rsidP="00920A0B">
            <w:pPr>
              <w:jc w:val="left"/>
            </w:pPr>
            <w:r w:rsidRPr="00532F44">
              <w:lastRenderedPageBreak/>
              <w:t>Depends on whether bleed is gastrointestinal or intracranial. If intracranial, depends on severity of resulting disability</w:t>
            </w:r>
          </w:p>
        </w:tc>
        <w:tc>
          <w:tcPr>
            <w:tcW w:w="3969" w:type="dxa"/>
          </w:tcPr>
          <w:p w:rsidR="00F82325" w:rsidRPr="00532F44" w:rsidRDefault="00F82325" w:rsidP="00920A0B">
            <w:pPr>
              <w:keepNext/>
            </w:pPr>
            <w:r w:rsidRPr="00532F44">
              <w:lastRenderedPageBreak/>
              <w:t xml:space="preserve">NHS Reference Costs </w:t>
            </w:r>
            <w:r w:rsidRPr="00532F44">
              <w:fldChar w:fldCharType="begin" w:fldLock="1"/>
            </w:r>
            <w:r>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pPr>
              <w:keepNext/>
            </w:pPr>
          </w:p>
        </w:tc>
      </w:tr>
    </w:tbl>
    <w:p w:rsidR="00834F71" w:rsidRPr="00532F44" w:rsidRDefault="00834F71" w:rsidP="00834F71">
      <w:pPr>
        <w:pStyle w:val="Caption"/>
        <w:divId w:val="1548566716"/>
        <w:rPr>
          <w:color w:val="auto"/>
        </w:rPr>
      </w:pPr>
      <w:bookmarkStart w:id="5" w:name="_Ref321401422"/>
      <w:r w:rsidRPr="00532F44">
        <w:rPr>
          <w:color w:val="auto"/>
        </w:rPr>
        <w:lastRenderedPageBreak/>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8D3B31">
        <w:rPr>
          <w:noProof/>
          <w:color w:val="auto"/>
        </w:rPr>
        <w:t>2</w:t>
      </w:r>
      <w:r w:rsidR="002F05E5" w:rsidRPr="00532F44">
        <w:rPr>
          <w:noProof/>
          <w:color w:val="auto"/>
        </w:rPr>
        <w:fldChar w:fldCharType="end"/>
      </w:r>
      <w:bookmarkEnd w:id="5"/>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9885" w:type="dxa"/>
        <w:tblLayout w:type="fixed"/>
        <w:tblLook w:val="04A0" w:firstRow="1" w:lastRow="0" w:firstColumn="1" w:lastColumn="0" w:noHBand="0" w:noVBand="1"/>
      </w:tblPr>
      <w:tblGrid>
        <w:gridCol w:w="301"/>
        <w:gridCol w:w="1506"/>
        <w:gridCol w:w="1134"/>
        <w:gridCol w:w="993"/>
        <w:gridCol w:w="850"/>
        <w:gridCol w:w="851"/>
        <w:gridCol w:w="1274"/>
        <w:gridCol w:w="1417"/>
        <w:gridCol w:w="718"/>
        <w:gridCol w:w="841"/>
      </w:tblGrid>
      <w:tr w:rsidR="0055657D" w:rsidRPr="00532F44" w:rsidTr="0055657D">
        <w:trPr>
          <w:divId w:val="1548566716"/>
        </w:trPr>
        <w:tc>
          <w:tcPr>
            <w:tcW w:w="301" w:type="dxa"/>
            <w:vMerge w:val="restart"/>
            <w:tcBorders>
              <w:top w:val="nil"/>
              <w:left w:val="nil"/>
              <w:right w:val="single" w:sz="4" w:space="0" w:color="auto"/>
            </w:tcBorders>
          </w:tcPr>
          <w:p w:rsidR="0055657D" w:rsidRPr="00532F44" w:rsidRDefault="0055657D" w:rsidP="00920A0B">
            <w:pPr>
              <w:rPr>
                <w:rFonts w:ascii="Times New Roman" w:eastAsia="Times New Roman" w:hAnsi="Times New Roman"/>
              </w:rPr>
            </w:pPr>
          </w:p>
        </w:tc>
        <w:tc>
          <w:tcPr>
            <w:tcW w:w="1506" w:type="dxa"/>
            <w:vMerge w:val="restart"/>
            <w:tcBorders>
              <w:top w:val="single" w:sz="4" w:space="0" w:color="auto"/>
              <w:left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Strategy</w:t>
            </w:r>
          </w:p>
        </w:tc>
        <w:tc>
          <w:tcPr>
            <w:tcW w:w="1134"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Average Number of Events</w:t>
            </w:r>
          </w:p>
        </w:tc>
      </w:tr>
      <w:tr w:rsidR="0055657D" w:rsidRPr="00532F44" w:rsidTr="0055657D">
        <w:trPr>
          <w:divId w:val="1548566716"/>
        </w:trPr>
        <w:tc>
          <w:tcPr>
            <w:tcW w:w="301" w:type="dxa"/>
            <w:vMerge/>
            <w:tcBorders>
              <w:left w:val="nil"/>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vMerge/>
            <w:tcBorders>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Life Years</w:t>
            </w:r>
          </w:p>
        </w:tc>
        <w:tc>
          <w:tcPr>
            <w:tcW w:w="993"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Stroke</w:t>
            </w:r>
          </w:p>
        </w:tc>
        <w:tc>
          <w:tcPr>
            <w:tcW w:w="850"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Bleed</w:t>
            </w:r>
          </w:p>
        </w:tc>
        <w:tc>
          <w:tcPr>
            <w:tcW w:w="85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Other</w:t>
            </w:r>
          </w:p>
        </w:tc>
        <w:tc>
          <w:tcPr>
            <w:tcW w:w="127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Dependent Strokes</w:t>
            </w:r>
          </w:p>
        </w:tc>
        <w:tc>
          <w:tcPr>
            <w:tcW w:w="1417"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ICH</w:t>
            </w:r>
          </w:p>
        </w:tc>
        <w:tc>
          <w:tcPr>
            <w:tcW w:w="84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NICH</w:t>
            </w:r>
          </w:p>
        </w:tc>
      </w:tr>
      <w:tr w:rsidR="0055657D" w:rsidRPr="00532F44" w:rsidTr="0055657D">
        <w:trPr>
          <w:divId w:val="1548566716"/>
        </w:trPr>
        <w:tc>
          <w:tcPr>
            <w:tcW w:w="301" w:type="dxa"/>
            <w:vMerge w:val="restart"/>
            <w:tcBorders>
              <w:top w:val="single" w:sz="4" w:space="0" w:color="auto"/>
              <w:left w:val="single" w:sz="4" w:space="0" w:color="auto"/>
              <w:right w:val="single" w:sz="4" w:space="0" w:color="auto"/>
            </w:tcBorders>
            <w:textDirection w:val="btLr"/>
            <w:hideMark/>
          </w:tcPr>
          <w:p w:rsidR="0055657D" w:rsidRPr="00532F44" w:rsidRDefault="006C3CB6" w:rsidP="0055657D">
            <w:pPr>
              <w:ind w:left="29" w:right="113"/>
              <w:rPr>
                <w:rFonts w:ascii="Times New Roman" w:eastAsia="Times New Roman" w:hAnsi="Times New Roman"/>
              </w:rPr>
            </w:pPr>
            <w:r>
              <w:rPr>
                <w:rFonts w:ascii="Times New Roman" w:eastAsia="Times New Roman" w:hAnsi="Times New Roman"/>
              </w:rPr>
              <w:t>warfarin</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0.075</w:t>
            </w:r>
          </w:p>
        </w:tc>
      </w:tr>
      <w:tr w:rsidR="0055657D" w:rsidRPr="00532F44" w:rsidTr="0055657D">
        <w:trPr>
          <w:divId w:val="1548566716"/>
          <w:trHeight w:val="988"/>
        </w:trPr>
        <w:tc>
          <w:tcPr>
            <w:tcW w:w="301" w:type="dxa"/>
            <w:vMerge/>
            <w:tcBorders>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0.112</w:t>
            </w:r>
          </w:p>
        </w:tc>
      </w:tr>
      <w:tr w:rsidR="0055657D" w:rsidRPr="00532F44" w:rsidTr="0055657D">
        <w:trPr>
          <w:divId w:val="1548566716"/>
          <w:trHeight w:val="234"/>
        </w:trPr>
        <w:tc>
          <w:tcPr>
            <w:tcW w:w="301" w:type="dxa"/>
            <w:vMerge w:val="restart"/>
            <w:tcBorders>
              <w:left w:val="single" w:sz="4" w:space="0" w:color="auto"/>
              <w:right w:val="single" w:sz="4" w:space="0" w:color="auto"/>
            </w:tcBorders>
            <w:textDirection w:val="btLr"/>
          </w:tcPr>
          <w:p w:rsidR="0055657D" w:rsidRPr="00532F44" w:rsidRDefault="006C3CB6" w:rsidP="0055657D">
            <w:pPr>
              <w:spacing w:line="276" w:lineRule="auto"/>
              <w:ind w:left="113" w:right="113"/>
              <w:jc w:val="left"/>
              <w:rPr>
                <w:rFonts w:ascii="Times New Roman" w:eastAsia="Times New Roman" w:hAnsi="Times New Roman"/>
              </w:rPr>
            </w:pPr>
            <w:proofErr w:type="spellStart"/>
            <w:r>
              <w:rPr>
                <w:rFonts w:ascii="Times New Roman" w:eastAsia="Times New Roman" w:hAnsi="Times New Roman"/>
              </w:rPr>
              <w:t>rivaraxoaban</w:t>
            </w:r>
            <w:proofErr w:type="spellEnd"/>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28.861</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11.5</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1.3</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87.2</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0.117</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0.239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0.010</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0.075</w:t>
            </w:r>
          </w:p>
        </w:tc>
      </w:tr>
      <w:tr w:rsidR="0055657D" w:rsidRPr="00532F44" w:rsidTr="00920A0B">
        <w:trPr>
          <w:divId w:val="1548566716"/>
          <w:trHeight w:val="213"/>
        </w:trPr>
        <w:tc>
          <w:tcPr>
            <w:tcW w:w="301" w:type="dxa"/>
            <w:vMerge/>
            <w:tcBorders>
              <w:left w:val="single" w:sz="4" w:space="0" w:color="auto"/>
              <w:bottom w:val="single" w:sz="4" w:space="0" w:color="auto"/>
              <w:right w:val="single" w:sz="4" w:space="0" w:color="auto"/>
            </w:tcBorders>
          </w:tcPr>
          <w:p w:rsidR="0055657D" w:rsidRPr="00532F44" w:rsidRDefault="0055657D" w:rsidP="0055657D">
            <w:pPr>
              <w:spacing w:line="276" w:lineRule="auto"/>
              <w:jc w:val="left"/>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28.963</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10.5</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1.8</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87.6</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0.108</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0.219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0.014</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0.113</w:t>
            </w:r>
          </w:p>
        </w:tc>
      </w:tr>
      <w:tr w:rsidR="0055657D" w:rsidRPr="00532F44" w:rsidTr="0055657D">
        <w:trPr>
          <w:divId w:val="1548566716"/>
        </w:trPr>
        <w:tc>
          <w:tcPr>
            <w:tcW w:w="9885" w:type="dxa"/>
            <w:gridSpan w:val="10"/>
            <w:tcBorders>
              <w:top w:val="single" w:sz="4" w:space="0" w:color="auto"/>
              <w:left w:val="nil"/>
              <w:bottom w:val="nil"/>
              <w:right w:val="nil"/>
            </w:tcBorders>
            <w:hideMark/>
          </w:tcPr>
          <w:p w:rsidR="0055657D" w:rsidRPr="00532F44" w:rsidRDefault="0055657D" w:rsidP="00920A0B">
            <w:pPr>
              <w:rPr>
                <w:rFonts w:ascii="Times New Roman" w:eastAsia="Times New Roman" w:hAnsi="Times New Roman"/>
              </w:rPr>
            </w:pPr>
            <w:r w:rsidRPr="00532F44">
              <w:t xml:space="preserve">TTE = Transthoracic Echocardiography; LA ABN = Left Atrial Abnormality; ICH = Intracranial </w:t>
            </w:r>
            <w:proofErr w:type="spellStart"/>
            <w:r w:rsidRPr="00532F44">
              <w:t>haemorrhage</w:t>
            </w:r>
            <w:proofErr w:type="spellEnd"/>
            <w:r w:rsidRPr="00532F44">
              <w:t xml:space="preserve">;  NICH = Non- intracranial </w:t>
            </w:r>
            <w:proofErr w:type="spellStart"/>
            <w:r w:rsidRPr="00532F44">
              <w:t>haemorrhage</w:t>
            </w:r>
            <w:proofErr w:type="spellEnd"/>
            <w:r w:rsidRPr="00532F44">
              <w:t xml:space="preserve"> </w:t>
            </w:r>
          </w:p>
        </w:tc>
      </w:tr>
    </w:tbl>
    <w:p w:rsidR="00834F71" w:rsidRPr="00532F44" w:rsidRDefault="00834F71" w:rsidP="00834F71">
      <w:pPr>
        <w:pStyle w:val="Caption"/>
        <w:divId w:val="1548566716"/>
        <w:rPr>
          <w:color w:val="auto"/>
        </w:rPr>
      </w:pPr>
      <w:bookmarkStart w:id="6" w:name="_Ref321238070"/>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FF7CB5">
        <w:rPr>
          <w:noProof/>
          <w:color w:val="auto"/>
        </w:rPr>
        <w:t>3</w:t>
      </w:r>
      <w:r w:rsidR="002F05E5" w:rsidRPr="00532F44">
        <w:rPr>
          <w:noProof/>
          <w:color w:val="auto"/>
        </w:rPr>
        <w:fldChar w:fldCharType="end"/>
      </w:r>
      <w:bookmarkEnd w:id="6"/>
      <w:r w:rsidRPr="00532F44">
        <w:rPr>
          <w:color w:val="auto"/>
        </w:rPr>
        <w:t xml:space="preserve"> Simulated patient experience: </w:t>
      </w:r>
      <w:r w:rsidR="006C3CB6">
        <w:rPr>
          <w:color w:val="auto"/>
        </w:rPr>
        <w:t xml:space="preserve">fifty year old males </w:t>
      </w:r>
      <w:r w:rsidRPr="00532F44">
        <w:rPr>
          <w:color w:val="auto"/>
        </w:rPr>
        <w:t xml:space="preserve">with a </w:t>
      </w:r>
      <w:r w:rsidR="006C3CB6">
        <w:rPr>
          <w:color w:val="auto"/>
        </w:rPr>
        <w:t>CHADS</w:t>
      </w:r>
      <w:r w:rsidR="006C3CB6" w:rsidRPr="006C3CB6">
        <w:rPr>
          <w:color w:val="auto"/>
          <w:vertAlign w:val="subscript"/>
        </w:rPr>
        <w:t>2</w:t>
      </w:r>
      <w:r w:rsidR="006C3CB6">
        <w:rPr>
          <w:color w:val="auto"/>
        </w:rPr>
        <w:t xml:space="preserve"> score of zero, where the OAC prescribed is either a) warfarin, or b) </w:t>
      </w:r>
      <w:proofErr w:type="spellStart"/>
      <w:r w:rsidR="006C3CB6">
        <w:rPr>
          <w:color w:val="auto"/>
        </w:rPr>
        <w:t>rivaroxaban</w:t>
      </w:r>
      <w:proofErr w:type="spellEnd"/>
      <w:r w:rsidR="006C3CB6">
        <w:rPr>
          <w:color w:val="auto"/>
        </w:rPr>
        <w:t xml:space="preserve"> </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EB3ED4" w:rsidRPr="00532F44" w:rsidRDefault="00273A34" w:rsidP="00273A34">
      <w:pPr>
        <w:pStyle w:val="Caption"/>
        <w:divId w:val="1548566716"/>
        <w:rPr>
          <w:color w:val="auto"/>
        </w:rPr>
      </w:pPr>
      <w:bookmarkStart w:id="7" w:name="_Ref335131627"/>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8D3B31">
        <w:rPr>
          <w:noProof/>
          <w:color w:val="auto"/>
        </w:rPr>
        <w:t>4</w:t>
      </w:r>
      <w:r w:rsidR="002F05E5" w:rsidRPr="00532F44">
        <w:rPr>
          <w:color w:val="auto"/>
        </w:rPr>
        <w:fldChar w:fldCharType="end"/>
      </w:r>
      <w:bookmarkEnd w:id="7"/>
      <w:r w:rsidRPr="00532F44">
        <w:rPr>
          <w:color w:val="auto"/>
        </w:rPr>
        <w:t xml:space="preserve"> Cost effectiveness information for the scenario where TTE is used to inform the decision whether to prescribe Warfarin to fifty year old males with an initial CHADS</w:t>
      </w:r>
      <w:r w:rsidRPr="00532F44">
        <w:rPr>
          <w:color w:val="auto"/>
          <w:vertAlign w:val="subscript"/>
        </w:rPr>
        <w:t>2</w:t>
      </w:r>
      <w:r w:rsidRPr="00532F44">
        <w:rPr>
          <w:color w:val="auto"/>
        </w:rPr>
        <w:t xml:space="preserve"> score of zero (Dashed lines in the cost-effectiveness acceptability frontier indicate that the No TTE strategy is optimal, and solid lines indicate that the TTE strategy is optimal)</w:t>
      </w:r>
    </w:p>
    <w:tbl>
      <w:tblPr>
        <w:tblStyle w:val="TableGrid"/>
        <w:tblW w:w="0" w:type="auto"/>
        <w:tblLook w:val="04A0" w:firstRow="1" w:lastRow="0" w:firstColumn="1" w:lastColumn="0" w:noHBand="0" w:noVBand="1"/>
      </w:tblPr>
      <w:tblGrid>
        <w:gridCol w:w="7087"/>
        <w:gridCol w:w="7087"/>
      </w:tblGrid>
      <w:tr w:rsidR="004A0CFF" w:rsidRPr="00532F44" w:rsidTr="006D0808">
        <w:trPr>
          <w:divId w:val="1548566716"/>
          <w:trHeight w:val="4734"/>
        </w:trPr>
        <w:tc>
          <w:tcPr>
            <w:tcW w:w="7087" w:type="dxa"/>
          </w:tcPr>
          <w:p w:rsidR="004A0CFF" w:rsidRPr="00532F44" w:rsidRDefault="004A0CFF" w:rsidP="00920A0B">
            <w:pPr>
              <w:jc w:val="center"/>
            </w:pPr>
            <w:r w:rsidRPr="00532F44">
              <w:rPr>
                <w:noProof/>
                <w:lang w:val="en-GB" w:eastAsia="en-GB"/>
              </w:rPr>
              <w:drawing>
                <wp:inline distT="0" distB="0" distL="0" distR="0">
                  <wp:extent cx="2910177" cy="2910177"/>
                  <wp:effectExtent l="0" t="0" r="0" b="0"/>
                  <wp:docPr id="3"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1749" cy="2911749"/>
                          </a:xfrm>
                          <a:prstGeom prst="rect">
                            <a:avLst/>
                          </a:prstGeom>
                          <a:noFill/>
                          <a:ln>
                            <a:noFill/>
                          </a:ln>
                        </pic:spPr>
                      </pic:pic>
                    </a:graphicData>
                  </a:graphic>
                </wp:inline>
              </w:drawing>
            </w:r>
          </w:p>
        </w:tc>
        <w:tc>
          <w:tcPr>
            <w:tcW w:w="7087" w:type="dxa"/>
          </w:tcPr>
          <w:p w:rsidR="004A0CFF" w:rsidRPr="00532F44" w:rsidRDefault="004A0CFF" w:rsidP="00920A0B">
            <w:pPr>
              <w:jc w:val="center"/>
            </w:pPr>
            <w:r w:rsidRPr="00532F44">
              <w:rPr>
                <w:noProof/>
                <w:lang w:val="en-GB" w:eastAsia="en-GB"/>
              </w:rPr>
              <w:drawing>
                <wp:inline distT="0" distB="0" distL="0" distR="0">
                  <wp:extent cx="2981739" cy="2981739"/>
                  <wp:effectExtent l="0" t="0" r="0" b="0"/>
                  <wp:docPr id="4"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6113" cy="2986113"/>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a ) Scatterplot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4A0CFF">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920A0B">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13.60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26,408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920A0B">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13.51</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164"/>
        </w:trPr>
        <w:tc>
          <w:tcPr>
            <w:tcW w:w="14174" w:type="dxa"/>
            <w:gridSpan w:val="2"/>
            <w:tcBorders>
              <w:bottom w:val="single" w:sz="4" w:space="0" w:color="auto"/>
            </w:tcBorders>
          </w:tcPr>
          <w:p w:rsidR="004A0CFF" w:rsidRPr="00532F44" w:rsidRDefault="004A0CFF" w:rsidP="00920A0B">
            <w:pPr>
              <w:jc w:val="center"/>
              <w:rPr>
                <w:rFonts w:eastAsia="Times New Roman" w:cs="Calibri"/>
                <w:b/>
                <w:bCs/>
                <w:i/>
                <w:iCs/>
                <w:lang w:eastAsia="en-GB"/>
              </w:rPr>
            </w:pPr>
            <w:r w:rsidRPr="00532F44">
              <w:t>c) Mean costs, QALYs and ICERs</w:t>
            </w:r>
          </w:p>
        </w:tc>
      </w:tr>
    </w:tbl>
    <w:p w:rsidR="00FF7CB5" w:rsidRDefault="00FF7CB5" w:rsidP="00273A34">
      <w:pPr>
        <w:pStyle w:val="Caption"/>
        <w:divId w:val="1548566716"/>
        <w:rPr>
          <w:color w:val="auto"/>
        </w:rPr>
      </w:pPr>
      <w:bookmarkStart w:id="8" w:name="_Ref335131630"/>
    </w:p>
    <w:p w:rsidR="00FF7CB5" w:rsidRDefault="00FF7CB5" w:rsidP="00FF7CB5">
      <w:pPr>
        <w:rPr>
          <w:sz w:val="18"/>
          <w:szCs w:val="18"/>
          <w:lang w:val="en-GB"/>
        </w:rPr>
      </w:pPr>
      <w:r>
        <w:br w:type="page"/>
      </w:r>
    </w:p>
    <w:p w:rsidR="00273A34" w:rsidRPr="00532F44" w:rsidRDefault="00273A34" w:rsidP="00273A34">
      <w:pPr>
        <w:pStyle w:val="Caption"/>
        <w:divId w:val="1548566716"/>
        <w:rPr>
          <w:color w:val="auto"/>
        </w:rPr>
      </w:pPr>
      <w:bookmarkStart w:id="9" w:name="_Ref342550261"/>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8D3B31">
        <w:rPr>
          <w:noProof/>
          <w:color w:val="auto"/>
        </w:rPr>
        <w:t>5</w:t>
      </w:r>
      <w:r w:rsidR="002F05E5" w:rsidRPr="00532F44">
        <w:rPr>
          <w:color w:val="auto"/>
        </w:rPr>
        <w:fldChar w:fldCharType="end"/>
      </w:r>
      <w:bookmarkEnd w:id="8"/>
      <w:bookmarkEnd w:id="9"/>
      <w:r w:rsidRPr="00532F44">
        <w:rPr>
          <w:color w:val="auto"/>
        </w:rPr>
        <w:t xml:space="preserve"> Cost effectiveness information for the scenario where TTE is used to inform the decision whether to prescribe Warfarin to fifty year old males with an initial CHADS</w:t>
      </w:r>
      <w:r w:rsidRPr="00532F44">
        <w:rPr>
          <w:color w:val="auto"/>
          <w:vertAlign w:val="subscript"/>
        </w:rPr>
        <w:t>2</w:t>
      </w:r>
      <w:r w:rsidRPr="00532F44">
        <w:rPr>
          <w:color w:val="auto"/>
        </w:rPr>
        <w:t xml:space="preserve"> score of </w:t>
      </w:r>
      <w:r w:rsidR="00FF7CB5">
        <w:rPr>
          <w:color w:val="auto"/>
        </w:rPr>
        <w:t>zero</w:t>
      </w:r>
      <w:r w:rsidRPr="00532F44">
        <w:rPr>
          <w:color w:val="auto"/>
        </w:rPr>
        <w:t>(Dashed lines in the cost-effectiveness acceptability frontier indicate that the No TTE strategy is optimal, and solid lines indicate that the TTE strategy is optimal)</w:t>
      </w:r>
    </w:p>
    <w:tbl>
      <w:tblPr>
        <w:tblStyle w:val="TableGrid"/>
        <w:tblW w:w="0" w:type="auto"/>
        <w:tblLook w:val="04A0" w:firstRow="1" w:lastRow="0" w:firstColumn="1" w:lastColumn="0" w:noHBand="0" w:noVBand="1"/>
      </w:tblPr>
      <w:tblGrid>
        <w:gridCol w:w="7087"/>
        <w:gridCol w:w="7087"/>
      </w:tblGrid>
      <w:tr w:rsidR="004A0CFF" w:rsidRPr="00532F44" w:rsidTr="006D0808">
        <w:trPr>
          <w:divId w:val="1548566716"/>
          <w:trHeight w:val="4527"/>
        </w:trPr>
        <w:tc>
          <w:tcPr>
            <w:tcW w:w="7087" w:type="dxa"/>
          </w:tcPr>
          <w:p w:rsidR="004A0CFF" w:rsidRPr="00532F44" w:rsidRDefault="00620AA2" w:rsidP="00920A0B">
            <w:r>
              <w:rPr>
                <w:noProof/>
                <w:lang w:val="en-GB" w:eastAsia="en-GB"/>
              </w:rPr>
              <w:drawing>
                <wp:inline distT="0" distB="0" distL="0" distR="0">
                  <wp:extent cx="2838893" cy="2838893"/>
                  <wp:effectExtent l="0" t="0" r="0" b="0"/>
                  <wp:docPr id="51" name="Picture 51" descr="X:\Echo AF\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cho AF\EchoAF\R\Figures\W_50_1_M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856" cy="2838856"/>
                          </a:xfrm>
                          <a:prstGeom prst="rect">
                            <a:avLst/>
                          </a:prstGeom>
                          <a:noFill/>
                          <a:ln>
                            <a:noFill/>
                          </a:ln>
                        </pic:spPr>
                      </pic:pic>
                    </a:graphicData>
                  </a:graphic>
                </wp:inline>
              </w:drawing>
            </w:r>
          </w:p>
        </w:tc>
        <w:tc>
          <w:tcPr>
            <w:tcW w:w="7087" w:type="dxa"/>
          </w:tcPr>
          <w:p w:rsidR="004A0CFF" w:rsidRPr="00532F44" w:rsidRDefault="00620AA2" w:rsidP="00920A0B">
            <w:r>
              <w:rPr>
                <w:noProof/>
                <w:lang w:val="en-GB" w:eastAsia="en-GB"/>
              </w:rPr>
              <w:drawing>
                <wp:inline distT="0" distB="0" distL="0" distR="0">
                  <wp:extent cx="2913321" cy="2913321"/>
                  <wp:effectExtent l="0" t="0" r="0" b="0"/>
                  <wp:docPr id="52" name="Picture 52" descr="X:\Echo AF\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cho AF\EchoAF\R\Figures\W_50_1_M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284" cy="2913284"/>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a ) Scatterplot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6D0808">
        <w:trPr>
          <w:divId w:val="1548566716"/>
          <w:trHeight w:val="1747"/>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620AA2">
                  <w:pPr>
                    <w:spacing w:after="0" w:line="240" w:lineRule="auto"/>
                    <w:rPr>
                      <w:rFonts w:ascii="Calibri" w:eastAsia="Times New Roman" w:hAnsi="Calibri" w:cs="Calibri"/>
                      <w:b/>
                      <w:bCs/>
                      <w:i/>
                      <w:iCs/>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620AA2">
              <w:trPr>
                <w:trHeight w:val="223"/>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w:t>
                  </w:r>
                  <w:r w:rsidR="00741D85">
                    <w:rPr>
                      <w:rFonts w:ascii="Calibri" w:eastAsia="Times New Roman" w:hAnsi="Calibri" w:cs="Calibri"/>
                      <w:lang w:eastAsia="en-GB"/>
                    </w:rPr>
                    <w:t>7</w:t>
                  </w:r>
                  <w:r w:rsidRPr="00532F44">
                    <w:rPr>
                      <w:rFonts w:ascii="Calibri" w:eastAsia="Times New Roman" w:hAnsi="Calibri" w:cs="Calibri"/>
                      <w:lang w:eastAsia="en-GB"/>
                    </w:rPr>
                    <w:t>,</w:t>
                  </w:r>
                  <w:r w:rsidR="00741D85">
                    <w:rPr>
                      <w:rFonts w:ascii="Calibri" w:eastAsia="Times New Roman" w:hAnsi="Calibri" w:cs="Calibri"/>
                      <w:lang w:eastAsia="en-GB"/>
                    </w:rPr>
                    <w:t>334</w:t>
                  </w:r>
                  <w:r w:rsidRPr="00532F44">
                    <w:rPr>
                      <w:rFonts w:ascii="Calibri" w:eastAsia="Times New Roman" w:hAnsi="Calibri" w:cs="Calibri"/>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741D85" w:rsidP="00920A0B">
                  <w:pPr>
                    <w:spacing w:after="0" w:line="240" w:lineRule="auto"/>
                    <w:jc w:val="right"/>
                    <w:rPr>
                      <w:rFonts w:ascii="Calibri" w:eastAsia="Times New Roman" w:hAnsi="Calibri" w:cs="Calibri"/>
                      <w:lang w:eastAsia="en-GB"/>
                    </w:rPr>
                  </w:pPr>
                  <w:r>
                    <w:rPr>
                      <w:rFonts w:ascii="Calibri" w:eastAsia="Times New Roman" w:hAnsi="Calibri" w:cs="Calibri"/>
                      <w:lang w:eastAsia="en-GB"/>
                    </w:rPr>
                    <w:t>12.00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640262">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w:t>
                  </w:r>
                  <w:r w:rsidR="00640262" w:rsidRPr="00532F44">
                    <w:rPr>
                      <w:rFonts w:ascii="Calibri" w:eastAsia="Times New Roman" w:hAnsi="Calibri" w:cs="Calibri"/>
                      <w:lang w:eastAsia="en-GB"/>
                    </w:rPr>
                    <w:t xml:space="preserve"> </w:t>
                  </w:r>
                  <w:r w:rsidR="00741D85">
                    <w:rPr>
                      <w:rFonts w:ascii="Calibri" w:eastAsia="Times New Roman" w:hAnsi="Calibri" w:cs="Calibri"/>
                      <w:lang w:eastAsia="en-GB"/>
                    </w:rPr>
                    <w:t>6,274</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£ 7,</w:t>
                  </w:r>
                  <w:r w:rsidR="00741D85">
                    <w:rPr>
                      <w:rFonts w:ascii="Calibri" w:eastAsia="Times New Roman" w:hAnsi="Calibri" w:cs="Calibri"/>
                      <w:lang w:eastAsia="en-GB"/>
                    </w:rPr>
                    <w:t>296</w:t>
                  </w:r>
                  <w:r w:rsidRPr="00532F44">
                    <w:rPr>
                      <w:rFonts w:ascii="Calibri" w:eastAsia="Times New Roman" w:hAnsi="Calibri" w:cs="Calibri"/>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w:t>
                  </w:r>
                  <w:r w:rsidR="00741D85">
                    <w:rPr>
                      <w:rFonts w:ascii="Calibri" w:eastAsia="Times New Roman" w:hAnsi="Calibri" w:cs="Calibri"/>
                      <w:lang w:eastAsia="en-GB"/>
                    </w:rPr>
                    <w:t>6</w:t>
                  </w:r>
                  <w:r w:rsidRPr="00532F44">
                    <w:rPr>
                      <w:rFonts w:ascii="Calibri" w:eastAsia="Times New Roman" w:hAnsi="Calibri" w:cs="Calibri"/>
                      <w:lang w:eastAsia="en-GB"/>
                    </w:rPr>
                    <w:t>,2</w:t>
                  </w:r>
                  <w:r w:rsidR="00741D85">
                    <w:rPr>
                      <w:rFonts w:ascii="Calibri" w:eastAsia="Times New Roman" w:hAnsi="Calibri" w:cs="Calibri"/>
                      <w:lang w:eastAsia="en-GB"/>
                    </w:rPr>
                    <w:t>78</w:t>
                  </w:r>
                  <w:r w:rsidRPr="00532F44">
                    <w:rPr>
                      <w:rFonts w:ascii="Calibri" w:eastAsia="Times New Roman" w:hAnsi="Calibri" w:cs="Calibri"/>
                      <w:lang w:eastAsia="en-GB"/>
                    </w:rPr>
                    <w:t xml:space="preserve">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620AA2">
              <w:trPr>
                <w:trHeight w:val="240"/>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w:t>
                  </w:r>
                  <w:r w:rsidR="00741D85">
                    <w:rPr>
                      <w:rFonts w:ascii="Calibri" w:eastAsia="Times New Roman" w:hAnsi="Calibri" w:cs="Calibri"/>
                      <w:lang w:eastAsia="en-GB"/>
                    </w:rPr>
                    <w:t>10</w:t>
                  </w:r>
                  <w:r w:rsidRPr="00532F44">
                    <w:rPr>
                      <w:rFonts w:ascii="Calibri" w:eastAsia="Times New Roman" w:hAnsi="Calibri" w:cs="Calibri"/>
                      <w:lang w:eastAsia="en-GB"/>
                    </w:rPr>
                    <w:t>,</w:t>
                  </w:r>
                  <w:r w:rsidR="00741D85">
                    <w:rPr>
                      <w:rFonts w:ascii="Calibri" w:eastAsia="Times New Roman" w:hAnsi="Calibri" w:cs="Calibri"/>
                      <w:lang w:eastAsia="en-GB"/>
                    </w:rPr>
                    <w:t>343</w:t>
                  </w:r>
                  <w:r w:rsidRPr="00532F44">
                    <w:rPr>
                      <w:rFonts w:ascii="Calibri" w:eastAsia="Times New Roman" w:hAnsi="Calibri" w:cs="Calibri"/>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741D85" w:rsidP="00920A0B">
                  <w:pPr>
                    <w:spacing w:after="0" w:line="240" w:lineRule="auto"/>
                    <w:jc w:val="right"/>
                    <w:rPr>
                      <w:rFonts w:ascii="Calibri" w:eastAsia="Times New Roman" w:hAnsi="Calibri" w:cs="Calibri"/>
                      <w:lang w:eastAsia="en-GB"/>
                    </w:rPr>
                  </w:pPr>
                  <w:r>
                    <w:rPr>
                      <w:rFonts w:ascii="Calibri" w:eastAsia="Times New Roman" w:hAnsi="Calibri" w:cs="Calibri"/>
                      <w:lang w:eastAsia="en-GB"/>
                    </w:rPr>
                    <w:t>12.48</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3812" w:type="dxa"/>
                  <w:gridSpan w:val="4"/>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lang w:eastAsia="en-GB"/>
                    </w:rPr>
                  </w:pPr>
                  <w:r w:rsidRPr="00532F44">
                    <w:rPr>
                      <w:rFonts w:ascii="Calibri" w:eastAsia="Times New Roman" w:hAnsi="Calibri" w:cs="Calibri"/>
                      <w:i/>
                      <w:lang w:eastAsia="en-GB"/>
                    </w:rPr>
                    <w:t>Neither dominated nor dominating</w:t>
                  </w:r>
                  <w:r w:rsidR="005468D5" w:rsidRPr="00532F44">
                    <w:rPr>
                      <w:rFonts w:ascii="Calibri" w:eastAsia="Times New Roman" w:hAnsi="Calibri" w:cs="Calibri"/>
                      <w:i/>
                      <w:lang w:eastAsia="en-GB"/>
                    </w:rPr>
                    <w:t>. Appears cost effective at £20,000/QALY</w:t>
                  </w:r>
                </w:p>
              </w:tc>
              <w:tc>
                <w:tcPr>
                  <w:tcW w:w="283"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203"/>
        </w:trPr>
        <w:tc>
          <w:tcPr>
            <w:tcW w:w="14174" w:type="dxa"/>
            <w:gridSpan w:val="2"/>
          </w:tcPr>
          <w:p w:rsidR="004A0CFF" w:rsidRPr="00532F44" w:rsidRDefault="004A0CFF" w:rsidP="00920A0B">
            <w:pPr>
              <w:jc w:val="center"/>
              <w:rPr>
                <w:rFonts w:eastAsia="Times New Roman" w:cs="Calibri"/>
                <w:b/>
                <w:bCs/>
                <w:i/>
                <w:iCs/>
                <w:lang w:eastAsia="en-GB"/>
              </w:rPr>
            </w:pPr>
            <w:r w:rsidRPr="00532F44">
              <w:t>c) Mean costs, QALYs and ICERs</w:t>
            </w:r>
          </w:p>
        </w:tc>
      </w:tr>
    </w:tbl>
    <w:p w:rsidR="006D0808" w:rsidRPr="00532F44" w:rsidRDefault="006D0808" w:rsidP="003C217E">
      <w:pPr>
        <w:divId w:val="1548566716"/>
        <w:rPr>
          <w:lang w:val="en-GB"/>
        </w:rPr>
        <w:sectPr w:rsidR="006D0808" w:rsidRPr="00532F44" w:rsidSect="006D0808">
          <w:pgSz w:w="16838" w:h="11906" w:orient="landscape"/>
          <w:pgMar w:top="1440" w:right="1440" w:bottom="1440" w:left="1440" w:header="709" w:footer="709" w:gutter="0"/>
          <w:cols w:space="708"/>
          <w:docGrid w:linePitch="360"/>
        </w:sectPr>
      </w:pPr>
    </w:p>
    <w:p w:rsidR="00920A0B" w:rsidRPr="00532F44" w:rsidRDefault="0098691C" w:rsidP="0098691C">
      <w:pPr>
        <w:pStyle w:val="Caption"/>
        <w:divId w:val="1548566716"/>
        <w:rPr>
          <w:color w:val="auto"/>
        </w:rPr>
      </w:pPr>
      <w:bookmarkStart w:id="10" w:name="_Ref335141468"/>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8D3B31">
        <w:rPr>
          <w:noProof/>
          <w:color w:val="auto"/>
        </w:rPr>
        <w:t>6</w:t>
      </w:r>
      <w:r w:rsidR="002F05E5" w:rsidRPr="00532F44">
        <w:rPr>
          <w:color w:val="auto"/>
        </w:rPr>
        <w:fldChar w:fldCharType="end"/>
      </w:r>
      <w:bookmarkEnd w:id="10"/>
      <w:r w:rsidRPr="00532F44">
        <w:rPr>
          <w:color w:val="auto"/>
        </w:rPr>
        <w:t xml:space="preserve"> Illustration of the effect of different levels of sensitivity and specificity on ICER of TTE compared with no TTE in cohorts of male patients aged fifty in making the decision whether to prescribe warfarin.</w:t>
      </w:r>
      <w:r w:rsidR="00040779" w:rsidRPr="00532F44">
        <w:rPr>
          <w:color w:val="auto"/>
        </w:rPr>
        <w:t xml:space="preserve"> The four cells with sensitivity and specificity values closest to the empirical values are underlined</w:t>
      </w:r>
      <w:r w:rsidR="0053772E" w:rsidRPr="00532F44">
        <w:rPr>
          <w:color w:val="auto"/>
        </w:rPr>
        <w:t>.</w:t>
      </w:r>
      <w:r w:rsidRPr="00532F44">
        <w:rPr>
          <w:color w:val="auto"/>
        </w:rPr>
        <w:t xml:space="preserve"> (Amounts in £1000 / QALY; &gt;99; Over £99,000/QALY; D: Dominated)</w:t>
      </w:r>
    </w:p>
    <w:tbl>
      <w:tblPr>
        <w:tblpPr w:leftFromText="180" w:rightFromText="180" w:vertAnchor="page" w:horzAnchor="margin" w:tblpY="2911"/>
        <w:tblW w:w="0" w:type="auto"/>
        <w:tblLook w:val="04A0" w:firstRow="1" w:lastRow="0" w:firstColumn="1" w:lastColumn="0" w:noHBand="0" w:noVBand="1"/>
      </w:tblPr>
      <w:tblGrid>
        <w:gridCol w:w="556"/>
        <w:gridCol w:w="686"/>
        <w:gridCol w:w="426"/>
        <w:gridCol w:w="567"/>
        <w:gridCol w:w="567"/>
        <w:gridCol w:w="567"/>
        <w:gridCol w:w="567"/>
        <w:gridCol w:w="567"/>
        <w:gridCol w:w="567"/>
        <w:gridCol w:w="780"/>
        <w:gridCol w:w="709"/>
        <w:gridCol w:w="607"/>
        <w:gridCol w:w="552"/>
      </w:tblGrid>
      <w:tr w:rsidR="00DB7C63" w:rsidRPr="00532F44"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RDefault="00DB7C63" w:rsidP="00B13ECE">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 xml:space="preserve"> CHADS</w:t>
            </w:r>
            <w:r w:rsidRPr="00532F44">
              <w:rPr>
                <w:rFonts w:ascii="Calibri" w:eastAsia="Times New Roman" w:hAnsi="Calibri" w:cs="Calibri"/>
                <w:b/>
                <w:bCs/>
                <w:i/>
                <w:iCs/>
                <w:vertAlign w:val="subscript"/>
                <w:lang w:eastAsia="en-GB"/>
              </w:rPr>
              <w:t>2</w:t>
            </w: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Sensitivity</w:t>
            </w:r>
          </w:p>
        </w:tc>
      </w:tr>
      <w:tr w:rsidR="00DB7C63" w:rsidRPr="00532F44" w:rsidTr="00DB7C63">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of zero</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r>
      <w:tr w:rsidR="00DB7C63" w:rsidRPr="00532F44" w:rsidTr="00DB7C63">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Specificity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4.9</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4.2</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65.6</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35.0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24.5</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40.2</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16.0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3.6</w:t>
            </w:r>
          </w:p>
        </w:tc>
      </w:tr>
    </w:tbl>
    <w:p w:rsidR="0098691C" w:rsidRPr="00532F44" w:rsidRDefault="0098691C" w:rsidP="003162AB">
      <w:pPr>
        <w:divId w:val="1548566716"/>
      </w:pPr>
    </w:p>
    <w:p w:rsidR="0098691C" w:rsidRPr="00532F44" w:rsidRDefault="0098691C" w:rsidP="003162AB">
      <w:pPr>
        <w:divId w:val="1548566716"/>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2D3329" w:rsidRPr="00532F44" w:rsidRDefault="002D3329">
      <w:pPr>
        <w:spacing w:line="276" w:lineRule="auto"/>
        <w:jc w:val="left"/>
      </w:pPr>
      <w:r w:rsidRPr="00532F44">
        <w:br w:type="page"/>
      </w:r>
    </w:p>
    <w:p w:rsidR="003162AB" w:rsidRPr="00532F44" w:rsidRDefault="003A6116" w:rsidP="003A6116">
      <w:pPr>
        <w:pStyle w:val="Caption"/>
        <w:divId w:val="1548566716"/>
        <w:rPr>
          <w:color w:val="auto"/>
        </w:rPr>
      </w:pPr>
      <w:bookmarkStart w:id="11" w:name="_Ref335142114"/>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8D3B31">
        <w:rPr>
          <w:noProof/>
          <w:color w:val="auto"/>
        </w:rPr>
        <w:t>7</w:t>
      </w:r>
      <w:r w:rsidR="002F05E5" w:rsidRPr="00532F44">
        <w:rPr>
          <w:color w:val="auto"/>
        </w:rPr>
        <w:fldChar w:fldCharType="end"/>
      </w:r>
      <w:bookmarkEnd w:id="11"/>
      <w:r w:rsidRPr="00532F44">
        <w:rPr>
          <w:color w:val="auto"/>
        </w:rPr>
        <w:t xml:space="preserve"> Qualitat</w:t>
      </w:r>
      <w:r w:rsidR="00610C33">
        <w:rPr>
          <w:color w:val="auto"/>
        </w:rPr>
        <w:t>ive summary of results of all 10</w:t>
      </w:r>
      <w:r w:rsidRPr="00532F44">
        <w:rPr>
          <w:color w:val="auto"/>
        </w:rPr>
        <w:t xml:space="preserve"> scenarios</w:t>
      </w:r>
    </w:p>
    <w:tbl>
      <w:tblPr>
        <w:tblStyle w:val="TableGrid"/>
        <w:tblW w:w="9619" w:type="dxa"/>
        <w:tblLayout w:type="fixed"/>
        <w:tblLook w:val="04A0" w:firstRow="1" w:lastRow="0" w:firstColumn="1" w:lastColumn="0" w:noHBand="0" w:noVBand="1"/>
      </w:tblPr>
      <w:tblGrid>
        <w:gridCol w:w="675"/>
        <w:gridCol w:w="882"/>
        <w:gridCol w:w="1258"/>
        <w:gridCol w:w="3402"/>
        <w:gridCol w:w="1701"/>
        <w:gridCol w:w="1701"/>
      </w:tblGrid>
      <w:tr w:rsidR="00610C33" w:rsidRPr="00532F44" w:rsidTr="00610C33">
        <w:trPr>
          <w:divId w:val="1548566716"/>
          <w:trHeight w:val="318"/>
        </w:trPr>
        <w:tc>
          <w:tcPr>
            <w:tcW w:w="675" w:type="dxa"/>
            <w:vMerge w:val="restart"/>
          </w:tcPr>
          <w:p w:rsidR="00610C33" w:rsidRPr="00532F44" w:rsidRDefault="00610C33" w:rsidP="003162AB">
            <w:r w:rsidRPr="00532F44">
              <w:t>Age</w:t>
            </w:r>
          </w:p>
        </w:tc>
        <w:tc>
          <w:tcPr>
            <w:tcW w:w="882" w:type="dxa"/>
            <w:vMerge w:val="restart"/>
          </w:tcPr>
          <w:p w:rsidR="00610C33" w:rsidRPr="00532F44" w:rsidRDefault="00610C33" w:rsidP="003162AB">
            <w:r w:rsidRPr="00532F44">
              <w:t>Gender</w:t>
            </w:r>
          </w:p>
        </w:tc>
        <w:tc>
          <w:tcPr>
            <w:tcW w:w="1258" w:type="dxa"/>
            <w:vMerge w:val="restart"/>
          </w:tcPr>
          <w:p w:rsidR="00610C33" w:rsidRPr="00532F44" w:rsidRDefault="00610C33" w:rsidP="003162AB">
            <w:r w:rsidRPr="00532F44">
              <w:t>OAC</w:t>
            </w:r>
          </w:p>
        </w:tc>
        <w:tc>
          <w:tcPr>
            <w:tcW w:w="3402" w:type="dxa"/>
            <w:vMerge w:val="restart"/>
          </w:tcPr>
          <w:p w:rsidR="00610C33" w:rsidRPr="00532F44" w:rsidRDefault="00610C33" w:rsidP="002D3329">
            <w:r>
              <w:t>Incremental cost effectiveness ratio (TTE) of TTE compared with no TTE</w:t>
            </w:r>
          </w:p>
        </w:tc>
        <w:tc>
          <w:tcPr>
            <w:tcW w:w="3402" w:type="dxa"/>
            <w:gridSpan w:val="2"/>
          </w:tcPr>
          <w:p w:rsidR="00610C33" w:rsidRPr="00532F44" w:rsidRDefault="00610C33" w:rsidP="002D3329">
            <w:r w:rsidRPr="00532F44">
              <w:t>TTE optimal</w:t>
            </w:r>
          </w:p>
        </w:tc>
      </w:tr>
      <w:tr w:rsidR="00610C33" w:rsidRPr="00532F44" w:rsidTr="00610C33">
        <w:trPr>
          <w:divId w:val="1548566716"/>
          <w:trHeight w:val="327"/>
        </w:trPr>
        <w:tc>
          <w:tcPr>
            <w:tcW w:w="675" w:type="dxa"/>
            <w:vMerge/>
          </w:tcPr>
          <w:p w:rsidR="00610C33" w:rsidRPr="00532F44" w:rsidRDefault="00610C33" w:rsidP="003162AB"/>
        </w:tc>
        <w:tc>
          <w:tcPr>
            <w:tcW w:w="882" w:type="dxa"/>
            <w:vMerge/>
          </w:tcPr>
          <w:p w:rsidR="00610C33" w:rsidRPr="00532F44" w:rsidRDefault="00610C33" w:rsidP="003162AB"/>
        </w:tc>
        <w:tc>
          <w:tcPr>
            <w:tcW w:w="1258" w:type="dxa"/>
            <w:vMerge/>
          </w:tcPr>
          <w:p w:rsidR="00610C33" w:rsidRPr="00532F44" w:rsidRDefault="00610C33" w:rsidP="003162AB"/>
        </w:tc>
        <w:tc>
          <w:tcPr>
            <w:tcW w:w="3402" w:type="dxa"/>
            <w:vMerge/>
          </w:tcPr>
          <w:p w:rsidR="00610C33" w:rsidRPr="00532F44" w:rsidRDefault="00610C33" w:rsidP="003225C4"/>
        </w:tc>
        <w:tc>
          <w:tcPr>
            <w:tcW w:w="1701" w:type="dxa"/>
          </w:tcPr>
          <w:p w:rsidR="00610C33" w:rsidRPr="00532F44" w:rsidRDefault="00610C33" w:rsidP="003225C4">
            <w:r w:rsidRPr="00532F44">
              <w:t>at £20,000/QALY</w:t>
            </w:r>
          </w:p>
        </w:tc>
        <w:tc>
          <w:tcPr>
            <w:tcW w:w="1701" w:type="dxa"/>
          </w:tcPr>
          <w:p w:rsidR="00610C33" w:rsidRPr="00532F44" w:rsidRDefault="00610C33" w:rsidP="003225C4">
            <w:r w:rsidRPr="00532F44">
              <w:t>At £30,000 /QALY</w:t>
            </w:r>
          </w:p>
        </w:tc>
      </w:tr>
      <w:tr w:rsidR="00610C33" w:rsidRPr="00532F44" w:rsidTr="00610C33">
        <w:trPr>
          <w:divId w:val="1548566716"/>
        </w:trPr>
        <w:tc>
          <w:tcPr>
            <w:tcW w:w="675" w:type="dxa"/>
          </w:tcPr>
          <w:p w:rsidR="00610C33" w:rsidRPr="00532F44" w:rsidRDefault="00610C33" w:rsidP="003162AB">
            <w:r w:rsidRPr="00532F44">
              <w:t>50</w:t>
            </w:r>
          </w:p>
        </w:tc>
        <w:tc>
          <w:tcPr>
            <w:tcW w:w="882" w:type="dxa"/>
          </w:tcPr>
          <w:p w:rsidR="00610C33" w:rsidRPr="00532F44" w:rsidRDefault="00610C33" w:rsidP="003162AB">
            <w:r w:rsidRPr="00532F44">
              <w:t>male</w:t>
            </w:r>
          </w:p>
        </w:tc>
        <w:tc>
          <w:tcPr>
            <w:tcW w:w="1258" w:type="dxa"/>
          </w:tcPr>
          <w:p w:rsidR="00610C33" w:rsidRPr="00532F44" w:rsidRDefault="00610C33" w:rsidP="003162AB">
            <w:r w:rsidRPr="00532F44">
              <w:t>warfarin</w:t>
            </w:r>
          </w:p>
        </w:tc>
        <w:tc>
          <w:tcPr>
            <w:tcW w:w="3402" w:type="dxa"/>
          </w:tcPr>
          <w:p w:rsidR="00610C33" w:rsidRPr="00532F44" w:rsidRDefault="00610C33" w:rsidP="002D3329">
            <w:r>
              <w:t>NA: Simple dominance</w:t>
            </w:r>
          </w:p>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Pr>
        <w:tc>
          <w:tcPr>
            <w:tcW w:w="675" w:type="dxa"/>
          </w:tcPr>
          <w:p w:rsidR="00610C33" w:rsidRPr="00532F44" w:rsidRDefault="00610C33" w:rsidP="003162AB">
            <w:r w:rsidRPr="00532F44">
              <w:t>50</w:t>
            </w:r>
          </w:p>
        </w:tc>
        <w:tc>
          <w:tcPr>
            <w:tcW w:w="882" w:type="dxa"/>
          </w:tcPr>
          <w:p w:rsidR="00610C33" w:rsidRPr="00532F44" w:rsidRDefault="00610C33" w:rsidP="003162AB">
            <w:r w:rsidRPr="00532F44">
              <w:t>female</w:t>
            </w:r>
          </w:p>
        </w:tc>
        <w:tc>
          <w:tcPr>
            <w:tcW w:w="1258" w:type="dxa"/>
          </w:tcPr>
          <w:p w:rsidR="00610C33" w:rsidRPr="00532F44" w:rsidRDefault="00610C33" w:rsidP="003162AB">
            <w:r w:rsidRPr="00532F44">
              <w:t>warfarin</w:t>
            </w:r>
          </w:p>
        </w:tc>
        <w:tc>
          <w:tcPr>
            <w:tcW w:w="3402" w:type="dxa"/>
          </w:tcPr>
          <w:p w:rsidR="00610C33" w:rsidRPr="00532F44" w:rsidRDefault="00610C33" w:rsidP="002D3329">
            <w:r>
              <w:t>NA: Simple dominance</w:t>
            </w:r>
          </w:p>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male</w:t>
            </w:r>
          </w:p>
        </w:tc>
        <w:tc>
          <w:tcPr>
            <w:tcW w:w="1258" w:type="dxa"/>
          </w:tcPr>
          <w:p w:rsidR="00610C33" w:rsidRPr="00532F44" w:rsidRDefault="00610C33" w:rsidP="003162AB">
            <w:r w:rsidRPr="00532F44">
              <w:t>warfarin</w:t>
            </w:r>
          </w:p>
        </w:tc>
        <w:tc>
          <w:tcPr>
            <w:tcW w:w="3402" w:type="dxa"/>
          </w:tcPr>
          <w:p w:rsidR="00610C33" w:rsidRPr="00532F44" w:rsidRDefault="00610C33" w:rsidP="002D3329"/>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female</w:t>
            </w:r>
          </w:p>
        </w:tc>
        <w:tc>
          <w:tcPr>
            <w:tcW w:w="1258" w:type="dxa"/>
          </w:tcPr>
          <w:p w:rsidR="00610C33" w:rsidRPr="00532F44" w:rsidRDefault="00610C33" w:rsidP="003162AB">
            <w:r w:rsidRPr="00532F44">
              <w:t>warfarin</w:t>
            </w:r>
          </w:p>
        </w:tc>
        <w:tc>
          <w:tcPr>
            <w:tcW w:w="3402" w:type="dxa"/>
          </w:tcPr>
          <w:p w:rsidR="00610C33" w:rsidRPr="00532F44" w:rsidRDefault="00610C33" w:rsidP="003162AB"/>
        </w:tc>
        <w:tc>
          <w:tcPr>
            <w:tcW w:w="1701" w:type="dxa"/>
          </w:tcPr>
          <w:p w:rsidR="00610C33" w:rsidRPr="00532F44" w:rsidRDefault="00610C33" w:rsidP="003162AB">
            <w:r w:rsidRPr="00532F44">
              <w:t>No</w:t>
            </w:r>
          </w:p>
        </w:tc>
        <w:tc>
          <w:tcPr>
            <w:tcW w:w="1701" w:type="dxa"/>
          </w:tcPr>
          <w:p w:rsidR="00610C33" w:rsidRPr="00532F44" w:rsidRDefault="00610C33" w:rsidP="003162AB">
            <w:r w:rsidRPr="00532F44">
              <w:t>No</w:t>
            </w:r>
          </w:p>
        </w:tc>
      </w:tr>
      <w:tr w:rsidR="00610C33" w:rsidRPr="00532F44" w:rsidTr="00610C33">
        <w:trPr>
          <w:divId w:val="1548566716"/>
          <w:trHeight w:val="201"/>
        </w:trPr>
        <w:tc>
          <w:tcPr>
            <w:tcW w:w="675" w:type="dxa"/>
          </w:tcPr>
          <w:p w:rsidR="00610C33" w:rsidRPr="00532F44" w:rsidRDefault="00610C33" w:rsidP="003162AB">
            <w:r w:rsidRPr="00532F44">
              <w:t>50</w:t>
            </w:r>
          </w:p>
        </w:tc>
        <w:tc>
          <w:tcPr>
            <w:tcW w:w="882" w:type="dxa"/>
          </w:tcPr>
          <w:p w:rsidR="00610C33" w:rsidRPr="00532F44" w:rsidRDefault="00610C33" w:rsidP="003162AB">
            <w:r w:rsidRPr="00532F44">
              <w:t>male</w:t>
            </w:r>
          </w:p>
        </w:tc>
        <w:tc>
          <w:tcPr>
            <w:tcW w:w="1258" w:type="dxa"/>
          </w:tcPr>
          <w:p w:rsidR="00610C33" w:rsidRPr="00532F44" w:rsidRDefault="00610C33" w:rsidP="003162AB">
            <w:proofErr w:type="spellStart"/>
            <w:r w:rsidRPr="00532F44">
              <w:t>rivaroxaban</w:t>
            </w:r>
            <w:proofErr w:type="spellEnd"/>
          </w:p>
        </w:tc>
        <w:tc>
          <w:tcPr>
            <w:tcW w:w="3402" w:type="dxa"/>
          </w:tcPr>
          <w:p w:rsidR="00610C33" w:rsidRPr="00532F44" w:rsidRDefault="00610C33" w:rsidP="002D3329">
            <w:r>
              <w:t>NA: Simple dominance</w:t>
            </w:r>
          </w:p>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Height w:val="217"/>
        </w:trPr>
        <w:tc>
          <w:tcPr>
            <w:tcW w:w="675" w:type="dxa"/>
          </w:tcPr>
          <w:p w:rsidR="00610C33" w:rsidRPr="00532F44" w:rsidRDefault="00610C33" w:rsidP="003162AB">
            <w:r w:rsidRPr="00532F44">
              <w:t>50</w:t>
            </w:r>
          </w:p>
        </w:tc>
        <w:tc>
          <w:tcPr>
            <w:tcW w:w="882" w:type="dxa"/>
          </w:tcPr>
          <w:p w:rsidR="00610C33" w:rsidRPr="00532F44" w:rsidRDefault="00610C33" w:rsidP="003162AB">
            <w:r w:rsidRPr="00532F44">
              <w:t>female</w:t>
            </w:r>
          </w:p>
        </w:tc>
        <w:tc>
          <w:tcPr>
            <w:tcW w:w="1258" w:type="dxa"/>
          </w:tcPr>
          <w:p w:rsidR="00610C33" w:rsidRPr="00532F44" w:rsidRDefault="00610C33" w:rsidP="003162AB">
            <w:proofErr w:type="spellStart"/>
            <w:r w:rsidRPr="00532F44">
              <w:t>rivaroxaban</w:t>
            </w:r>
            <w:proofErr w:type="spellEnd"/>
          </w:p>
        </w:tc>
        <w:tc>
          <w:tcPr>
            <w:tcW w:w="3402" w:type="dxa"/>
          </w:tcPr>
          <w:p w:rsidR="00610C33" w:rsidRPr="00532F44" w:rsidRDefault="00610C33" w:rsidP="002D3329">
            <w:r>
              <w:t>NA: Simple dominance</w:t>
            </w:r>
          </w:p>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Height w:val="178"/>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male</w:t>
            </w:r>
          </w:p>
        </w:tc>
        <w:tc>
          <w:tcPr>
            <w:tcW w:w="1258" w:type="dxa"/>
          </w:tcPr>
          <w:p w:rsidR="00610C33" w:rsidRPr="00532F44" w:rsidRDefault="00610C33" w:rsidP="003162AB">
            <w:proofErr w:type="spellStart"/>
            <w:r w:rsidRPr="00532F44">
              <w:t>rivaroxaban</w:t>
            </w:r>
            <w:proofErr w:type="spellEnd"/>
          </w:p>
        </w:tc>
        <w:tc>
          <w:tcPr>
            <w:tcW w:w="3402" w:type="dxa"/>
          </w:tcPr>
          <w:p w:rsidR="00610C33" w:rsidRPr="00532F44" w:rsidRDefault="00610C33" w:rsidP="003162AB"/>
        </w:tc>
        <w:tc>
          <w:tcPr>
            <w:tcW w:w="1701" w:type="dxa"/>
          </w:tcPr>
          <w:p w:rsidR="00610C33" w:rsidRPr="00532F44" w:rsidRDefault="00610C33" w:rsidP="003162AB">
            <w:r w:rsidRPr="00532F44">
              <w:t>No</w:t>
            </w:r>
          </w:p>
        </w:tc>
        <w:tc>
          <w:tcPr>
            <w:tcW w:w="1701" w:type="dxa"/>
          </w:tcPr>
          <w:p w:rsidR="00610C33" w:rsidRPr="00532F44" w:rsidRDefault="00610C33" w:rsidP="002D3329">
            <w:r w:rsidRPr="00532F44">
              <w:t xml:space="preserve">No </w:t>
            </w:r>
            <w:r w:rsidRPr="00532F44">
              <w:rPr>
                <w:rStyle w:val="FootnoteReference"/>
              </w:rPr>
              <w:footnoteReference w:id="1"/>
            </w:r>
          </w:p>
        </w:tc>
      </w:tr>
      <w:tr w:rsidR="00610C33" w:rsidRPr="00532F44" w:rsidTr="00610C33">
        <w:trPr>
          <w:divId w:val="1548566716"/>
          <w:trHeight w:val="161"/>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female</w:t>
            </w:r>
          </w:p>
        </w:tc>
        <w:tc>
          <w:tcPr>
            <w:tcW w:w="1258" w:type="dxa"/>
          </w:tcPr>
          <w:p w:rsidR="00610C33" w:rsidRPr="00532F44" w:rsidRDefault="00610C33" w:rsidP="003162AB">
            <w:proofErr w:type="spellStart"/>
            <w:r w:rsidRPr="00532F44">
              <w:t>rivaroxaban</w:t>
            </w:r>
            <w:proofErr w:type="spellEnd"/>
          </w:p>
        </w:tc>
        <w:tc>
          <w:tcPr>
            <w:tcW w:w="3402" w:type="dxa"/>
          </w:tcPr>
          <w:p w:rsidR="00610C33" w:rsidRPr="00532F44" w:rsidRDefault="00610C33" w:rsidP="002D3329"/>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Yes</w:t>
            </w:r>
          </w:p>
        </w:tc>
      </w:tr>
      <w:tr w:rsidR="00610C33" w:rsidRPr="00532F44" w:rsidTr="00610C33">
        <w:trPr>
          <w:divId w:val="1548566716"/>
          <w:trHeight w:val="201"/>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male</w:t>
            </w:r>
          </w:p>
        </w:tc>
        <w:tc>
          <w:tcPr>
            <w:tcW w:w="1258" w:type="dxa"/>
          </w:tcPr>
          <w:p w:rsidR="00610C33" w:rsidRPr="00532F44" w:rsidRDefault="00610C33" w:rsidP="003162AB">
            <w:proofErr w:type="spellStart"/>
            <w:r w:rsidRPr="00532F44">
              <w:t>dabigatran</w:t>
            </w:r>
            <w:proofErr w:type="spellEnd"/>
          </w:p>
        </w:tc>
        <w:tc>
          <w:tcPr>
            <w:tcW w:w="3402" w:type="dxa"/>
          </w:tcPr>
          <w:p w:rsidR="00610C33" w:rsidRPr="00532F44" w:rsidRDefault="00610C33" w:rsidP="002D3329"/>
        </w:tc>
        <w:tc>
          <w:tcPr>
            <w:tcW w:w="1701" w:type="dxa"/>
          </w:tcPr>
          <w:p w:rsidR="00610C33" w:rsidRPr="00532F44" w:rsidRDefault="00610C33" w:rsidP="002D3329">
            <w:r w:rsidRPr="00532F44">
              <w:t>Yes</w:t>
            </w:r>
          </w:p>
        </w:tc>
        <w:tc>
          <w:tcPr>
            <w:tcW w:w="1701" w:type="dxa"/>
          </w:tcPr>
          <w:p w:rsidR="00610C33" w:rsidRPr="00532F44" w:rsidRDefault="00610C33" w:rsidP="002D3329">
            <w:r w:rsidRPr="00532F44">
              <w:t>Yes</w:t>
            </w:r>
          </w:p>
        </w:tc>
      </w:tr>
      <w:tr w:rsidR="00610C33" w:rsidRPr="003225C4" w:rsidTr="00610C33">
        <w:trPr>
          <w:divId w:val="1548566716"/>
          <w:trHeight w:val="161"/>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female</w:t>
            </w:r>
          </w:p>
        </w:tc>
        <w:tc>
          <w:tcPr>
            <w:tcW w:w="1258" w:type="dxa"/>
          </w:tcPr>
          <w:p w:rsidR="00610C33" w:rsidRPr="00532F44" w:rsidRDefault="00610C33" w:rsidP="003162AB">
            <w:proofErr w:type="spellStart"/>
            <w:r w:rsidRPr="00532F44">
              <w:t>dabigatran</w:t>
            </w:r>
            <w:proofErr w:type="spellEnd"/>
          </w:p>
        </w:tc>
        <w:tc>
          <w:tcPr>
            <w:tcW w:w="3402" w:type="dxa"/>
          </w:tcPr>
          <w:p w:rsidR="00610C33" w:rsidRPr="00532F44" w:rsidRDefault="00610C33" w:rsidP="002D3329"/>
        </w:tc>
        <w:tc>
          <w:tcPr>
            <w:tcW w:w="1701" w:type="dxa"/>
          </w:tcPr>
          <w:p w:rsidR="00610C33" w:rsidRPr="00532F44" w:rsidRDefault="00610C33" w:rsidP="002D3329">
            <w:r w:rsidRPr="00532F44">
              <w:t>Yes</w:t>
            </w:r>
          </w:p>
        </w:tc>
        <w:tc>
          <w:tcPr>
            <w:tcW w:w="1701" w:type="dxa"/>
          </w:tcPr>
          <w:p w:rsidR="00610C33" w:rsidRPr="003225C4" w:rsidRDefault="00610C33" w:rsidP="002D3329">
            <w:r w:rsidRPr="00532F44">
              <w:t>Yes</w:t>
            </w:r>
          </w:p>
        </w:tc>
      </w:tr>
    </w:tbl>
    <w:p w:rsidR="003162AB" w:rsidRDefault="003162AB" w:rsidP="003162AB">
      <w:pPr>
        <w:divId w:val="1548566716"/>
        <w:rPr>
          <w:lang w:val="en-GB"/>
        </w:rPr>
      </w:pPr>
    </w:p>
    <w:p w:rsidR="006E20FD" w:rsidRDefault="006E20FD" w:rsidP="003162AB">
      <w:pPr>
        <w:divId w:val="1548566716"/>
        <w:rPr>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firstRow="1" w:lastRow="0" w:firstColumn="1" w:lastColumn="0" w:noHBand="0" w:noVBand="1"/>
      </w:tblPr>
      <w:tblGrid>
        <w:gridCol w:w="7905"/>
      </w:tblGrid>
      <w:tr w:rsidR="006E20FD"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6E20FD" w:rsidRPr="00DA71F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W_50_0_M</w:t>
            </w:r>
          </w:p>
        </w:tc>
      </w:tr>
      <w:tr w:rsidR="006E20FD" w:rsidTr="006E20FD">
        <w:trPr>
          <w:divId w:val="1548566716"/>
        </w:trPr>
        <w:tc>
          <w:tcPr>
            <w:tcW w:w="7905" w:type="dxa"/>
          </w:tcPr>
          <w:tbl>
            <w:tblPr>
              <w:tblW w:w="7423" w:type="dxa"/>
              <w:tblInd w:w="93" w:type="dxa"/>
              <w:tblLook w:val="04A0" w:firstRow="1" w:lastRow="0" w:firstColumn="1" w:lastColumn="0" w:noHBand="0" w:noVBand="1"/>
            </w:tblPr>
            <w:tblGrid>
              <w:gridCol w:w="547"/>
              <w:gridCol w:w="547"/>
              <w:gridCol w:w="385"/>
              <w:gridCol w:w="545"/>
              <w:gridCol w:w="545"/>
              <w:gridCol w:w="545"/>
              <w:gridCol w:w="545"/>
              <w:gridCol w:w="545"/>
              <w:gridCol w:w="601"/>
              <w:gridCol w:w="692"/>
              <w:gridCol w:w="692"/>
              <w:gridCol w:w="692"/>
              <w:gridCol w:w="542"/>
            </w:tblGrid>
            <w:tr w:rsidR="006E20FD" w:rsidRPr="00DA71FC"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4.6</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4.1</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W_50_0_F</w:t>
            </w:r>
          </w:p>
        </w:tc>
      </w:tr>
      <w:tr w:rsidR="006E20FD"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6E20FD" w:rsidRPr="00DA71F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2.1</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1.8</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w:t>
                  </w:r>
                </w:p>
              </w:tc>
            </w:tr>
          </w:tbl>
          <w:p w:rsidR="006E20FD" w:rsidRPr="00E151B8" w:rsidRDefault="006E20FD" w:rsidP="006E20FD">
            <w:pPr>
              <w:pStyle w:val="ListParagraph"/>
              <w:numPr>
                <w:ilvl w:val="0"/>
                <w:numId w:val="17"/>
              </w:numPr>
              <w:spacing w:line="240" w:lineRule="auto"/>
              <w:jc w:val="center"/>
            </w:pPr>
            <w:r w:rsidRPr="00E151B8">
              <w:t>W_65_0_M</w:t>
            </w:r>
          </w:p>
        </w:tc>
      </w:tr>
    </w:tbl>
    <w:p w:rsidR="006E20FD" w:rsidRDefault="006E20FD" w:rsidP="006E20FD">
      <w:pPr>
        <w:divId w:val="1548566716"/>
      </w:pPr>
      <w:r>
        <w:lastRenderedPageBreak/>
        <w:br w:type="page"/>
      </w:r>
    </w:p>
    <w:tbl>
      <w:tblPr>
        <w:tblStyle w:val="TableGrid"/>
        <w:tblW w:w="0" w:type="auto"/>
        <w:tblLook w:val="04A0" w:firstRow="1" w:lastRow="0" w:firstColumn="1" w:lastColumn="0" w:noHBand="0" w:noVBand="1"/>
      </w:tblPr>
      <w:tblGrid>
        <w:gridCol w:w="8046"/>
      </w:tblGrid>
      <w:tr w:rsidR="006E20FD"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w:t>
                  </w:r>
                </w:p>
              </w:tc>
            </w:tr>
          </w:tbl>
          <w:p w:rsidR="006E20FD" w:rsidRDefault="006E20FD" w:rsidP="006E20FD">
            <w:pPr>
              <w:jc w:val="center"/>
            </w:pPr>
          </w:p>
        </w:tc>
      </w:tr>
      <w:tr w:rsidR="006E20FD" w:rsidTr="006E20FD">
        <w:trPr>
          <w:divId w:val="1548566716"/>
          <w:trHeight w:val="151"/>
        </w:trPr>
        <w:tc>
          <w:tcPr>
            <w:tcW w:w="8046" w:type="dxa"/>
          </w:tcPr>
          <w:p w:rsidR="006E20FD" w:rsidRDefault="006E20FD" w:rsidP="006E20FD">
            <w:pPr>
              <w:pStyle w:val="ListParagraph"/>
              <w:numPr>
                <w:ilvl w:val="0"/>
                <w:numId w:val="17"/>
              </w:numPr>
              <w:spacing w:line="240" w:lineRule="auto"/>
              <w:jc w:val="center"/>
            </w:pPr>
            <w:r>
              <w:t>W_65_0_F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8046"/>
      </w:tblGrid>
      <w:tr w:rsidR="006E20FD"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BA0F69"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p w:rsidR="006E20FD" w:rsidRDefault="006E20FD" w:rsidP="006E20FD">
      <w:pPr>
        <w:pStyle w:val="Heading1"/>
        <w:divId w:val="1548566716"/>
      </w:pPr>
      <w:r>
        <w:lastRenderedPageBreak/>
        <w:t>Fifty year old males, initial CHADS</w:t>
      </w:r>
      <w:r w:rsidRPr="00474793">
        <w:rPr>
          <w:vertAlign w:val="subscript"/>
        </w:rPr>
        <w:t>2</w:t>
      </w:r>
      <w:r>
        <w:t xml:space="preserve"> score of 0,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0.112</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pPr>
              <w:jc w:val="center"/>
            </w:pPr>
            <w:r>
              <w:rPr>
                <w:noProof/>
                <w:lang w:val="en-GB" w:eastAsia="en-GB"/>
              </w:rPr>
              <w:lastRenderedPageBreak/>
              <w:drawing>
                <wp:inline distT="0" distB="0" distL="0" distR="0">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val="en-GB" w:eastAsia="en-GB"/>
              </w:rPr>
              <w:drawing>
                <wp:inline distT="0" distB="0" distL="0" distR="0">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13.51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4"/>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p>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815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078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175</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5,405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14.19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96"/>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Pr="00DC67A5"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0.079</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1,527</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793</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217</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599</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467</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5"/>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w:t>
      </w:r>
      <w:r w:rsidRPr="00CC76D6">
        <w:t xml:space="preserve"> </w:t>
      </w:r>
      <w:r>
        <w:t>Warfarin</w:t>
      </w:r>
    </w:p>
    <w:p w:rsidR="006E20FD" w:rsidRDefault="006E20FD" w:rsidP="006E20FD">
      <w:pPr>
        <w:pStyle w:val="Heading2"/>
        <w:divId w:val="1548566716"/>
      </w:pPr>
      <w:r>
        <w:t>Results</w:t>
      </w:r>
    </w:p>
    <w:p w:rsidR="006E20FD" w:rsidRPr="00BE4B91"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0.065</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0.095</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1,974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106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28"/>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425"/>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on Minton" w:date="2012-10-15T15:11:00Z" w:initials="JM">
    <w:p w:rsidR="00FF7CB5" w:rsidRDefault="00FF7CB5">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3E8" w:rsidRDefault="00A603E8" w:rsidP="008D11C1">
      <w:r>
        <w:separator/>
      </w:r>
    </w:p>
  </w:endnote>
  <w:endnote w:type="continuationSeparator" w:id="0">
    <w:p w:rsidR="00A603E8" w:rsidRDefault="00A603E8"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FF7CB5" w:rsidRDefault="00FF7CB5" w:rsidP="008D11C1">
        <w:pPr>
          <w:pStyle w:val="Footer"/>
        </w:pPr>
        <w:r>
          <w:fldChar w:fldCharType="begin"/>
        </w:r>
        <w:r>
          <w:instrText xml:space="preserve"> PAGE   \* MERGEFORMAT </w:instrText>
        </w:r>
        <w:r>
          <w:fldChar w:fldCharType="separate"/>
        </w:r>
        <w:r w:rsidR="00724EAA">
          <w:rPr>
            <w:noProof/>
          </w:rPr>
          <w:t>50</w:t>
        </w:r>
        <w:r>
          <w:rPr>
            <w:noProof/>
          </w:rPr>
          <w:fldChar w:fldCharType="end"/>
        </w:r>
      </w:p>
    </w:sdtContent>
  </w:sdt>
  <w:p w:rsidR="00FF7CB5" w:rsidRDefault="00FF7CB5"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3E8" w:rsidRDefault="00A603E8" w:rsidP="008D11C1">
      <w:r>
        <w:separator/>
      </w:r>
    </w:p>
  </w:footnote>
  <w:footnote w:type="continuationSeparator" w:id="0">
    <w:p w:rsidR="00A603E8" w:rsidRDefault="00A603E8" w:rsidP="008D11C1">
      <w:r>
        <w:continuationSeparator/>
      </w:r>
    </w:p>
  </w:footnote>
  <w:footnote w:id="1">
    <w:p w:rsidR="00FF7CB5" w:rsidRDefault="00FF7CB5">
      <w:pPr>
        <w:pStyle w:val="FootnoteText"/>
      </w:pPr>
      <w:r>
        <w:rPr>
          <w:rStyle w:val="FootnoteReference"/>
        </w:rPr>
        <w:footnoteRef/>
      </w:r>
      <w:r>
        <w:t xml:space="preserve"> The optimal strategy switches from no TTE to TTE at a MAICER of £30,400/QALY.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6"/>
  </w:num>
  <w:num w:numId="3">
    <w:abstractNumId w:val="1"/>
  </w:num>
  <w:num w:numId="4">
    <w:abstractNumId w:val="16"/>
  </w:num>
  <w:num w:numId="5">
    <w:abstractNumId w:val="12"/>
  </w:num>
  <w:num w:numId="6">
    <w:abstractNumId w:val="8"/>
  </w:num>
  <w:num w:numId="7">
    <w:abstractNumId w:val="4"/>
  </w:num>
  <w:num w:numId="8">
    <w:abstractNumId w:val="0"/>
  </w:num>
  <w:num w:numId="9">
    <w:abstractNumId w:val="14"/>
  </w:num>
  <w:num w:numId="10">
    <w:abstractNumId w:val="2"/>
  </w:num>
  <w:num w:numId="11">
    <w:abstractNumId w:val="15"/>
  </w:num>
  <w:num w:numId="12">
    <w:abstractNumId w:val="11"/>
  </w:num>
  <w:num w:numId="13">
    <w:abstractNumId w:val="9"/>
  </w:num>
  <w:num w:numId="14">
    <w:abstractNumId w:val="13"/>
  </w:num>
  <w:num w:numId="15">
    <w:abstractNumId w:val="5"/>
  </w:num>
  <w:num w:numId="16">
    <w:abstractNumId w:val="10"/>
  </w:num>
  <w:num w:numId="17">
    <w:abstractNumId w:val="7"/>
  </w:num>
  <w:num w:numId="18">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259D1"/>
    <w:rsid w:val="00004236"/>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7865"/>
    <w:rsid w:val="00183C66"/>
    <w:rsid w:val="00194737"/>
    <w:rsid w:val="001B457D"/>
    <w:rsid w:val="001B784A"/>
    <w:rsid w:val="001B7E26"/>
    <w:rsid w:val="001C47C7"/>
    <w:rsid w:val="002148A0"/>
    <w:rsid w:val="00216347"/>
    <w:rsid w:val="002173F5"/>
    <w:rsid w:val="002379A0"/>
    <w:rsid w:val="00260232"/>
    <w:rsid w:val="00263B7C"/>
    <w:rsid w:val="00266451"/>
    <w:rsid w:val="00267F89"/>
    <w:rsid w:val="00270FD8"/>
    <w:rsid w:val="00273A34"/>
    <w:rsid w:val="002857F0"/>
    <w:rsid w:val="002908BA"/>
    <w:rsid w:val="002970B4"/>
    <w:rsid w:val="002B0A3A"/>
    <w:rsid w:val="002B2FB1"/>
    <w:rsid w:val="002C4C31"/>
    <w:rsid w:val="002D3329"/>
    <w:rsid w:val="002D6708"/>
    <w:rsid w:val="002F05E5"/>
    <w:rsid w:val="002F7CCE"/>
    <w:rsid w:val="00305A5B"/>
    <w:rsid w:val="00307F5F"/>
    <w:rsid w:val="00313F74"/>
    <w:rsid w:val="003162AB"/>
    <w:rsid w:val="00321AA3"/>
    <w:rsid w:val="003225C4"/>
    <w:rsid w:val="003378D6"/>
    <w:rsid w:val="00337C3B"/>
    <w:rsid w:val="00346F66"/>
    <w:rsid w:val="00354D59"/>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5A7A"/>
    <w:rsid w:val="0047004A"/>
    <w:rsid w:val="004850ED"/>
    <w:rsid w:val="00492057"/>
    <w:rsid w:val="00495D9F"/>
    <w:rsid w:val="0049753A"/>
    <w:rsid w:val="004A0CFF"/>
    <w:rsid w:val="004B7B0B"/>
    <w:rsid w:val="004D5F6A"/>
    <w:rsid w:val="004E06E9"/>
    <w:rsid w:val="00500063"/>
    <w:rsid w:val="00501F33"/>
    <w:rsid w:val="00512460"/>
    <w:rsid w:val="00515AEC"/>
    <w:rsid w:val="00532F44"/>
    <w:rsid w:val="005364A7"/>
    <w:rsid w:val="00536C35"/>
    <w:rsid w:val="0053772E"/>
    <w:rsid w:val="00542E72"/>
    <w:rsid w:val="005468D5"/>
    <w:rsid w:val="00553D33"/>
    <w:rsid w:val="0055657D"/>
    <w:rsid w:val="00560933"/>
    <w:rsid w:val="00570EFD"/>
    <w:rsid w:val="00577888"/>
    <w:rsid w:val="005A2BAB"/>
    <w:rsid w:val="005B26D5"/>
    <w:rsid w:val="005B4084"/>
    <w:rsid w:val="005C1F9B"/>
    <w:rsid w:val="005D114E"/>
    <w:rsid w:val="005D3306"/>
    <w:rsid w:val="005E29E8"/>
    <w:rsid w:val="005E46D7"/>
    <w:rsid w:val="005E79DB"/>
    <w:rsid w:val="005F4AA1"/>
    <w:rsid w:val="00604F56"/>
    <w:rsid w:val="00605BB7"/>
    <w:rsid w:val="00606B8D"/>
    <w:rsid w:val="006071D2"/>
    <w:rsid w:val="00610C33"/>
    <w:rsid w:val="0061601D"/>
    <w:rsid w:val="00620AA2"/>
    <w:rsid w:val="00621BC9"/>
    <w:rsid w:val="00640262"/>
    <w:rsid w:val="00654FFC"/>
    <w:rsid w:val="00655A1D"/>
    <w:rsid w:val="00657538"/>
    <w:rsid w:val="00665212"/>
    <w:rsid w:val="00670364"/>
    <w:rsid w:val="00672785"/>
    <w:rsid w:val="00682DC7"/>
    <w:rsid w:val="0069573B"/>
    <w:rsid w:val="006B480A"/>
    <w:rsid w:val="006B4FDF"/>
    <w:rsid w:val="006B7EC6"/>
    <w:rsid w:val="006C1146"/>
    <w:rsid w:val="006C3CB6"/>
    <w:rsid w:val="006C6A74"/>
    <w:rsid w:val="006D0808"/>
    <w:rsid w:val="006D7B3B"/>
    <w:rsid w:val="006E020D"/>
    <w:rsid w:val="006E20FD"/>
    <w:rsid w:val="006E655B"/>
    <w:rsid w:val="006F64DB"/>
    <w:rsid w:val="0070222B"/>
    <w:rsid w:val="00707C6F"/>
    <w:rsid w:val="0071040B"/>
    <w:rsid w:val="00715C19"/>
    <w:rsid w:val="00724EAA"/>
    <w:rsid w:val="00732E2A"/>
    <w:rsid w:val="00736D21"/>
    <w:rsid w:val="00741A7A"/>
    <w:rsid w:val="00741D85"/>
    <w:rsid w:val="007461E7"/>
    <w:rsid w:val="007606EA"/>
    <w:rsid w:val="007670AC"/>
    <w:rsid w:val="00772D0B"/>
    <w:rsid w:val="00793FD8"/>
    <w:rsid w:val="00795047"/>
    <w:rsid w:val="007955A1"/>
    <w:rsid w:val="00796E10"/>
    <w:rsid w:val="007973DF"/>
    <w:rsid w:val="007A2853"/>
    <w:rsid w:val="007B0965"/>
    <w:rsid w:val="007B765A"/>
    <w:rsid w:val="007C70A4"/>
    <w:rsid w:val="007D019C"/>
    <w:rsid w:val="007D1C2B"/>
    <w:rsid w:val="00810E76"/>
    <w:rsid w:val="00812032"/>
    <w:rsid w:val="00820F9B"/>
    <w:rsid w:val="00834F71"/>
    <w:rsid w:val="00850455"/>
    <w:rsid w:val="008539B5"/>
    <w:rsid w:val="00862C39"/>
    <w:rsid w:val="00867ABA"/>
    <w:rsid w:val="00875B61"/>
    <w:rsid w:val="00876B5A"/>
    <w:rsid w:val="008864FC"/>
    <w:rsid w:val="0089277F"/>
    <w:rsid w:val="00894960"/>
    <w:rsid w:val="0089571D"/>
    <w:rsid w:val="00896DA7"/>
    <w:rsid w:val="008C72E4"/>
    <w:rsid w:val="008D11C1"/>
    <w:rsid w:val="008D30D8"/>
    <w:rsid w:val="008D3B31"/>
    <w:rsid w:val="008D613B"/>
    <w:rsid w:val="008E6143"/>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40066"/>
    <w:rsid w:val="00A42D14"/>
    <w:rsid w:val="00A541AC"/>
    <w:rsid w:val="00A603E8"/>
    <w:rsid w:val="00A8404E"/>
    <w:rsid w:val="00A84C60"/>
    <w:rsid w:val="00A96DA4"/>
    <w:rsid w:val="00AB2D8E"/>
    <w:rsid w:val="00AC692E"/>
    <w:rsid w:val="00AD6705"/>
    <w:rsid w:val="00AE69C3"/>
    <w:rsid w:val="00AF094E"/>
    <w:rsid w:val="00B1326A"/>
    <w:rsid w:val="00B13ECE"/>
    <w:rsid w:val="00B14037"/>
    <w:rsid w:val="00B24433"/>
    <w:rsid w:val="00B31E31"/>
    <w:rsid w:val="00B325C3"/>
    <w:rsid w:val="00B36EBC"/>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4AC4"/>
    <w:rsid w:val="00BE73AD"/>
    <w:rsid w:val="00C007A4"/>
    <w:rsid w:val="00C0367B"/>
    <w:rsid w:val="00C0617D"/>
    <w:rsid w:val="00C23AC0"/>
    <w:rsid w:val="00C27319"/>
    <w:rsid w:val="00C3051A"/>
    <w:rsid w:val="00C314AC"/>
    <w:rsid w:val="00C32E52"/>
    <w:rsid w:val="00C3520A"/>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22AB2"/>
    <w:rsid w:val="00D34DE7"/>
    <w:rsid w:val="00D47469"/>
    <w:rsid w:val="00D57902"/>
    <w:rsid w:val="00D62831"/>
    <w:rsid w:val="00D65C68"/>
    <w:rsid w:val="00D67B2F"/>
    <w:rsid w:val="00D828F2"/>
    <w:rsid w:val="00D87110"/>
    <w:rsid w:val="00DB7C63"/>
    <w:rsid w:val="00DC17EE"/>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B3ED4"/>
    <w:rsid w:val="00EB5AE5"/>
    <w:rsid w:val="00EB5B27"/>
    <w:rsid w:val="00ED065B"/>
    <w:rsid w:val="00ED1CB5"/>
    <w:rsid w:val="00ED28B9"/>
    <w:rsid w:val="00EF4164"/>
    <w:rsid w:val="00EF7137"/>
    <w:rsid w:val="00F00EDF"/>
    <w:rsid w:val="00F0458E"/>
    <w:rsid w:val="00F15320"/>
    <w:rsid w:val="00F16C06"/>
    <w:rsid w:val="00F37F4A"/>
    <w:rsid w:val="00F406A5"/>
    <w:rsid w:val="00F5273F"/>
    <w:rsid w:val="00F54A94"/>
    <w:rsid w:val="00F82325"/>
    <w:rsid w:val="00F91783"/>
    <w:rsid w:val="00FA2321"/>
    <w:rsid w:val="00FB3E31"/>
    <w:rsid w:val="00FB4677"/>
    <w:rsid w:val="00FB6128"/>
    <w:rsid w:val="00FC1604"/>
    <w:rsid w:val="00FC748C"/>
    <w:rsid w:val="00FD30C1"/>
    <w:rsid w:val="00FE12A1"/>
    <w:rsid w:val="00FF7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sChild>
                                            <w:div w:id="8187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65A57A-5062-473A-805D-74A140B1D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50</Pages>
  <Words>25100</Words>
  <Characters>143072</Characters>
  <Application>Microsoft Office Word</Application>
  <DocSecurity>0</DocSecurity>
  <Lines>1192</Lines>
  <Paragraphs>335</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167837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14</cp:revision>
  <cp:lastPrinted>2012-12-30T16:52:00Z</cp:lastPrinted>
  <dcterms:created xsi:type="dcterms:W3CDTF">2012-10-15T14:18:00Z</dcterms:created>
  <dcterms:modified xsi:type="dcterms:W3CDTF">2012-12-30T21:31:00Z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