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762A" w:rsidRPr="00532F44" w:rsidRDefault="0005390C" w:rsidP="003562A1">
      <w:pPr>
        <w:pStyle w:val="Heading1"/>
        <w:numPr>
          <w:ilvl w:val="0"/>
          <w:numId w:val="0"/>
        </w:numPr>
        <w:rPr>
          <w:lang w:val="en-GB"/>
        </w:rPr>
      </w:pPr>
      <w:r w:rsidRPr="00532F44">
        <w:rPr>
          <w:lang w:val="en-GB"/>
        </w:rPr>
        <w:t>Abstract</w:t>
      </w:r>
    </w:p>
    <w:p w:rsidR="00BC10AD" w:rsidRDefault="00B13ECE" w:rsidP="008D11C1">
      <w:pPr>
        <w:rPr>
          <w:b/>
          <w:shd w:val="clear" w:color="auto" w:fill="FFFFFF"/>
        </w:rPr>
      </w:pPr>
      <w:r>
        <w:rPr>
          <w:b/>
          <w:shd w:val="clear" w:color="auto" w:fill="FFFFFF"/>
        </w:rPr>
        <w:t>Background</w:t>
      </w:r>
      <w:r w:rsidR="00BC10AD" w:rsidRPr="00532F44">
        <w:rPr>
          <w:b/>
          <w:shd w:val="clear" w:color="auto" w:fill="FFFFFF"/>
        </w:rPr>
        <w:t xml:space="preserve">: </w:t>
      </w:r>
      <w:r w:rsidR="00BC10AD" w:rsidRPr="00532F44">
        <w:rPr>
          <w:shd w:val="clear" w:color="auto" w:fill="FFFFFF"/>
        </w:rPr>
        <w:t xml:space="preserve">Atrial fibrillation </w:t>
      </w:r>
      <w:r w:rsidR="002D6708">
        <w:rPr>
          <w:shd w:val="clear" w:color="auto" w:fill="FFFFFF"/>
        </w:rPr>
        <w:t>(AF)</w:t>
      </w:r>
      <w:r w:rsidR="00253316">
        <w:rPr>
          <w:shd w:val="clear" w:color="auto" w:fill="FFFFFF"/>
        </w:rPr>
        <w:t xml:space="preserve"> </w:t>
      </w:r>
      <w:r w:rsidR="00BC10AD" w:rsidRPr="00532F44">
        <w:rPr>
          <w:shd w:val="clear" w:color="auto" w:fill="FFFFFF"/>
        </w:rPr>
        <w:t xml:space="preserve">is </w:t>
      </w:r>
      <w:r>
        <w:rPr>
          <w:shd w:val="clear" w:color="auto" w:fill="FFFFFF"/>
        </w:rPr>
        <w:t xml:space="preserve">common and increases </w:t>
      </w:r>
      <w:r w:rsidR="00BC10AD" w:rsidRPr="00532F44">
        <w:rPr>
          <w:shd w:val="clear" w:color="auto" w:fill="FFFFFF"/>
        </w:rPr>
        <w:t>stroke risk</w:t>
      </w:r>
      <w:r>
        <w:rPr>
          <w:shd w:val="clear" w:color="auto" w:fill="FFFFFF"/>
        </w:rPr>
        <w:t xml:space="preserve">. Echocardiography is commonly performed as part of the </w:t>
      </w:r>
      <w:proofErr w:type="spellStart"/>
      <w:r>
        <w:rPr>
          <w:shd w:val="clear" w:color="auto" w:fill="FFFFFF"/>
        </w:rPr>
        <w:t>cardiological</w:t>
      </w:r>
      <w:proofErr w:type="spellEnd"/>
      <w:r>
        <w:rPr>
          <w:shd w:val="clear" w:color="auto" w:fill="FFFFFF"/>
        </w:rPr>
        <w:t xml:space="preserve"> evaluation of patients with AF </w:t>
      </w:r>
      <w:proofErr w:type="spellStart"/>
      <w:r>
        <w:rPr>
          <w:shd w:val="clear" w:color="auto" w:fill="FFFFFF"/>
        </w:rPr>
        <w:t>expecially</w:t>
      </w:r>
      <w:proofErr w:type="spellEnd"/>
      <w:r>
        <w:rPr>
          <w:shd w:val="clear" w:color="auto" w:fill="FFFFFF"/>
        </w:rPr>
        <w:t xml:space="preserve"> to assist with stroke risk stratification (and hence, decisions on </w:t>
      </w:r>
      <w:proofErr w:type="spellStart"/>
      <w:r>
        <w:rPr>
          <w:shd w:val="clear" w:color="auto" w:fill="FFFFFF"/>
        </w:rPr>
        <w:t>thromboprophylaxis</w:t>
      </w:r>
      <w:proofErr w:type="spellEnd"/>
      <w:r>
        <w:rPr>
          <w:shd w:val="clear" w:color="auto" w:fill="FFFFFF"/>
        </w:rPr>
        <w:t xml:space="preserve"> with oral anticoagulants (OACs)). The cost effectiveness of such an approach is unknown.</w:t>
      </w:r>
    </w:p>
    <w:p w:rsidR="00BC10AD" w:rsidRDefault="00BC10AD" w:rsidP="008D11C1">
      <w:pPr>
        <w:rPr>
          <w:shd w:val="clear" w:color="auto" w:fill="FFFFFF"/>
        </w:rPr>
      </w:pPr>
      <w:r>
        <w:rPr>
          <w:b/>
          <w:shd w:val="clear" w:color="auto" w:fill="FFFFFF"/>
        </w:rPr>
        <w:t xml:space="preserve">Objective: </w:t>
      </w:r>
      <w:r>
        <w:rPr>
          <w:shd w:val="clear" w:color="auto" w:fill="FFFFFF"/>
        </w:rPr>
        <w:t xml:space="preserve">To estimate the cost-effectiveness of using transthoracic echocardiography (TTE) in helping to make the decision whether to prescribe an </w:t>
      </w:r>
      <w:r w:rsidR="002D6708">
        <w:rPr>
          <w:shd w:val="clear" w:color="auto" w:fill="FFFFFF"/>
        </w:rPr>
        <w:t>OAC</w:t>
      </w:r>
      <w:r>
        <w:rPr>
          <w:shd w:val="clear" w:color="auto" w:fill="FFFFFF"/>
        </w:rPr>
        <w:t xml:space="preserve"> in new</w:t>
      </w:r>
      <w:r w:rsidR="002D6708">
        <w:rPr>
          <w:shd w:val="clear" w:color="auto" w:fill="FFFFFF"/>
        </w:rPr>
        <w:t>ly diagnosed AF</w:t>
      </w:r>
      <w:r>
        <w:rPr>
          <w:shd w:val="clear" w:color="auto" w:fill="FFFFFF"/>
        </w:rPr>
        <w:t xml:space="preserve"> patients.</w:t>
      </w:r>
    </w:p>
    <w:p w:rsidR="00BC10AD" w:rsidRDefault="00BC10AD" w:rsidP="008D11C1">
      <w:pPr>
        <w:rPr>
          <w:shd w:val="clear" w:color="auto" w:fill="FFFFFF"/>
        </w:rPr>
      </w:pPr>
      <w:r>
        <w:rPr>
          <w:b/>
          <w:shd w:val="clear" w:color="auto" w:fill="FFFFFF"/>
        </w:rPr>
        <w:t>Design</w:t>
      </w:r>
      <w:r>
        <w:rPr>
          <w:shd w:val="clear" w:color="auto" w:fill="FFFFFF"/>
        </w:rPr>
        <w:t>: Diagnostic economic modeling analysis.</w:t>
      </w:r>
    </w:p>
    <w:p w:rsidR="00BC10AD" w:rsidRDefault="00BC10AD" w:rsidP="008D11C1">
      <w:pPr>
        <w:rPr>
          <w:shd w:val="clear" w:color="auto" w:fill="FFFFFF"/>
        </w:rPr>
      </w:pPr>
      <w:r>
        <w:rPr>
          <w:b/>
          <w:shd w:val="clear" w:color="auto" w:fill="FFFFFF"/>
        </w:rPr>
        <w:t>Setting:</w:t>
      </w:r>
      <w:r>
        <w:rPr>
          <w:shd w:val="clear" w:color="auto" w:fill="FFFFFF"/>
        </w:rPr>
        <w:t xml:space="preserve"> United Kingdom.</w:t>
      </w:r>
    </w:p>
    <w:p w:rsidR="00BC10AD" w:rsidRDefault="00BC10AD" w:rsidP="008D11C1">
      <w:pPr>
        <w:rPr>
          <w:shd w:val="clear" w:color="auto" w:fill="FFFFFF"/>
        </w:rPr>
      </w:pPr>
      <w:r>
        <w:rPr>
          <w:b/>
          <w:shd w:val="clear" w:color="auto" w:fill="FFFFFF"/>
        </w:rPr>
        <w:t>Model:</w:t>
      </w:r>
      <w:r>
        <w:rPr>
          <w:shd w:val="clear" w:color="auto" w:fill="FFFFFF"/>
        </w:rPr>
        <w:t xml:space="preserve"> Diagnostic discrete event simulation model.</w:t>
      </w:r>
    </w:p>
    <w:p w:rsidR="00CD343F" w:rsidRDefault="00CD343F" w:rsidP="00CD343F">
      <w:pPr>
        <w:rPr>
          <w:shd w:val="clear" w:color="auto" w:fill="FFFFFF"/>
        </w:rPr>
      </w:pPr>
      <w:r>
        <w:rPr>
          <w:b/>
          <w:shd w:val="clear" w:color="auto" w:fill="FFFFFF"/>
        </w:rPr>
        <w:t>Comparisons:</w:t>
      </w:r>
      <w:r w:rsidRPr="00532F44">
        <w:rPr>
          <w:b/>
          <w:shd w:val="clear" w:color="auto" w:fill="FFFFFF"/>
        </w:rPr>
        <w:t xml:space="preserve"> </w:t>
      </w:r>
      <w:r>
        <w:rPr>
          <w:shd w:val="clear" w:color="auto" w:fill="FFFFFF"/>
        </w:rPr>
        <w:t>Decisions and consequences following from using TTE in combination with</w:t>
      </w:r>
      <w:r w:rsidRPr="00532F44">
        <w:rPr>
          <w:shd w:val="clear" w:color="auto" w:fill="FFFFFF"/>
        </w:rPr>
        <w:t xml:space="preserve"> CHADS</w:t>
      </w:r>
      <w:r w:rsidRPr="00532F44">
        <w:rPr>
          <w:shd w:val="clear" w:color="auto" w:fill="FFFFFF"/>
          <w:vertAlign w:val="subscript"/>
        </w:rPr>
        <w:t>2</w:t>
      </w:r>
      <w:r w:rsidRPr="00532F44">
        <w:rPr>
          <w:shd w:val="clear" w:color="auto" w:fill="FFFFFF"/>
        </w:rPr>
        <w:t>, a standard clinical decision tool,</w:t>
      </w:r>
      <w:r>
        <w:rPr>
          <w:shd w:val="clear" w:color="auto" w:fill="FFFFFF"/>
        </w:rPr>
        <w:t xml:space="preserve"> were compared with those when using CHADS</w:t>
      </w:r>
      <w:r w:rsidRPr="00CD343F">
        <w:rPr>
          <w:shd w:val="clear" w:color="auto" w:fill="FFFFFF"/>
          <w:vertAlign w:val="subscript"/>
        </w:rPr>
        <w:t>2</w:t>
      </w:r>
      <w:r>
        <w:rPr>
          <w:shd w:val="clear" w:color="auto" w:fill="FFFFFF"/>
        </w:rPr>
        <w:t xml:space="preserve"> alone. </w:t>
      </w:r>
    </w:p>
    <w:p w:rsidR="00CD343F" w:rsidRDefault="00CD343F" w:rsidP="00CD343F">
      <w:r>
        <w:rPr>
          <w:b/>
          <w:shd w:val="clear" w:color="auto" w:fill="FFFFFF"/>
        </w:rPr>
        <w:t>Treatments considered:</w:t>
      </w:r>
      <w:r w:rsidRPr="00532F44">
        <w:rPr>
          <w:shd w:val="clear" w:color="auto" w:fill="FFFFFF"/>
        </w:rPr>
        <w:t xml:space="preserve"> warf</w:t>
      </w:r>
      <w:r>
        <w:rPr>
          <w:shd w:val="clear" w:color="auto" w:fill="FFFFFF"/>
        </w:rPr>
        <w:t xml:space="preserve">arin, </w:t>
      </w:r>
      <w:proofErr w:type="spellStart"/>
      <w:r>
        <w:rPr>
          <w:shd w:val="clear" w:color="auto" w:fill="FFFFFF"/>
        </w:rPr>
        <w:t>dabigatran</w:t>
      </w:r>
      <w:proofErr w:type="spellEnd"/>
      <w:r>
        <w:rPr>
          <w:shd w:val="clear" w:color="auto" w:fill="FFFFFF"/>
        </w:rPr>
        <w:t xml:space="preserve"> and </w:t>
      </w:r>
      <w:proofErr w:type="spellStart"/>
      <w:r>
        <w:rPr>
          <w:shd w:val="clear" w:color="auto" w:fill="FFFFFF"/>
        </w:rPr>
        <w:t>rivaroxaban</w:t>
      </w:r>
      <w:proofErr w:type="spellEnd"/>
      <w:r w:rsidRPr="00532F44">
        <w:rPr>
          <w:shd w:val="clear" w:color="auto" w:fill="FFFFFF"/>
        </w:rPr>
        <w:t xml:space="preserve"> </w:t>
      </w:r>
      <w:r>
        <w:rPr>
          <w:shd w:val="clear" w:color="auto" w:fill="FFFFFF"/>
        </w:rPr>
        <w:t>were all considered separately as OACs which may be prescribed as a result of the information provided by TTE.</w:t>
      </w:r>
      <w:r w:rsidRPr="009137B7">
        <w:t xml:space="preserve"> </w:t>
      </w:r>
    </w:p>
    <w:p w:rsidR="00BC10AD" w:rsidRDefault="00BC10AD" w:rsidP="008D11C1">
      <w:pPr>
        <w:rPr>
          <w:shd w:val="clear" w:color="auto" w:fill="FFFFFF"/>
        </w:rPr>
      </w:pPr>
      <w:r>
        <w:rPr>
          <w:b/>
          <w:shd w:val="clear" w:color="auto" w:fill="FFFFFF"/>
        </w:rPr>
        <w:t xml:space="preserve">Population: </w:t>
      </w:r>
      <w:r>
        <w:rPr>
          <w:shd w:val="clear" w:color="auto" w:fill="FFFFFF"/>
        </w:rPr>
        <w:t xml:space="preserve"> Newly diagnosed AF patients. </w:t>
      </w:r>
      <w:r w:rsidR="00CD343F" w:rsidRPr="009137B7">
        <w:t>Cohorts were simulated where the CHADS</w:t>
      </w:r>
      <w:r w:rsidR="00CD343F" w:rsidRPr="009137B7">
        <w:rPr>
          <w:vertAlign w:val="subscript"/>
        </w:rPr>
        <w:t>2</w:t>
      </w:r>
      <w:r w:rsidR="00CD343F" w:rsidRPr="009137B7">
        <w:t xml:space="preserve"> scores alone would not lead to a decision to prescribe OACs. Both males and females were considered, assumed to be aged either 50 or 65 years of age, and with different existing risk profiles.</w:t>
      </w:r>
    </w:p>
    <w:p w:rsidR="00772D0B" w:rsidRPr="00532F44" w:rsidRDefault="00CD343F" w:rsidP="008D11C1">
      <w:pPr>
        <w:rPr>
          <w:rStyle w:val="apple-converted-space"/>
          <w:rFonts w:ascii="Arial" w:hAnsi="Arial" w:cs="Arial"/>
          <w:sz w:val="20"/>
          <w:szCs w:val="20"/>
          <w:shd w:val="clear" w:color="auto" w:fill="FFFFFF"/>
        </w:rPr>
      </w:pPr>
      <w:r w:rsidRPr="00FC748C">
        <w:rPr>
          <w:b/>
          <w:shd w:val="clear" w:color="auto" w:fill="FFFFFF"/>
        </w:rPr>
        <w:t>Main outcome measures</w:t>
      </w:r>
      <w:r>
        <w:rPr>
          <w:shd w:val="clear" w:color="auto" w:fill="FFFFFF"/>
        </w:rPr>
        <w:t xml:space="preserve">: </w:t>
      </w:r>
      <w:r w:rsidR="00FC748C">
        <w:rPr>
          <w:shd w:val="clear" w:color="auto" w:fill="FFFFFF"/>
        </w:rPr>
        <w:t>Q</w:t>
      </w:r>
      <w:r>
        <w:rPr>
          <w:shd w:val="clear" w:color="auto" w:fill="FFFFFF"/>
        </w:rPr>
        <w:t>uality adjusted life</w:t>
      </w:r>
      <w:r w:rsidR="002D6708">
        <w:rPr>
          <w:shd w:val="clear" w:color="auto" w:fill="FFFFFF"/>
        </w:rPr>
        <w:t xml:space="preserve"> </w:t>
      </w:r>
      <w:r>
        <w:rPr>
          <w:shd w:val="clear" w:color="auto" w:fill="FFFFFF"/>
        </w:rPr>
        <w:t xml:space="preserve">years (QALYs) gained, strokes averted, effects on cost and major bleeding events. </w:t>
      </w:r>
    </w:p>
    <w:p w:rsidR="00772D0B" w:rsidRPr="00532F44" w:rsidRDefault="00772D0B" w:rsidP="008D11C1">
      <w:pPr>
        <w:rPr>
          <w:rStyle w:val="apple-converted-space"/>
          <w:rFonts w:ascii="Arial" w:hAnsi="Arial" w:cs="Arial"/>
          <w:sz w:val="20"/>
          <w:szCs w:val="20"/>
          <w:shd w:val="clear" w:color="auto" w:fill="FFFFFF"/>
        </w:rPr>
      </w:pPr>
      <w:r w:rsidRPr="00532F44">
        <w:rPr>
          <w:b/>
          <w:bCs/>
          <w:shd w:val="clear" w:color="auto" w:fill="FFFFFF"/>
        </w:rPr>
        <w:t>Results</w:t>
      </w:r>
      <w:r w:rsidR="00AE69C3" w:rsidRPr="00532F44">
        <w:rPr>
          <w:b/>
          <w:bCs/>
          <w:shd w:val="clear" w:color="auto" w:fill="FFFFFF"/>
        </w:rPr>
        <w:t xml:space="preserve">: </w:t>
      </w:r>
      <w:r w:rsidR="00253316">
        <w:rPr>
          <w:bCs/>
          <w:shd w:val="clear" w:color="auto" w:fill="FFFFFF"/>
        </w:rPr>
        <w:t>[Revise after Warf=0 results]</w:t>
      </w:r>
    </w:p>
    <w:p w:rsidR="005B26D5" w:rsidRPr="00532F44" w:rsidRDefault="00772D0B" w:rsidP="005B26D5">
      <w:pPr>
        <w:rPr>
          <w:b/>
          <w:shd w:val="clear" w:color="auto" w:fill="FFFFFF"/>
        </w:rPr>
      </w:pPr>
      <w:r w:rsidRPr="00532F44">
        <w:rPr>
          <w:b/>
          <w:shd w:val="clear" w:color="auto" w:fill="FFFFFF"/>
        </w:rPr>
        <w:t>Conclusions</w:t>
      </w:r>
      <w:r w:rsidR="00C314AC" w:rsidRPr="00532F44">
        <w:rPr>
          <w:b/>
          <w:shd w:val="clear" w:color="auto" w:fill="FFFFFF"/>
        </w:rPr>
        <w:t xml:space="preserve">: </w:t>
      </w:r>
      <w:r w:rsidR="00253316">
        <w:t xml:space="preserve">[Revise after </w:t>
      </w:r>
      <w:proofErr w:type="spellStart"/>
      <w:r w:rsidR="00253316">
        <w:t>warf</w:t>
      </w:r>
      <w:proofErr w:type="spellEnd"/>
      <w:r w:rsidR="00253316">
        <w:t>=0 results]</w:t>
      </w:r>
    </w:p>
    <w:p w:rsidR="0005390C" w:rsidRPr="00532F44" w:rsidRDefault="00A42D14" w:rsidP="008D11C1">
      <w:pPr>
        <w:rPr>
          <w:lang w:val="en-GB"/>
        </w:rPr>
      </w:pPr>
      <w:r w:rsidRPr="00532F44">
        <w:rPr>
          <w:shd w:val="clear" w:color="auto" w:fill="FFFFFF"/>
        </w:rPr>
        <w:t xml:space="preserve"> </w:t>
      </w:r>
    </w:p>
    <w:p w:rsidR="00834F71" w:rsidRPr="00532F44" w:rsidRDefault="00834F71" w:rsidP="003562A1">
      <w:pPr>
        <w:pStyle w:val="Heading2"/>
        <w:numPr>
          <w:ilvl w:val="0"/>
          <w:numId w:val="0"/>
        </w:numPr>
        <w:sectPr w:rsidR="00834F71" w:rsidRPr="00532F44" w:rsidSect="001C47C7">
          <w:footerReference w:type="default" r:id="rId9"/>
          <w:pgSz w:w="11906" w:h="16838"/>
          <w:pgMar w:top="1440" w:right="1440" w:bottom="1440" w:left="1440" w:header="709" w:footer="709" w:gutter="0"/>
          <w:lnNumType w:countBy="1"/>
          <w:cols w:space="708"/>
          <w:docGrid w:linePitch="360"/>
        </w:sectPr>
      </w:pPr>
    </w:p>
    <w:p w:rsidR="0005390C" w:rsidRPr="00532F44" w:rsidRDefault="0005390C" w:rsidP="003378D6">
      <w:pPr>
        <w:pStyle w:val="Heading1"/>
        <w:numPr>
          <w:ilvl w:val="0"/>
          <w:numId w:val="0"/>
        </w:numPr>
      </w:pPr>
      <w:r w:rsidRPr="00532F44">
        <w:lastRenderedPageBreak/>
        <w:t>Introduction</w:t>
      </w:r>
    </w:p>
    <w:p w:rsidR="003378D6" w:rsidRPr="00532F44" w:rsidRDefault="003378D6" w:rsidP="003378D6">
      <w:pPr>
        <w:pStyle w:val="Heading2"/>
        <w:numPr>
          <w:ilvl w:val="0"/>
          <w:numId w:val="0"/>
        </w:numPr>
      </w:pPr>
      <w:r w:rsidRPr="00532F44">
        <w:t>Background</w:t>
      </w:r>
    </w:p>
    <w:p w:rsidR="00E55A94" w:rsidRPr="00532F44" w:rsidRDefault="00862C39" w:rsidP="008D3B31">
      <w:pPr>
        <w:spacing w:line="480" w:lineRule="auto"/>
      </w:pPr>
      <w:r w:rsidRPr="00532F44">
        <w:t xml:space="preserve">Atrial fibrillation (AF) is a </w:t>
      </w:r>
      <w:r w:rsidR="00D22AB2">
        <w:t xml:space="preserve">common arrhythmia affecting </w:t>
      </w:r>
      <w:r w:rsidR="00665212" w:rsidRPr="00532F44">
        <w:t>around 1-2% of the UK population</w:t>
      </w:r>
      <w:r w:rsidR="000F1748" w:rsidRPr="00532F44">
        <w:t xml:space="preserve"> and is a significant risk factor for stroke</w:t>
      </w:r>
      <w:r w:rsidR="00356EEF" w:rsidRPr="00532F44">
        <w:t>.</w:t>
      </w:r>
      <w:r w:rsidR="002F05E5" w:rsidRPr="00532F44">
        <w:fldChar w:fldCharType="begin" w:fldLock="1"/>
      </w:r>
      <w:r w:rsidR="00253316">
        <w:instrText>ADDIN CSL_CITATION { "citationItems" : [ { "id" : "ITEM-1", "itemData" : { "abstract" : "Atrial fibrillation is the most common arrhythmia in elderly persons and a potent risk factor for stroke. However, recent prevalence and projected future numbers of persons with atrial fibrillation are not well described.", "author" : [ { "dropping-particle" : "", "family" : "Go", "given" : "A S", "non-dropping-particle" : "", "parse-names" : false, "suffix" : "" }, { "dropping-particle" : "", "family" : "Hylek", "given" : "E M", "non-dropping-particle" : "", "parse-names" : false, "suffix" : "" }, { "dropping-particle" : "", "family" : "Phillips", "given" : "K A", "non-dropping-particle" : "", "parse-names" : false, "suffix" : "" }, { "dropping-particle" : "", "family" : "Chang", "given" : "Y", "non-dropping-particle" : "", "parse-names" : false, "suffix" : "" }, { "dropping-particle" : "", "family" : "Henault", "given" : "L E", "non-dropping-particle" : "", "parse-names" : false, "suffix" : "" }, { "dropping-particle" : "V", "family" : "Selby", "given" : "J", "non-dropping-particle" : "", "parse-names" : false, "suffix" : "" }, { "dropping-particle" : "", "family" : "Singer", "given" : "D E", "non-dropping-particle" : "", "parse-names" : false, "suffix" : "" } ], "container-title" : "JAMA : the journal of the American Medical Association", "id" : "ITEM-1", "issue" : "18", "issued" : { "date-parts" : [ [ "2001", "5", "9" ] ] }, "page" : "2370-5", "title" : "Prevalence of diagnosed atrial fibrillation in adults: national implications for rhythm management and stroke prevention: the AnTicoagulation and Risk Factors in Atrial Fibrillation (ATRIA) Study.", "type" : "article-journal", "volume" : "285" }, "uris" : [ "http://www.mendeley.com/documents/?uuid=f30d1cf5-58b0-4c35-b298-fbbe4563156a" ] } ], "mendeley" : { "previouslyFormattedCitation" : "[1]" }, "properties" : { "noteIndex" : 0 }, "schema" : "https://github.com/citation-style-language/schema/raw/master/csl-citation.json" }</w:instrText>
      </w:r>
      <w:r w:rsidR="002F05E5" w:rsidRPr="00532F44">
        <w:fldChar w:fldCharType="separate"/>
      </w:r>
      <w:r w:rsidR="009137B7" w:rsidRPr="009137B7">
        <w:rPr>
          <w:noProof/>
        </w:rPr>
        <w:t>[1]</w:t>
      </w:r>
      <w:r w:rsidR="002F05E5" w:rsidRPr="00532F44">
        <w:fldChar w:fldCharType="end"/>
      </w:r>
      <w:r w:rsidR="00665212" w:rsidRPr="00532F44">
        <w:t xml:space="preserve"> </w:t>
      </w:r>
      <w:r w:rsidR="00B37EDA" w:rsidRPr="00532F44">
        <w:t>E</w:t>
      </w:r>
      <w:r w:rsidRPr="00532F44">
        <w:t>ffective management of AF and the associated stroke risk is important</w:t>
      </w:r>
      <w:r w:rsidR="003F5221" w:rsidRPr="00532F44">
        <w:t xml:space="preserve"> for reducing mortality and morbidity risks that result from </w:t>
      </w:r>
      <w:r w:rsidR="00D22AB2">
        <w:t xml:space="preserve">this </w:t>
      </w:r>
      <w:proofErr w:type="spellStart"/>
      <w:r w:rsidR="00D22AB2">
        <w:t>arrhhythmia</w:t>
      </w:r>
      <w:proofErr w:type="spellEnd"/>
      <w:r w:rsidRPr="00532F44">
        <w:t xml:space="preserve">. Oral anticoagulants (OACs) reduce the risk of stroke, but </w:t>
      </w:r>
      <w:r w:rsidR="00D22AB2">
        <w:t xml:space="preserve">could potentially </w:t>
      </w:r>
      <w:r w:rsidR="000F1748" w:rsidRPr="00532F44">
        <w:t>cause major bleeding</w:t>
      </w:r>
      <w:r w:rsidR="00374A9D" w:rsidRPr="00532F44">
        <w:t>.</w:t>
      </w:r>
      <w:r w:rsidR="00356EEF" w:rsidRPr="00532F44">
        <w:t xml:space="preserve"> </w:t>
      </w:r>
      <w:r w:rsidR="002F05E5" w:rsidRPr="00532F44">
        <w:fldChar w:fldCharType="begin" w:fldLock="1"/>
      </w:r>
      <w:r w:rsidR="00253316">
        <w:instrText>ADDIN CSL_CITATION { "citationItems" : [ { "id" : "ITEM-1", "itemData" : { "DOI" : "10.1016/j.ahj.2009.11.025", "abstract" : "Atrial fibrillation (AF), the most common significant cardiac arrhythmia, increases the risk of stroke, particularly in the elderly. Warfarin is effective in reducing stroke risk but is burdensome to patients and is difficult to control. Rivaroxaban is an oral direct factor Xa inhibitor in advanced development as an alternative to warfarin for the prevention and treatment of thromboembolic disorders.", "container-title" : "American heart journal", "id" : "ITEM-1", "issue" : "3", "issued" : { "date-parts" : [ [ "2010", "3" ] ] }, "page" : "340-347.e1", "title" : "Rivaroxaban-once daily, oral, direct factor Xa inhibition compared with vitamin K antagonism for prevention of stroke and Embolism Trial in Atrial Fibrillation: rationale and design of the ROCKET AF study.", "type" : "article-journal", "volume" : "159" }, "uris" : [ "http://www.mendeley.com/documents/?uuid=96a8955b-ba1a-4c08-98f5-c96de9a3db66" ] } ], "mendeley" : { "previouslyFormattedCitation" : "[2]" }, "properties" : { "noteIndex" : 0 }, "schema" : "https://github.com/citation-style-language/schema/raw/master/csl-citation.json" }</w:instrText>
      </w:r>
      <w:r w:rsidR="002F05E5" w:rsidRPr="00532F44">
        <w:fldChar w:fldCharType="separate"/>
      </w:r>
      <w:r w:rsidR="009137B7" w:rsidRPr="009137B7">
        <w:rPr>
          <w:noProof/>
        </w:rPr>
        <w:t>[2]</w:t>
      </w:r>
      <w:r w:rsidR="002F05E5" w:rsidRPr="00532F44">
        <w:fldChar w:fldCharType="end"/>
      </w:r>
      <w:r w:rsidR="00374A9D" w:rsidRPr="00532F44">
        <w:t xml:space="preserve"> </w:t>
      </w:r>
    </w:p>
    <w:p w:rsidR="00C87195" w:rsidRPr="00532F44" w:rsidRDefault="003D3DC2" w:rsidP="008D3B31">
      <w:pPr>
        <w:spacing w:line="480" w:lineRule="auto"/>
      </w:pPr>
      <w:r w:rsidRPr="00532F44">
        <w:t xml:space="preserve">As well as exposing patients to a risk of major bleeding events, </w:t>
      </w:r>
      <w:r w:rsidR="00BD0097" w:rsidRPr="00532F44">
        <w:t xml:space="preserve">OACs </w:t>
      </w:r>
      <w:r w:rsidR="00A84C60" w:rsidRPr="00532F44">
        <w:t>impose a cost burden</w:t>
      </w:r>
      <w:r w:rsidR="00862C39" w:rsidRPr="00532F44">
        <w:t>, either directly due to drug acquisition costs in the case of new</w:t>
      </w:r>
      <w:r w:rsidR="00542E72" w:rsidRPr="00532F44">
        <w:t>er</w:t>
      </w:r>
      <w:r w:rsidR="00862C39" w:rsidRPr="00532F44">
        <w:t xml:space="preserve"> </w:t>
      </w:r>
      <w:r w:rsidR="00BE4AC4">
        <w:t xml:space="preserve">OAC </w:t>
      </w:r>
      <w:r w:rsidR="00862C39" w:rsidRPr="00532F44">
        <w:t xml:space="preserve">drugs like </w:t>
      </w:r>
      <w:proofErr w:type="spellStart"/>
      <w:r w:rsidR="00862C39" w:rsidRPr="00532F44">
        <w:t>dabigatran</w:t>
      </w:r>
      <w:proofErr w:type="spellEnd"/>
      <w:r w:rsidR="003E2C5D" w:rsidRPr="00532F44">
        <w:t xml:space="preserve"> or </w:t>
      </w:r>
      <w:proofErr w:type="spellStart"/>
      <w:r w:rsidR="003E2C5D" w:rsidRPr="00532F44">
        <w:t>rivaroxaban</w:t>
      </w:r>
      <w:proofErr w:type="spellEnd"/>
      <w:r w:rsidR="00862C39" w:rsidRPr="00532F44">
        <w:t>, or indirectly due to monitoring costs in the case of warfarin.</w:t>
      </w:r>
      <w:r w:rsidR="009A6772" w:rsidRPr="00532F44">
        <w:t xml:space="preserve"> It should be noted that even where an intervention is clinically effective it does not necessarily follow </w:t>
      </w:r>
      <w:r w:rsidR="00C87195" w:rsidRPr="00532F44">
        <w:t xml:space="preserve">that it </w:t>
      </w:r>
      <w:r w:rsidR="009A6772" w:rsidRPr="00532F44">
        <w:t>is also cost effective.</w:t>
      </w:r>
      <w:r w:rsidR="00862C39" w:rsidRPr="00532F44">
        <w:t xml:space="preserve"> </w:t>
      </w:r>
      <w:r w:rsidR="009A6772" w:rsidRPr="00532F44">
        <w:t xml:space="preserve">If the risk of stroke in the patient is low, then the increased health risks </w:t>
      </w:r>
      <w:r w:rsidR="00732E2A" w:rsidRPr="00532F44">
        <w:t xml:space="preserve">associated with </w:t>
      </w:r>
      <w:r w:rsidR="009A6772" w:rsidRPr="00532F44">
        <w:t xml:space="preserve">OACs may outweigh the benefits, and so a </w:t>
      </w:r>
      <w:r w:rsidR="00374A9D" w:rsidRPr="00532F44">
        <w:t>range of diagnostic to</w:t>
      </w:r>
      <w:r w:rsidR="00732E2A" w:rsidRPr="00532F44">
        <w:t>ols are used to identify higher-</w:t>
      </w:r>
      <w:r w:rsidR="00374A9D" w:rsidRPr="00532F44">
        <w:t>risk patients</w:t>
      </w:r>
      <w:r w:rsidR="00655A1D" w:rsidRPr="00532F44">
        <w:t xml:space="preserve">, including </w:t>
      </w:r>
      <w:r w:rsidR="00395BE3" w:rsidRPr="00532F44">
        <w:t>clinical prediction rules using patient history and characteristics</w:t>
      </w:r>
      <w:r w:rsidR="00374A9D" w:rsidRPr="00532F44">
        <w:t>.</w:t>
      </w:r>
      <w:r w:rsidR="00307F5F" w:rsidRPr="00532F44">
        <w:t xml:space="preserve"> </w:t>
      </w:r>
    </w:p>
    <w:p w:rsidR="00C87195" w:rsidRPr="00532F44" w:rsidRDefault="00732E2A" w:rsidP="00BE4AC4">
      <w:pPr>
        <w:spacing w:line="480" w:lineRule="auto"/>
      </w:pPr>
      <w:r w:rsidRPr="00532F44">
        <w:t xml:space="preserve">A commonly used risk prediction </w:t>
      </w:r>
      <w:r w:rsidR="00153929" w:rsidRPr="00532F44">
        <w:t>rule</w:t>
      </w:r>
      <w:r w:rsidRPr="00532F44">
        <w:t xml:space="preserve"> for assessing stroke risk is </w:t>
      </w:r>
      <w:r w:rsidR="00BE4AC4">
        <w:t xml:space="preserve">the </w:t>
      </w:r>
      <w:r w:rsidRPr="00532F44">
        <w:t>CHADS</w:t>
      </w:r>
      <w:r w:rsidRPr="00532F44">
        <w:rPr>
          <w:vertAlign w:val="subscript"/>
        </w:rPr>
        <w:t>2</w:t>
      </w:r>
      <w:r w:rsidR="00BE4AC4">
        <w:t xml:space="preserve"> score,</w:t>
      </w:r>
      <w:r w:rsidRPr="00532F44">
        <w:t xml:space="preserve"> </w:t>
      </w:r>
      <w:r w:rsidR="00BE4AC4">
        <w:t xml:space="preserve">which is an acronym for (C) congestive heart failure, (H) hypertension, (A) aged 75 years or older or (D) diabetes; and prior stroke, transient ischemic attack </w:t>
      </w:r>
      <w:r w:rsidR="00BE4AC4" w:rsidRPr="00532F44">
        <w:t>(S</w:t>
      </w:r>
      <w:r w:rsidR="00BE4AC4" w:rsidRPr="00532F44">
        <w:rPr>
          <w:vertAlign w:val="subscript"/>
        </w:rPr>
        <w:t>2</w:t>
      </w:r>
      <w:r w:rsidR="00BE4AC4" w:rsidRPr="00532F44">
        <w:t>)</w:t>
      </w:r>
      <w:r w:rsidR="00BE4AC4">
        <w:t xml:space="preserve"> </w:t>
      </w:r>
      <w:r w:rsidR="002F05E5" w:rsidRPr="00532F44">
        <w:fldChar w:fldCharType="begin" w:fldLock="1"/>
      </w:r>
      <w:r w:rsidR="00253316">
        <w:instrText>ADDIN CSL_CITATION { "citationItems" : [ { "id" : "ITEM-1", "itemData" : { "DOI" : "ehq278 [pii]\n10.1093/eurheartj/ehq278", "ISBN" : "1522-9645 (Electronic)\n0195-668X (Linking)",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2F05E5" w:rsidRPr="00532F44">
        <w:fldChar w:fldCharType="separate"/>
      </w:r>
      <w:r w:rsidR="009137B7" w:rsidRPr="009137B7">
        <w:rPr>
          <w:noProof/>
        </w:rPr>
        <w:t>[3]</w:t>
      </w:r>
      <w:r w:rsidR="002F05E5" w:rsidRPr="00532F44">
        <w:fldChar w:fldCharType="end"/>
      </w:r>
      <w:r w:rsidRPr="00532F44">
        <w:t xml:space="preserve"> </w:t>
      </w:r>
      <w:r w:rsidR="00BE4AC4">
        <w:t xml:space="preserve">In the 2010 European guidelines, if the </w:t>
      </w:r>
      <w:r w:rsidR="00BE4AC4" w:rsidRPr="00BE4AC4">
        <w:t>CHADS</w:t>
      </w:r>
      <w:r w:rsidR="00BE4AC4">
        <w:softHyphen/>
      </w:r>
      <w:r w:rsidR="00BE4AC4" w:rsidRPr="00BE4AC4">
        <w:rPr>
          <w:vertAlign w:val="subscript"/>
        </w:rPr>
        <w:t>2</w:t>
      </w:r>
      <w:r w:rsidR="00BE4AC4">
        <w:rPr>
          <w:vertAlign w:val="subscript"/>
        </w:rPr>
        <w:t xml:space="preserve"> </w:t>
      </w:r>
      <w:r w:rsidR="00BE4AC4">
        <w:t>score is one point or over, the OAC should be prescribed. In patients with a CHADS</w:t>
      </w:r>
      <w:r w:rsidR="00BE4AC4" w:rsidRPr="00FF7CB5">
        <w:rPr>
          <w:vertAlign w:val="subscript"/>
        </w:rPr>
        <w:t>2</w:t>
      </w:r>
      <w:r w:rsidR="00BE4AC4">
        <w:t xml:space="preserve"> score of zero, additional risk factors such as being between over 65 years old, being </w:t>
      </w:r>
      <w:proofErr w:type="gramStart"/>
      <w:r w:rsidR="00BE4AC4">
        <w:t>female,</w:t>
      </w:r>
      <w:proofErr w:type="gramEnd"/>
      <w:r w:rsidR="00BE4AC4">
        <w:t xml:space="preserve"> and vascular diseases should be considered as part of the C</w:t>
      </w:r>
      <w:r w:rsidR="00354D59">
        <w:t>H</w:t>
      </w:r>
      <w:r w:rsidR="00BE4AC4">
        <w:t>A</w:t>
      </w:r>
      <w:r w:rsidR="00BE4AC4" w:rsidRPr="00354D59">
        <w:rPr>
          <w:vertAlign w:val="subscript"/>
        </w:rPr>
        <w:t>2</w:t>
      </w:r>
      <w:r w:rsidR="00BE4AC4">
        <w:t>DS</w:t>
      </w:r>
      <w:r w:rsidR="00354D59" w:rsidRPr="00354D59">
        <w:rPr>
          <w:vertAlign w:val="subscript"/>
        </w:rPr>
        <w:t>2</w:t>
      </w:r>
      <w:r w:rsidR="00BE4AC4">
        <w:t xml:space="preserve">-VASc score. </w:t>
      </w:r>
      <w:r w:rsidR="00354D59">
        <w:fldChar w:fldCharType="begin" w:fldLock="1"/>
      </w:r>
      <w:r w:rsidR="00253316">
        <w:instrText>ADDIN CSL_CITATION { "citationItems" : [ { "id" : "ITEM-1", "itemData" : { "DOI" : "ehq278 [pii]\n10.1093/eurheartj/ehq278", "ISBN" : "1522-9645 (Electronic)\n0195-668X (Linking)",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354D59">
        <w:fldChar w:fldCharType="separate"/>
      </w:r>
      <w:r w:rsidR="00354D59" w:rsidRPr="00354D59">
        <w:rPr>
          <w:noProof/>
        </w:rPr>
        <w:t>[3]</w:t>
      </w:r>
      <w:r w:rsidR="00354D59">
        <w:fldChar w:fldCharType="end"/>
      </w:r>
      <w:r w:rsidR="00354D59">
        <w:t xml:space="preserve"> </w:t>
      </w:r>
      <w:r w:rsidR="00BE4AC4">
        <w:t>The latter score is the only recommend stroke score in the 2012 focused update of the ESC guidelines.</w:t>
      </w:r>
      <w:r w:rsidR="00C87195" w:rsidRPr="00532F44">
        <w:t xml:space="preserve">  </w:t>
      </w:r>
      <w:r w:rsidR="00354D59">
        <w:fldChar w:fldCharType="begin" w:fldLock="1"/>
      </w:r>
      <w:r w:rsidR="00253316">
        <w:instrText>ADDIN CSL_CITATION { "citationItems" : [ { "id" : "ITEM-1", "itemData" : { "DOI" : "10.1093/eurheartj/ehs253", "author" : [ { "dropping-particle" : "", "family" : "Camm", "given" : "A John", "non-dropping-particle" : "", "parse-names" : false, "suffix" : "" }, { "dropping-particle" : "", "family" : "Lip", "given" : "Gregory Y H", "non-dropping-particle" : "", "parse-names" : false, "suffix" : "" }, { "dropping-particle" : "", "family" : "Caterina", "given" : "Raffaele", "non-dropping-particle" : "De", "parse-names" : false, "suffix" : "" }, { "dropping-particle" : "", "family" : "Savelieva", "given" : "Irene", "non-dropping-particle" : "", "parse-names" : false, "suffix" : "" }, { "dropping-particle" : "", "family" : "Atar", "given" : "Dan", "non-dropping-particle" : "", "parse-names" : false, "suffix" : "" }, { "dropping-particle" : "", "family" : "Hohnloser", "given" : "Stefan H", "non-dropping-particle" : "", "parse-names" : false, "suffix" : "" }, { "dropping-particle" : "", "family" : "Hindricks", "given" : "Gerhard", "non-dropping-particle" : "", "parse-names" : false, "suffix" : "" }, { "dropping-particle" : "", "family" : "Kirchhof", "given" : "Paulus", "non-dropping-particle" : "", "parse-names" : false, "suffix" : "" }, { "dropping-particle" : "", "family" : "Bax", "given" : "Jeroen J", "non-dropping-particle" : "", "parse-names" : false, "suffix" : "" }, { "dropping-particle" : "", "family" : "Baumgartner", "given" : "Helmut", "non-dropping-particle" : "", "parse-names" : false, "suffix" : "" }, { "dropping-particle" : "", "family" : "Ceconi", "given" : "Claudio", "non-dropping-particle" : "", "parse-names" : false, "suffix" : "" }, { "dropping-particle" : "", "family" : "Dean", "given" : "Veronica", "non-dropping-particle" : "", "parse-names" : false, "suffix" : "" }, { "dropping-particle" : "", "family" : "Deaton", "given" : "Christi", "non-dropping-particle" : "", "parse-names" : false, "suffix" : "" }, { "dropping-particle" : "", "family" : "Fagard", "given" : "Robert", "non-dropping-particle" : "", "parse-names" : false, "suffix" : "" }, { "dropping-particle" : "", "family" : "Funck-Brentano", "given" : "Christian", "non-dropping-particle" : "", "parse-names" : false, "suffix" : "" }, { "dropping-particle" : "", "family" : "Hasdai", "given" : "David", "non-dropping-particle" : "", "parse-names" : false, "suffix" : "" }, { "dropping-particle" : "", "family" : "Hoes", "given" : "Arno", "non-dropping-particle" : "", "parse-names" : false, "suffix" : "" }, { "dropping-particle" : "", "family" : "Knuuti", "given" : "Juhani", "non-dropping-particle" : "", "parse-names" : false, "suffix" : "" }, { "dropping-particle" : "", "family" : "Kolh", "given" : "Philippe", "non-dropping-particle" : "", "parse-names" : false, "suffix" : "" }, { "dropping-particle" : "", "family" : "McDonagh", "given" : "Theresa", "non-dropping-particle" : "", "parse-names" : false, "suffix" : "" }, { "dropping-particle" : "", "family" : "Moulin", "given" : "Cyril", "non-dropping-particle" : "", "parse-names" : false, "suffix" : "" }, { "dropping-particle" : "", "family" : "Popescu", "given" : "Bogdan A", "non-dropping-particle" : "", "parse-names" : false, "suffix" : "" }, { "dropping-particle" : "", "family" : "Reiner", "given" : "Zeljko", "non-dropping-particle" : "", "parse-names" : false, "suffix" : "" }, { "dropping-particle" : "", "family" : "Sechtem", "given" : "Udo", "non-dropping-particle" : "", "parse-names" : false, "suffix" : "" }, { "dropping-particle" : "", "family" : "Sirnes", "given" : "Per Anton", "non-dropping-particle" : "", "parse-names" : false, "suffix" : "" }, { "dropping-particle" : "", "family" : "Tendera", "given" : "Michal", "non-dropping-particle" : "", "parse-names" : false, "suffix" : "" }, { "dropping-particle" : "", "family" : "Torbicki", "given" : "Adam", "non-dropping-particle" : "", "parse-names" : false, "suffix" : "" }, { "dropping-particle" : "", "family" : "Vahanian", "given" : "Alec", "non-dropping-particle" : "", "parse-names" : false, "suffix" : "" }, { "dropping-particle" : "", "family" : "Windecker", "given" : "Stephan", "non-dropping-particle" : "", "parse-names" : false, "suffix" : "" }, { "dropping-particle" : "", "family" : "Vardas", "given" : "Panos", "non-dropping-particle" : "", "parse-names" : false, "suffix" : "" }, { "dropping-particle" : "", "family" : "Al-Attar", "given" : "Nawwar", "non-dropping-particle" : "", "parse-names" : false, "suffix" : "" }, { "dropping-particle" : "", "family" : "Alfieri", "given" : "Ottavio", "non-dropping-particle" : "", "parse-names" : false, "suffix" : "" }, { "dropping-particle" : "", "family" : "Angelini", "given" : "Annalisa", "non-dropping-particle" : "", "parse-names" : false, "suffix" : "" }, { "dropping-particle" : "", "family" : "Bl\u00f6mstrom-Lundqvist", "given" : "Carina", "non-dropping-particle" : "", "parse-names" : false, "suffix" : "" }, { "dropping-particle" : "", "family" : "Colonna", "given" : "Paolo", "non-dropping-particle" : "", "parse-names" : false, "suffix" : "" }, { "dropping-particle" : "", "family" : "Sutter", "given" : "Johan", "non-dropping-particle" : "De", "parse-names" : false, "suffix" : "" }, { "dropping-particle" : "", "family" : "Ernst", "given" : "Sabine", "non-dropping-particle" : "", "parse-names" : false, "suffix" : "" }, { "dropping-particle" : "", "family" : "Goette", "given" : "Andreas", "non-dropping-particle" : "", "parse-names" : false, "suffix" : "" }, { "dropping-particle" : "", "family" : "Gorenek", "given" : "Bulent", "non-dropping-particle" : "", "parse-names" : false, "suffix" : "" }, { "dropping-particle" : "", "family" : "Hatala", "given" : "Robert", "non-dropping-particle" : "", "parse-names" : false, "suffix" : "" }, { "dropping-particle" : "", "family" : "Heidb\u00fcchel", "given" : "Hein", "non-dropping-particle" : "", "parse-names" : false, "suffix" : "" }, { "dropping-particle" : "", "family" : "Heldal", "given" : "Magnus", "non-dropping-particle" : "", "parse-names" : false, "suffix" : "" }, { "dropping-particle" : "", "family" : "Kristensen", "given" : "Steen Dalby", "non-dropping-particle" : "", "parse-names" : false, "suffix" : "" }, { "dropping-particle" : "", "family" : "Heuzey", "given" : "Jean-Yves", "non-dropping-particle" : "Le", "parse-names" : false, "suffix" : "" }, { "dropping-particle" : "", "family" : "Mavrakis", "given" : "Hercules", "non-dropping-particle" : "", "parse-names" : false, "suffix" : "" }, { "dropping-particle" : "", "family" : "Mont", "given" : "Llu\u00eds", "non-dropping-particle" : "", "parse-names" : false, "suffix" : "" }, { "dropping-particle" : "", "family" : "Filardi", "given" : "Pasquale Perrone", "non-dropping-particle" : "", "parse-names" : false, "suffix" : "" }, { "dropping-particle" : "", "family" : "Ponikowski", "given" : "Piotr", "non-dropping-particle" : "", "parse-names" : false, "suffix" : "" }, { "dropping-particle" : "", "family" : "Prendergast", "given" : "Bernard", "non-dropping-particle" : "", "parse-names" : false, "suffix" : "" }, { "dropping-particle" : "", "family" : "Rutten", "given" : "Frans H", "non-dropping-particle" : "", "parse-names" : false, "suffix" : "" }, { "dropping-particle" : "", "family" : "Schotten", "given" : "Ulrich", "non-dropping-particle" : "", "parse-names" : false, "suffix" : "" }, { "dropping-particle" : "", "family" : "Gelder", "given" : "Isabelle C", "non-dropping-particle" : "Van", "parse-names" : false, "suffix" : "" }, { "dropping-particle" : "", "family" : "Verheugt", "given" : "Freek W A", "non-dropping-particle" : "", "parse-names" : false, "suffix" : "" } ], "container-title" : "European heart journal", "id" : "ITEM-1", "issued" : { "date-parts" : [ [ "2012", "8", "24" ] ] }, "title" : "2012 focused update of the ESC Guidelines for the management of atrial fibrillation: An update of the 2010 ESC Guidelines for the management of atrial fibrillation * Developed with the special contribution of the European Heart Rhythm Association.", "type" : "article-journal" }, "uris" : [ "http://www.mendeley.com/documents/?uuid=b1c54c22-03a5-4544-aad4-168ae22402e0" ] } ], "mendeley" : { "previouslyFormattedCitation" : "[4]" }, "properties" : { "noteIndex" : 0 }, "schema" : "https://github.com/citation-style-language/schema/raw/master/csl-citation.json" }</w:instrText>
      </w:r>
      <w:r w:rsidR="00354D59">
        <w:fldChar w:fldCharType="separate"/>
      </w:r>
      <w:r w:rsidR="00354D59" w:rsidRPr="00354D59">
        <w:rPr>
          <w:noProof/>
        </w:rPr>
        <w:t>[4]</w:t>
      </w:r>
      <w:r w:rsidR="00354D59">
        <w:fldChar w:fldCharType="end"/>
      </w:r>
    </w:p>
    <w:p w:rsidR="003378D6" w:rsidRPr="00532F44" w:rsidRDefault="009344EA" w:rsidP="003378D6">
      <w:pPr>
        <w:pStyle w:val="Heading2"/>
        <w:numPr>
          <w:ilvl w:val="0"/>
          <w:numId w:val="0"/>
        </w:numPr>
      </w:pPr>
      <w:r w:rsidRPr="00532F44">
        <w:t>Transthoracic Echocardiography and the decision problem</w:t>
      </w:r>
    </w:p>
    <w:p w:rsidR="00395BE3" w:rsidRPr="00532F44" w:rsidRDefault="00354D59" w:rsidP="008D3B31">
      <w:pPr>
        <w:spacing w:line="480" w:lineRule="auto"/>
      </w:pPr>
      <w:r>
        <w:t xml:space="preserve">The present </w:t>
      </w:r>
      <w:r w:rsidR="00D57902" w:rsidRPr="00532F44">
        <w:t xml:space="preserve">study assesses </w:t>
      </w:r>
      <w:r w:rsidR="003F5221" w:rsidRPr="00532F44">
        <w:t xml:space="preserve">whether performing </w:t>
      </w:r>
      <w:r w:rsidR="00307F5F" w:rsidRPr="00532F44">
        <w:t>an addi</w:t>
      </w:r>
      <w:r w:rsidR="00C007A4" w:rsidRPr="00532F44">
        <w:t>tional, slightly more expensive</w:t>
      </w:r>
      <w:r w:rsidR="00307F5F" w:rsidRPr="00532F44">
        <w:t xml:space="preserve"> </w:t>
      </w:r>
      <w:r w:rsidR="00C3051A" w:rsidRPr="00532F44">
        <w:t xml:space="preserve">diagnostic test in </w:t>
      </w:r>
      <w:r w:rsidR="00E55A94" w:rsidRPr="00532F44">
        <w:t>the population of interest</w:t>
      </w:r>
      <w:r w:rsidR="00C3051A" w:rsidRPr="00532F44">
        <w:t xml:space="preserve"> </w:t>
      </w:r>
      <w:r w:rsidR="00307F5F" w:rsidRPr="00532F44">
        <w:t xml:space="preserve">would lead to </w:t>
      </w:r>
      <w:r w:rsidR="003F5221" w:rsidRPr="00532F44">
        <w:t>better clinical outcomes on average</w:t>
      </w:r>
      <w:r w:rsidR="00307F5F" w:rsidRPr="00532F44">
        <w:t xml:space="preserve">. </w:t>
      </w:r>
      <w:r w:rsidR="009A6772" w:rsidRPr="00532F44">
        <w:t xml:space="preserve">The populations to be </w:t>
      </w:r>
      <w:proofErr w:type="spellStart"/>
      <w:r w:rsidR="00560933" w:rsidRPr="00532F44">
        <w:t>model</w:t>
      </w:r>
      <w:r w:rsidR="002D6708">
        <w:t>l</w:t>
      </w:r>
      <w:r w:rsidR="00560933" w:rsidRPr="00532F44">
        <w:t>ed</w:t>
      </w:r>
      <w:proofErr w:type="spellEnd"/>
      <w:r w:rsidR="009A6772" w:rsidRPr="00532F44">
        <w:t xml:space="preserve"> are patients with newly diagnosed AF</w:t>
      </w:r>
      <w:r w:rsidR="00253316">
        <w:t xml:space="preserve"> and </w:t>
      </w:r>
      <w:r w:rsidR="009A6772" w:rsidRPr="00532F44">
        <w:t>an initial CHADS</w:t>
      </w:r>
      <w:r w:rsidR="009A6772" w:rsidRPr="00B36EBC">
        <w:rPr>
          <w:vertAlign w:val="subscript"/>
        </w:rPr>
        <w:t>2</w:t>
      </w:r>
      <w:r w:rsidR="009A6772" w:rsidRPr="00532F44">
        <w:t xml:space="preserve"> risk score of zero point</w:t>
      </w:r>
      <w:r w:rsidR="00253316">
        <w:t>s</w:t>
      </w:r>
      <w:r w:rsidR="003A64BB">
        <w:t xml:space="preserve">, </w:t>
      </w:r>
      <w:r w:rsidR="003A64BB">
        <w:lastRenderedPageBreak/>
        <w:t>since those with CHADS</w:t>
      </w:r>
      <w:r w:rsidR="003A64BB" w:rsidRPr="00B36EBC">
        <w:rPr>
          <w:vertAlign w:val="subscript"/>
        </w:rPr>
        <w:t>2</w:t>
      </w:r>
      <w:r w:rsidR="003A64BB">
        <w:t xml:space="preserve"> scores greater are likely to be treated </w:t>
      </w:r>
      <w:r w:rsidR="004E06E9">
        <w:t>without requiring further diagnostic testing</w:t>
      </w:r>
      <w:r w:rsidR="009A6772" w:rsidRPr="00532F44">
        <w:t xml:space="preserve">.  </w:t>
      </w:r>
      <w:r w:rsidR="00D65C68" w:rsidRPr="00532F44">
        <w:t xml:space="preserve">If additional testing is clinically effective, it is also important to evaluate whether </w:t>
      </w:r>
      <w:r w:rsidR="003A64BB">
        <w:t xml:space="preserve">it </w:t>
      </w:r>
      <w:r w:rsidR="00D65C68" w:rsidRPr="00532F44">
        <w:t>is cost effective at standard NICE decision-making thresholds.</w:t>
      </w:r>
      <w:r w:rsidR="00C007A4" w:rsidRPr="00532F44">
        <w:t xml:space="preserve"> </w:t>
      </w:r>
      <w:r w:rsidR="00D65C68" w:rsidRPr="00532F44">
        <w:t xml:space="preserve">The </w:t>
      </w:r>
      <w:r w:rsidR="00C007A4" w:rsidRPr="00532F44">
        <w:t>additional diagnostic test of interest is transthoracic echocardiography (TTE)</w:t>
      </w:r>
      <w:r w:rsidR="00CE721E" w:rsidRPr="00532F44">
        <w:t>, a non</w:t>
      </w:r>
      <w:r w:rsidR="00E84302" w:rsidRPr="00532F44">
        <w:t>-</w:t>
      </w:r>
      <w:r w:rsidR="00CE721E" w:rsidRPr="00532F44">
        <w:t>invasive procedure that allows imaging of the heart and blood flow</w:t>
      </w:r>
      <w:r w:rsidR="003A64BB">
        <w:t xml:space="preserve">. Importantly, it can detect </w:t>
      </w:r>
      <w:r>
        <w:t xml:space="preserve">some forms of </w:t>
      </w:r>
      <w:r w:rsidR="003A64BB" w:rsidRPr="00532F44">
        <w:t>left atrial abnormality</w:t>
      </w:r>
      <w:r w:rsidR="003A64BB">
        <w:t xml:space="preserve"> (LA ABN), </w:t>
      </w:r>
      <w:r w:rsidR="009A6772" w:rsidRPr="00532F44">
        <w:t>which has been shown to lead to an increa</w:t>
      </w:r>
      <w:r>
        <w:t xml:space="preserve">sed stroke risk. </w:t>
      </w:r>
      <w:r>
        <w:fldChar w:fldCharType="begin" w:fldLock="1"/>
      </w:r>
      <w:r w:rsidR="00253316">
        <w:instrText>ADDIN CSL_CITATION { "citationItems" : [ { "id" : "ITEM-1", "itemData" : { "ISBN" : "0003-4819 (Print)\n0003-4819 (Linking)", "abstract" : "BACKGROUND: Transesophageal echocardiography (TEE) visualizes potential sources of embolism in patients with atrial fibrillation, but the clinical significance of TEE findings has not been prospectively established. OBJECTIVE: To define TEE predictors of stroke in patients with atrial fibrillation and to examine response to antithrombotic therapy. DESIGN: Prospective correlation of TEE findings at study entry with subsequent ischemic stroke during 1.1-year mean follow-up of participants in a randomized trial. SETTING: 18 echocardiography laboratories. PATIENTS: 382 patients with atrial fibrillation at high risk for thromboembolism. INTERVENTION: Adjusted-dose warfarin (international normalized ratio, 2 to 3) or low-intensity warfarin (international normalized ratio, 1.2 to 1.5) plus aspirin (325 mg/d). MEASUREMENTS: Size of left atrium and left atrial appendage, flow velocity, spontaneous echocardiographic contrast, thrombus, and plaque on the aortic arch. RESULTS: 23 ischemic strokes occurred. In patients with dense spontaneous echocardiographic contrast (20%), the rate of stroke was 18.2% per year with combination therapy (2.9 times the rate in patients without this finding; P = 0.06) and 4.5% per year with adjusted-dose warfarin (P = 0.09 for rate reduction). Appendage thrombus, detected in 10% of patients, was associated with dense spontaneous echocardiographic contrast (P &lt; 0.001), was seen more frequently after 2 weeks of combination therapy (15%) than after 2 weeks of adjusted-dose warfarin (4%) (P = 0.004), and tripled the overall rate of stroke (P = 0.04). Patients with complex aortic plaque (35%) had a fourfold increased rate of stroke compared with plaque-free patients (P = 0.005); adjusted-dose warfarin decreased risk by 75% (P = 0.02). Dense spontaneous echocardiographic contrast and complex aortic plaque were independent of each other as predictors of thromboembolism. CONCLUSIONS: In high-risk patients with atrial fibrillation, subsequent rates of thromboembolism are correlated with dense spontaneous echocardiographic contrast, thrombus of the atrial appendage, and aortic plaque. Adjusted-dose warfarin reduces the rate of stroke among patients with dense contrast and complex plaque. In patients with atrial fibrillation, the pathogenesis of stroke is multifactorial, and warfarin seems effective for the diverse mechanisms.", "container-title" : "Ann Intern Med", "edition" : "1998/12/16", "id" : "ITEM-1", "issue" : "8", "issued" : { "date-parts" : [ [ "1998" ] ] }, "note" : "R01-NS-24224/NS/NINDS NIH HHS/United States\nR01-NS-33351/NS/NINDS NIH HHS/United States\nClinical Trial\nRandomized Controlled Trial\nResearch Support, U.S. Gov't, P.H.S.\nUnited states\nAnnals of internal medicine\nAnn Intern Med. 1998 Apr 15;128(8):639-47.", "page" : "639-647", "title" : "Transesophageal echocardiographic correlates of thromboembolism in high-risk patients with nonvalvular atrial fibrillation. The Stroke Prevention in Atrial Fibrillation Investigators Committee on Echocardiography", "type" : "article-journal", "volume" : "128" }, "uris" : [ "http://www.mendeley.com/documents/?uuid=968b0944-cf4e-4f23-91e7-760351b2bc71" ] }, { "id" : "ITEM-2",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"ITEM-2",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"[5,6]" }, "properties" : { "noteIndex" : 0 }, "schema" : "https://github.com/citation-style-language/schema/raw/master/csl-citation.json" }</w:instrText>
      </w:r>
      <w:r>
        <w:fldChar w:fldCharType="separate"/>
      </w:r>
      <w:r w:rsidRPr="00354D59">
        <w:rPr>
          <w:noProof/>
        </w:rPr>
        <w:t>[5,6]</w:t>
      </w:r>
      <w:r>
        <w:fldChar w:fldCharType="end"/>
      </w:r>
      <w:r w:rsidR="009A6772" w:rsidRPr="00532F44">
        <w:t xml:space="preserve"> </w:t>
      </w:r>
      <w:r w:rsidR="003A64BB">
        <w:t>As</w:t>
      </w:r>
      <w:r>
        <w:t xml:space="preserve"> some types of LA ABN</w:t>
      </w:r>
      <w:r w:rsidR="009A6772" w:rsidRPr="00532F44">
        <w:t xml:space="preserve"> can be detected by TTE, </w:t>
      </w:r>
      <w:r w:rsidR="00133DC2">
        <w:t>but not by CHADS</w:t>
      </w:r>
      <w:r w:rsidR="00133DC2" w:rsidRPr="00B36EBC">
        <w:rPr>
          <w:vertAlign w:val="subscript"/>
        </w:rPr>
        <w:t>2</w:t>
      </w:r>
      <w:r w:rsidR="00133DC2">
        <w:t xml:space="preserve">, TTE can </w:t>
      </w:r>
      <w:r w:rsidR="009A6772" w:rsidRPr="00532F44">
        <w:t>be used to identify patients with a higher risk of stroke who otherwise may not receive OACs</w:t>
      </w:r>
      <w:r w:rsidR="001138A7" w:rsidRPr="00532F44">
        <w:t>.</w:t>
      </w:r>
      <w:r w:rsidR="0091160C" w:rsidRPr="00532F44">
        <w:t xml:space="preserve"> </w:t>
      </w:r>
      <w:r w:rsidR="00374A9D" w:rsidRPr="00532F44">
        <w:t xml:space="preserve">In this study a discrete event simulation (DES) model was developed to </w:t>
      </w:r>
      <w:r w:rsidR="00E84302" w:rsidRPr="00532F44">
        <w:t xml:space="preserve">simulate </w:t>
      </w:r>
      <w:r w:rsidR="00374A9D" w:rsidRPr="00532F44">
        <w:t xml:space="preserve">the long-term implications of performing TTEs in </w:t>
      </w:r>
      <w:r w:rsidR="00E55A94" w:rsidRPr="00532F44">
        <w:t xml:space="preserve">the population of interest </w:t>
      </w:r>
      <w:r w:rsidR="00374A9D" w:rsidRPr="00532F44">
        <w:t xml:space="preserve">when </w:t>
      </w:r>
      <w:r w:rsidR="00E84302" w:rsidRPr="00532F44">
        <w:t xml:space="preserve">deciding </w:t>
      </w:r>
      <w:r w:rsidR="00374A9D" w:rsidRPr="00532F44">
        <w:t xml:space="preserve">whether to prescribe OACs. Patients </w:t>
      </w:r>
      <w:r w:rsidR="00B1326A" w:rsidRPr="00532F44">
        <w:t>whose CHADS</w:t>
      </w:r>
      <w:r w:rsidR="00B1326A" w:rsidRPr="00B36EBC">
        <w:rPr>
          <w:vertAlign w:val="subscript"/>
        </w:rPr>
        <w:t>2</w:t>
      </w:r>
      <w:r w:rsidR="00B1326A" w:rsidRPr="00532F44">
        <w:t xml:space="preserve"> scores are below the threshold at which the OAC would be prescribed</w:t>
      </w:r>
      <w:r w:rsidR="00374A9D" w:rsidRPr="00532F44">
        <w:t xml:space="preserve"> are </w:t>
      </w:r>
      <w:r w:rsidR="00E55A94" w:rsidRPr="00532F44">
        <w:t xml:space="preserve">additionally </w:t>
      </w:r>
      <w:r w:rsidR="00374A9D" w:rsidRPr="00532F44">
        <w:t xml:space="preserve">assessed using TTE. If TTE </w:t>
      </w:r>
      <w:r w:rsidR="00133DC2">
        <w:t xml:space="preserve">indicates </w:t>
      </w:r>
      <w:r w:rsidR="009A6772" w:rsidRPr="00532F44">
        <w:t xml:space="preserve">a LA ABN </w:t>
      </w:r>
      <w:r w:rsidR="00374A9D" w:rsidRPr="00532F44">
        <w:t xml:space="preserve">they are also prescribed OACs. </w:t>
      </w:r>
      <w:r w:rsidR="00655A1D" w:rsidRPr="00532F44">
        <w:t>As</w:t>
      </w:r>
      <w:r w:rsidR="00374A9D" w:rsidRPr="00532F44">
        <w:t xml:space="preserve"> a result of this, more people will be prescribed OACs when TTE is included in the diagnost</w:t>
      </w:r>
      <w:r w:rsidR="00153929" w:rsidRPr="00532F44">
        <w:t>ic package than when it is not.</w:t>
      </w:r>
      <w:r w:rsidR="00655A1D" w:rsidRPr="00532F44">
        <w:t xml:space="preserve"> </w:t>
      </w:r>
      <w:r w:rsidR="00133DC2">
        <w:t xml:space="preserve">The use of TTE will increase expenditure, however, potential </w:t>
      </w:r>
      <w:r w:rsidR="00374A9D" w:rsidRPr="00532F44">
        <w:t xml:space="preserve">cost savings </w:t>
      </w:r>
      <w:r w:rsidR="00153929" w:rsidRPr="00532F44">
        <w:t xml:space="preserve">could arise </w:t>
      </w:r>
      <w:r w:rsidR="00374A9D" w:rsidRPr="00532F44">
        <w:t xml:space="preserve">as a result of preventing strokes and the costs to the NHS that result from them.  </w:t>
      </w:r>
    </w:p>
    <w:p w:rsidR="0005390C" w:rsidRPr="00532F44" w:rsidRDefault="00C007A4" w:rsidP="003378D6">
      <w:pPr>
        <w:pStyle w:val="Heading1"/>
        <w:numPr>
          <w:ilvl w:val="0"/>
          <w:numId w:val="0"/>
        </w:numPr>
      </w:pPr>
      <w:r w:rsidRPr="00532F44">
        <w:t>Method</w:t>
      </w:r>
      <w:r w:rsidR="00E57550" w:rsidRPr="00532F44">
        <w:t>s</w:t>
      </w:r>
    </w:p>
    <w:p w:rsidR="00E57550" w:rsidRPr="00532F44" w:rsidRDefault="00E57550" w:rsidP="008D3B31">
      <w:pPr>
        <w:spacing w:line="480" w:lineRule="auto"/>
      </w:pPr>
      <w:r w:rsidRPr="00532F44">
        <w:t xml:space="preserve">The mathematical model developed estimated the </w:t>
      </w:r>
      <w:r w:rsidR="009A6772" w:rsidRPr="00532F44">
        <w:t>consequence</w:t>
      </w:r>
      <w:r w:rsidR="00267F89" w:rsidRPr="00532F44">
        <w:t>s</w:t>
      </w:r>
      <w:r w:rsidR="009A6772" w:rsidRPr="00532F44">
        <w:t xml:space="preserve"> </w:t>
      </w:r>
      <w:r w:rsidRPr="00532F44">
        <w:t xml:space="preserve">of </w:t>
      </w:r>
      <w:r w:rsidR="009A6772" w:rsidRPr="00532F44">
        <w:t xml:space="preserve">using </w:t>
      </w:r>
      <w:r w:rsidR="006D7B3B" w:rsidRPr="00532F44">
        <w:t xml:space="preserve">TTE </w:t>
      </w:r>
      <w:r w:rsidR="00267F89" w:rsidRPr="00532F44">
        <w:t>to inform</w:t>
      </w:r>
      <w:r w:rsidR="00B1326A" w:rsidRPr="00532F44">
        <w:t xml:space="preserve"> the decision </w:t>
      </w:r>
      <w:r w:rsidR="00267F89" w:rsidRPr="00532F44">
        <w:t xml:space="preserve">whether </w:t>
      </w:r>
      <w:r w:rsidR="00B1326A" w:rsidRPr="00532F44">
        <w:t xml:space="preserve">to prescribe an OAC </w:t>
      </w:r>
      <w:r w:rsidR="00267F89" w:rsidRPr="00532F44">
        <w:t xml:space="preserve">in a range of patient populations. Eight distinct cohorts were </w:t>
      </w:r>
      <w:proofErr w:type="spellStart"/>
      <w:r w:rsidR="00267F89" w:rsidRPr="00532F44">
        <w:t>model</w:t>
      </w:r>
      <w:r w:rsidR="00133DC2">
        <w:t>l</w:t>
      </w:r>
      <w:r w:rsidR="00267F89" w:rsidRPr="00532F44">
        <w:t>ed</w:t>
      </w:r>
      <w:proofErr w:type="spellEnd"/>
      <w:r w:rsidR="00267F89" w:rsidRPr="00532F44">
        <w:t>, and separate scenarios were performed for each of three potential OACs: wa</w:t>
      </w:r>
      <w:r w:rsidR="00133DC2">
        <w:t xml:space="preserve">rfarin, </w:t>
      </w:r>
      <w:proofErr w:type="spellStart"/>
      <w:r w:rsidR="00133DC2">
        <w:t>dabigatran</w:t>
      </w:r>
      <w:proofErr w:type="spellEnd"/>
      <w:r w:rsidR="00133DC2">
        <w:t xml:space="preserve">, and </w:t>
      </w:r>
      <w:proofErr w:type="spellStart"/>
      <w:r w:rsidR="00133DC2">
        <w:t>rivaroxa</w:t>
      </w:r>
      <w:r w:rsidR="00267F89" w:rsidRPr="00532F44">
        <w:t>ban</w:t>
      </w:r>
      <w:proofErr w:type="spellEnd"/>
      <w:r w:rsidR="0091160C" w:rsidRPr="00532F44">
        <w:t>.</w:t>
      </w:r>
      <w:r w:rsidR="007955A1" w:rsidRPr="00532F44">
        <w:t xml:space="preserve"> </w:t>
      </w:r>
      <w:r w:rsidR="004E06E9">
        <w:t xml:space="preserve">These are listed in </w:t>
      </w:r>
      <w:r w:rsidR="004E06E9">
        <w:fldChar w:fldCharType="begin"/>
      </w:r>
      <w:r w:rsidR="004E06E9">
        <w:instrText xml:space="preserve"> REF _Ref321227101 \h </w:instrText>
      </w:r>
      <w:r w:rsidR="008D3B31">
        <w:instrText xml:space="preserve"> \* MERGEFORMAT </w:instrText>
      </w:r>
      <w:r w:rsidR="004E06E9">
        <w:fldChar w:fldCharType="separate"/>
      </w:r>
      <w:r w:rsidR="008D3B31" w:rsidRPr="00532F44">
        <w:t xml:space="preserve">Table </w:t>
      </w:r>
      <w:r w:rsidR="008D3B31">
        <w:t>1</w:t>
      </w:r>
      <w:r w:rsidR="004E06E9">
        <w:fldChar w:fldCharType="end"/>
      </w:r>
      <w:r w:rsidR="004E06E9">
        <w:t xml:space="preserve">. </w:t>
      </w:r>
      <w:r w:rsidR="006D7B3B" w:rsidRPr="00532F44">
        <w:t>The health economic outcome of interest is the quality adjusted life</w:t>
      </w:r>
      <w:r w:rsidR="00397705" w:rsidRPr="00532F44">
        <w:t xml:space="preserve"> </w:t>
      </w:r>
      <w:r w:rsidR="006D7B3B" w:rsidRPr="00532F44">
        <w:t>year (QALY). A</w:t>
      </w:r>
      <w:r w:rsidR="00C87195" w:rsidRPr="00532F44">
        <w:t xml:space="preserve"> UK</w:t>
      </w:r>
      <w:r w:rsidR="006D7B3B" w:rsidRPr="00532F44">
        <w:t xml:space="preserve"> perspective is adopted</w:t>
      </w:r>
      <w:r w:rsidR="003E2F7C" w:rsidRPr="00532F44">
        <w:t xml:space="preserve">, </w:t>
      </w:r>
      <w:r w:rsidR="00133DC2">
        <w:t xml:space="preserve">with </w:t>
      </w:r>
      <w:r w:rsidR="003E2F7C" w:rsidRPr="00532F44">
        <w:t>costs incurred by the patient or wider society not considered</w:t>
      </w:r>
      <w:r w:rsidR="006D7B3B" w:rsidRPr="00532F44">
        <w:t xml:space="preserve">. Standard NICE discount rates for utilities and costs of 3.5% per annum are used. </w:t>
      </w:r>
      <w:r w:rsidR="002F05E5">
        <w:fldChar w:fldCharType="begin" w:fldLock="1"/>
      </w:r>
      <w:r w:rsidR="00253316">
        <w:instrText>ADDIN CSL_CITATION { "citationItems" : [ { "id" : "ITEM-1", "itemData" : { "URL" : "http://www.nice.org.uk/media/B52/A7/TAMethodsGuideUpdatedJune2008.pdf", "accessed" : { "date-parts" : [ [ "2012", "10", "15" ] ] }, "author" : [ { "dropping-particle" : "", "family" : "NICE", "given" : "", "non-dropping-particle" : "", "parse-names" : false, "suffix" : "" } ], "container-title" : "NICE methods guide", "id" : "ITEM-1", "issued" : { "date-parts" : [ [ "2008" ] ] }, "page" : "80", "title" : "Guide to the methods of technology appraisal", "type" : "webpage" }, "uris" : [ "http://www.mendeley.com/documents/?uuid=cd033cb2-d65d-48dd-9230-e0ece575195f" ] } ], "mendeley" : { "previouslyFormattedCitation" : "[7]" }, "properties" : { "noteIndex" : 0 }, "schema" : "https://github.com/citation-style-language/schema/raw/master/csl-citation.json" }</w:instrText>
      </w:r>
      <w:r w:rsidR="002F05E5">
        <w:fldChar w:fldCharType="separate"/>
      </w:r>
      <w:r w:rsidR="00354D59" w:rsidRPr="00354D59">
        <w:rPr>
          <w:noProof/>
        </w:rPr>
        <w:t>[7]</w:t>
      </w:r>
      <w:r w:rsidR="002F05E5">
        <w:fldChar w:fldCharType="end"/>
      </w:r>
      <w:r w:rsidR="009137B7">
        <w:t xml:space="preserve"> </w:t>
      </w:r>
      <w:r w:rsidR="00133DC2">
        <w:t>A lifetime horizon is adopted, and</w:t>
      </w:r>
      <w:r w:rsidR="00E36064" w:rsidRPr="00532F44">
        <w:t xml:space="preserve"> </w:t>
      </w:r>
      <w:r w:rsidR="00133DC2">
        <w:t>i</w:t>
      </w:r>
      <w:r w:rsidR="006D7B3B" w:rsidRPr="00532F44">
        <w:t xml:space="preserve">n order to incorporate the effect of uncertainty on predicted outcomes, a probabilistic model is used, </w:t>
      </w:r>
      <w:r w:rsidR="00834F71" w:rsidRPr="00532F44">
        <w:t>meaning</w:t>
      </w:r>
      <w:r w:rsidR="006D7B3B" w:rsidRPr="00532F44">
        <w:t xml:space="preserve"> that where possible model parameter estimates are drawn from distributions rather than assumed to be fixed values. </w:t>
      </w:r>
    </w:p>
    <w:p w:rsidR="009344EA" w:rsidRPr="00532F44" w:rsidRDefault="009344EA" w:rsidP="009344EA">
      <w:pPr>
        <w:pStyle w:val="Heading2"/>
        <w:numPr>
          <w:ilvl w:val="0"/>
          <w:numId w:val="0"/>
        </w:numPr>
      </w:pPr>
      <w:r w:rsidRPr="00532F44">
        <w:t>Scenarios included</w:t>
      </w:r>
    </w:p>
    <w:p w:rsidR="00267F89" w:rsidRDefault="00BE73AD" w:rsidP="008D3B31">
      <w:pPr>
        <w:spacing w:line="480" w:lineRule="auto"/>
      </w:pPr>
      <w:r w:rsidRPr="00532F44">
        <w:lastRenderedPageBreak/>
        <w:t xml:space="preserve">Warfarin, </w:t>
      </w:r>
      <w:proofErr w:type="spellStart"/>
      <w:r w:rsidRPr="00532F44">
        <w:t>rivarox</w:t>
      </w:r>
      <w:r w:rsidR="00133DC2">
        <w:t>a</w:t>
      </w:r>
      <w:r w:rsidRPr="00532F44">
        <w:t>ban</w:t>
      </w:r>
      <w:proofErr w:type="spellEnd"/>
      <w:r w:rsidRPr="00532F44">
        <w:t xml:space="preserve">, and </w:t>
      </w:r>
      <w:proofErr w:type="spellStart"/>
      <w:r w:rsidRPr="00532F44">
        <w:t>dabigatran</w:t>
      </w:r>
      <w:proofErr w:type="spellEnd"/>
      <w:r w:rsidRPr="00532F44">
        <w:t xml:space="preserve"> are each recommended in patients with different clinical characteristics. </w:t>
      </w:r>
      <w:r w:rsidR="00560933" w:rsidRPr="00532F44">
        <w:t xml:space="preserve">Warfarin is </w:t>
      </w:r>
      <w:r w:rsidR="00354D59">
        <w:t xml:space="preserve">recommended </w:t>
      </w:r>
      <w:r w:rsidR="00560933" w:rsidRPr="00532F44">
        <w:t>in patients with a CHADS</w:t>
      </w:r>
      <w:r w:rsidR="00560933" w:rsidRPr="00B36EBC">
        <w:rPr>
          <w:vertAlign w:val="subscript"/>
        </w:rPr>
        <w:t>2</w:t>
      </w:r>
      <w:r w:rsidR="00560933" w:rsidRPr="00532F44">
        <w:t xml:space="preserve"> score of </w:t>
      </w:r>
      <w:r w:rsidR="00354D59">
        <w:t xml:space="preserve">one </w:t>
      </w:r>
      <w:r w:rsidR="00560933" w:rsidRPr="00532F44">
        <w:t xml:space="preserve">or more; the recent NICE recommendations for </w:t>
      </w:r>
      <w:proofErr w:type="spellStart"/>
      <w:r w:rsidR="00560933" w:rsidRPr="00532F44">
        <w:t>rivaroxaban</w:t>
      </w:r>
      <w:proofErr w:type="spellEnd"/>
      <w:r w:rsidR="00560933" w:rsidRPr="00532F44">
        <w:t xml:space="preserve"> are equivalent to stating that patients with a CHADS</w:t>
      </w:r>
      <w:r w:rsidR="00560933" w:rsidRPr="00B36EBC">
        <w:rPr>
          <w:vertAlign w:val="subscript"/>
        </w:rPr>
        <w:t>2</w:t>
      </w:r>
      <w:r w:rsidR="00560933" w:rsidRPr="00532F44">
        <w:t xml:space="preserve"> score of one or more should receive it; and recent NICE recommendations for </w:t>
      </w:r>
      <w:proofErr w:type="spellStart"/>
      <w:r w:rsidR="00560933" w:rsidRPr="00532F44">
        <w:t>dabigatran</w:t>
      </w:r>
      <w:proofErr w:type="spellEnd"/>
      <w:r w:rsidR="00560933" w:rsidRPr="00532F44">
        <w:t xml:space="preserve"> are equivalent to stating that patients with a CHADS</w:t>
      </w:r>
      <w:r w:rsidR="00560933" w:rsidRPr="00B36EBC">
        <w:rPr>
          <w:vertAlign w:val="subscript"/>
        </w:rPr>
        <w:t>2</w:t>
      </w:r>
      <w:r w:rsidR="00560933" w:rsidRPr="00532F44">
        <w:t xml:space="preserve"> score of one or more should receive it if they are also aged 65 years or more</w:t>
      </w:r>
      <w:r w:rsidR="002F05E5" w:rsidRPr="00532F44">
        <w:fldChar w:fldCharType="begin" w:fldLock="1"/>
      </w:r>
      <w:r w:rsidR="00253316">
        <w:instrText>ADDIN CSL_CITATION { "citationItems" : [ { "id" : "ITEM-1", "itemData" : { "URL" : "http://www.nice.org.uk/nicemedia/live/13746/59295/59295.pdf", "accessed" : { "date-parts" : [ [ "2012", "9", "28" ] ] }, "author" : [ { "dropping-particle" : "", "family" : "NICE", "given" : "", "non-dropping-particle" : "", "parse-names" : false, "suffix" : "" } ], "container-title" : "NICE technology appraisal guidance 256", "id" : "ITEM-1", "issued" : { "date-parts" : [ [ "2012" ] ] }, "title" : "Rivaroxaban for the prevention of stroke and systemic embolism in people with atrial fibrillation", "type" : "webpage" }, "uris" : [ "http://www.mendeley.com/documents/?uuid=86ddf2af-d98e-4b46-8879-5fa584445e05" ] }, { "id" : "ITEM-2", "itemData" : { "URL" : "http://www.nice.org.uk/nicemedia/live/13677/58470/58470.pdf", "accessed" : { "date-parts" : [ [ "2012", "9", "28" ] ] }, "author" : [ { "dropping-particle" : "", "family" : "NICE", "given" : "", "non-dropping-particle" : "", "parse-names" : false, "suffix" : "" } ], "container-title" : "NICE technology appraisal guidance 249", "id" : "ITEM-2", "issued" : { "date-parts" : [ [ "2012" ] ] }, "title" : "Dabigatran etexilate for the prevention of stroke and systemic embolism in atrial fibrillation", "type" : "webpage" }, "uris" : [ "http://www.mendeley.com/documents/?uuid=1f78d015-fd6c-4f3b-b09e-077ac1e728f2" ] } ], "mendeley" : { "previouslyFormattedCitation" : "[8,9]" }, "properties" : { "noteIndex" : 0 }, "schema" : "https://github.com/citation-style-language/schema/raw/master/csl-citation.json" }</w:instrText>
      </w:r>
      <w:r w:rsidR="002F05E5" w:rsidRPr="00532F44">
        <w:fldChar w:fldCharType="separate"/>
      </w:r>
      <w:r w:rsidR="00354D59" w:rsidRPr="00354D59">
        <w:rPr>
          <w:noProof/>
        </w:rPr>
        <w:t>[8,9]</w:t>
      </w:r>
      <w:r w:rsidR="002F05E5" w:rsidRPr="00532F44">
        <w:fldChar w:fldCharType="end"/>
      </w:r>
      <w:r w:rsidR="00560933" w:rsidRPr="00532F44">
        <w:t xml:space="preserve">. </w:t>
      </w:r>
      <w:r w:rsidR="00C0617D" w:rsidRPr="00532F44">
        <w:t xml:space="preserve"> The scenarios in which a TTE may affect the OAC decision </w:t>
      </w:r>
      <w:r w:rsidRPr="00532F44">
        <w:t xml:space="preserve">are described in </w:t>
      </w:r>
      <w:r w:rsidR="00B13ECE">
        <w:fldChar w:fldCharType="begin"/>
      </w:r>
      <w:r w:rsidR="00B13ECE">
        <w:instrText xml:space="preserve"> REF _Ref321227101 \h  \* MERGEFORMAT </w:instrText>
      </w:r>
      <w:r w:rsidR="00B13ECE">
        <w:fldChar w:fldCharType="separate"/>
      </w:r>
      <w:r w:rsidR="008D3B31" w:rsidRPr="00532F44">
        <w:t xml:space="preserve">Table </w:t>
      </w:r>
      <w:r w:rsidR="008D3B31">
        <w:t>1</w:t>
      </w:r>
      <w:r w:rsidR="00B13ECE">
        <w:fldChar w:fldCharType="end"/>
      </w:r>
      <w:r w:rsidRPr="00532F44">
        <w:t>.</w:t>
      </w:r>
    </w:p>
    <w:p w:rsidR="00253316" w:rsidRPr="00532F44" w:rsidRDefault="00253316" w:rsidP="00253316">
      <w:pPr>
        <w:spacing w:line="480" w:lineRule="auto"/>
        <w:jc w:val="center"/>
      </w:pPr>
      <w:r>
        <w:t>[Table 1 about here]</w:t>
      </w:r>
    </w:p>
    <w:p w:rsidR="00515AEC" w:rsidRPr="00532F44" w:rsidRDefault="00515AEC" w:rsidP="003378D6">
      <w:pPr>
        <w:pStyle w:val="Heading2"/>
        <w:numPr>
          <w:ilvl w:val="0"/>
          <w:numId w:val="0"/>
        </w:numPr>
      </w:pPr>
      <w:r w:rsidRPr="00532F44">
        <w:t>Model Overview</w:t>
      </w:r>
    </w:p>
    <w:p w:rsidR="00004236" w:rsidRPr="00532F44" w:rsidRDefault="00397705" w:rsidP="008D3B31">
      <w:pPr>
        <w:spacing w:line="480" w:lineRule="auto"/>
      </w:pPr>
      <w:r w:rsidRPr="00532F44">
        <w:t>A</w:t>
      </w:r>
      <w:r w:rsidR="00004236" w:rsidRPr="00532F44">
        <w:t xml:space="preserve">n overview of the model is presented in </w:t>
      </w:r>
      <w:r w:rsidR="00B13ECE">
        <w:fldChar w:fldCharType="begin"/>
      </w:r>
      <w:r w:rsidR="00B13ECE">
        <w:instrText xml:space="preserve"> REF _Ref321241706 \h  \* MERGEFORMAT </w:instrText>
      </w:r>
      <w:r w:rsidR="00B13ECE">
        <w:fldChar w:fldCharType="separate"/>
      </w:r>
      <w:r w:rsidR="008D3B31" w:rsidRPr="00532F44">
        <w:t xml:space="preserve">Figure </w:t>
      </w:r>
      <w:r w:rsidR="008D3B31">
        <w:t>1</w:t>
      </w:r>
      <w:r w:rsidR="00B13ECE">
        <w:fldChar w:fldCharType="end"/>
      </w:r>
      <w:r w:rsidR="00C007A4" w:rsidRPr="00532F44">
        <w:t>.</w:t>
      </w:r>
      <w:r w:rsidR="00004236" w:rsidRPr="00532F44">
        <w:t xml:space="preserve"> The model </w:t>
      </w:r>
      <w:r w:rsidR="00834F71" w:rsidRPr="00532F44">
        <w:t xml:space="preserve">comprises </w:t>
      </w:r>
      <w:r w:rsidR="00657538" w:rsidRPr="00532F44">
        <w:t xml:space="preserve">a </w:t>
      </w:r>
      <w:r w:rsidR="00004236" w:rsidRPr="00532F44">
        <w:t xml:space="preserve">short-term </w:t>
      </w:r>
      <w:r w:rsidR="00A07773" w:rsidRPr="00532F44">
        <w:t xml:space="preserve">diagnostic stage and </w:t>
      </w:r>
      <w:r w:rsidR="00834F71" w:rsidRPr="00532F44">
        <w:t xml:space="preserve">a </w:t>
      </w:r>
      <w:r w:rsidR="00A07773" w:rsidRPr="00532F44">
        <w:t xml:space="preserve">long-term patient outcome stage. In the short-term stage </w:t>
      </w:r>
      <w:r w:rsidR="00004236" w:rsidRPr="00532F44">
        <w:t xml:space="preserve">the clinical characteristics of a patient are generated, and whether or not </w:t>
      </w:r>
      <w:r w:rsidR="004E06E9" w:rsidRPr="008D3B31">
        <w:t>an LA</w:t>
      </w:r>
      <w:r w:rsidR="00253316">
        <w:t xml:space="preserve"> </w:t>
      </w:r>
      <w:r w:rsidR="004E06E9" w:rsidRPr="008D3B31">
        <w:t xml:space="preserve">ABN was identified and hence an </w:t>
      </w:r>
      <w:r w:rsidR="00004236" w:rsidRPr="00532F44">
        <w:t>OAC</w:t>
      </w:r>
      <w:r w:rsidR="00933B76" w:rsidRPr="00532F44">
        <w:t xml:space="preserve"> </w:t>
      </w:r>
      <w:r w:rsidR="001138A7" w:rsidRPr="00532F44">
        <w:t xml:space="preserve">was </w:t>
      </w:r>
      <w:r w:rsidR="00933B76" w:rsidRPr="00532F44">
        <w:t>prescribed</w:t>
      </w:r>
      <w:r w:rsidR="00004236" w:rsidRPr="00532F44">
        <w:t xml:space="preserve"> is </w:t>
      </w:r>
      <w:r w:rsidR="00933B76" w:rsidRPr="00532F44">
        <w:t>determined</w:t>
      </w:r>
      <w:r w:rsidR="00A07773" w:rsidRPr="00532F44">
        <w:t xml:space="preserve">. In the </w:t>
      </w:r>
      <w:r w:rsidR="00004236" w:rsidRPr="00532F44">
        <w:t xml:space="preserve">long-term simulation </w:t>
      </w:r>
      <w:r w:rsidR="00A07773" w:rsidRPr="00532F44">
        <w:t xml:space="preserve">the patient’s clinical outcomes are simulated. Over the patient lifetime the patient may experience a stroke or major bleeding event, </w:t>
      </w:r>
      <w:r w:rsidR="00933B76" w:rsidRPr="00532F44">
        <w:t xml:space="preserve">both of which could </w:t>
      </w:r>
      <w:r w:rsidR="00253316">
        <w:t xml:space="preserve">cause death; patients may also </w:t>
      </w:r>
      <w:r w:rsidR="001138A7" w:rsidRPr="00532F44">
        <w:t xml:space="preserve">die </w:t>
      </w:r>
      <w:r w:rsidR="00A07773" w:rsidRPr="00532F44">
        <w:t xml:space="preserve">from another cause. Each of these events </w:t>
      </w:r>
      <w:r w:rsidR="00933B76" w:rsidRPr="00532F44">
        <w:t>has</w:t>
      </w:r>
      <w:r w:rsidR="004B7B0B" w:rsidRPr="00532F44">
        <w:t xml:space="preserve"> associated cost and utility implications</w:t>
      </w:r>
      <w:r w:rsidR="00A07773" w:rsidRPr="00532F44">
        <w:t xml:space="preserve">. By </w:t>
      </w:r>
      <w:r w:rsidR="004B7B0B" w:rsidRPr="00532F44">
        <w:t xml:space="preserve">simulating </w:t>
      </w:r>
      <w:r w:rsidR="00A07773" w:rsidRPr="00532F44">
        <w:t xml:space="preserve">the outcomes for a large number of patients, the average associated costs and utilities following </w:t>
      </w:r>
      <w:r w:rsidR="00834F71" w:rsidRPr="00532F44">
        <w:t xml:space="preserve">alternative </w:t>
      </w:r>
      <w:r w:rsidR="00A07773" w:rsidRPr="00532F44">
        <w:t>diagnostic strategies (</w:t>
      </w:r>
      <w:r w:rsidR="00834F71" w:rsidRPr="00532F44">
        <w:t>with</w:t>
      </w:r>
      <w:r w:rsidR="004B7B0B" w:rsidRPr="00532F44">
        <w:t xml:space="preserve"> and without the use of TTE</w:t>
      </w:r>
      <w:r w:rsidR="00A07773" w:rsidRPr="00532F44">
        <w:t xml:space="preserve">) were estimated, allowing </w:t>
      </w:r>
      <w:r w:rsidR="00263B7C" w:rsidRPr="00532F44">
        <w:t xml:space="preserve">estimation of the mean costs and mean QALYs for both strategies, and </w:t>
      </w:r>
      <w:r w:rsidR="00933B76" w:rsidRPr="00532F44">
        <w:t xml:space="preserve">from these </w:t>
      </w:r>
      <w:r w:rsidR="00263B7C" w:rsidRPr="00532F44">
        <w:t>the incremental cost effectiveness ratio (ICER) of including TTE in the diagnostic package.</w:t>
      </w:r>
    </w:p>
    <w:p w:rsidR="00515AEC" w:rsidRPr="00532F44" w:rsidRDefault="00A0005C" w:rsidP="008D3B31">
      <w:pPr>
        <w:spacing w:line="480" w:lineRule="auto"/>
      </w:pPr>
      <w:r w:rsidRPr="00532F44">
        <w:t xml:space="preserve">In the baseline strategies, none of </w:t>
      </w:r>
      <w:r w:rsidR="00C87195" w:rsidRPr="00532F44">
        <w:t xml:space="preserve">the patients with </w:t>
      </w:r>
      <w:r w:rsidRPr="00532F44">
        <w:t>LA</w:t>
      </w:r>
      <w:r w:rsidR="00560933" w:rsidRPr="00532F44">
        <w:t xml:space="preserve"> </w:t>
      </w:r>
      <w:r w:rsidRPr="00532F44">
        <w:t xml:space="preserve">ABN were treated with the OAC even though their high stroke risk means </w:t>
      </w:r>
      <w:r w:rsidR="00C87195" w:rsidRPr="00532F44">
        <w:t>that the benefits would on average outweigh the risks.</w:t>
      </w:r>
      <w:r w:rsidRPr="00532F44">
        <w:t xml:space="preserve"> In the comparator strategy, </w:t>
      </w:r>
      <w:r w:rsidR="00133DC2">
        <w:t xml:space="preserve">a percentage </w:t>
      </w:r>
      <w:r w:rsidRPr="00532F44">
        <w:t xml:space="preserve">of these </w:t>
      </w:r>
      <w:r w:rsidR="008D30D8" w:rsidRPr="00532F44">
        <w:t xml:space="preserve">patients with LA ABN </w:t>
      </w:r>
      <w:r w:rsidRPr="00532F44">
        <w:t xml:space="preserve">would receive the OAC due to TTE correctly identifying </w:t>
      </w:r>
      <w:r w:rsidR="001B457D" w:rsidRPr="00532F44">
        <w:t>LA ABN</w:t>
      </w:r>
      <w:r w:rsidR="00133DC2">
        <w:t>, dependent on sensitivity of TTE</w:t>
      </w:r>
      <w:r w:rsidR="004E06E9">
        <w:t xml:space="preserve">. However, when specificity is less than perfect a proportion of </w:t>
      </w:r>
      <w:r w:rsidRPr="00532F44">
        <w:t xml:space="preserve">patients without LA ABN would </w:t>
      </w:r>
      <w:r w:rsidR="008D30D8" w:rsidRPr="00532F44">
        <w:t>also receive it</w:t>
      </w:r>
      <w:r w:rsidRPr="00532F44">
        <w:t xml:space="preserve">. </w:t>
      </w:r>
    </w:p>
    <w:p w:rsidR="00DE62D7" w:rsidRPr="00532F44" w:rsidRDefault="00560933" w:rsidP="008D3B31">
      <w:pPr>
        <w:spacing w:line="480" w:lineRule="auto"/>
      </w:pPr>
      <w:r w:rsidRPr="00532F44">
        <w:lastRenderedPageBreak/>
        <w:t xml:space="preserve">In the short-term </w:t>
      </w:r>
      <w:r w:rsidR="00B31E31" w:rsidRPr="00532F44">
        <w:t xml:space="preserve">diagnostic stage of the </w:t>
      </w:r>
      <w:r w:rsidRPr="00532F44">
        <w:t xml:space="preserve">model the population are divided into </w:t>
      </w:r>
      <w:r w:rsidR="007955A1" w:rsidRPr="00532F44">
        <w:t>true positives (TPs), true negatives (TNs), false positives (FPs) and false negatives (FNs)</w:t>
      </w:r>
      <w:r w:rsidR="00B31E31" w:rsidRPr="00532F44">
        <w:t xml:space="preserve">. </w:t>
      </w:r>
      <w:r w:rsidRPr="00532F44">
        <w:t xml:space="preserve">The </w:t>
      </w:r>
      <w:r w:rsidR="00DE62D7" w:rsidRPr="00532F44">
        <w:t xml:space="preserve">relative size of </w:t>
      </w:r>
      <w:r w:rsidRPr="00532F44">
        <w:t xml:space="preserve">each of the four groups is a function of </w:t>
      </w:r>
      <w:r w:rsidR="00DE62D7" w:rsidRPr="00532F44">
        <w:t>the proportion of the population with LA ABN, referred to here as the t</w:t>
      </w:r>
      <w:r w:rsidR="00253316">
        <w:t>rue proportion high risk (TPHR),</w:t>
      </w:r>
      <w:r w:rsidR="00DE62D7" w:rsidRPr="00532F44">
        <w:t xml:space="preserve"> and </w:t>
      </w:r>
      <w:r w:rsidR="00253316">
        <w:t xml:space="preserve">the </w:t>
      </w:r>
      <w:r w:rsidR="00DE62D7" w:rsidRPr="00532F44">
        <w:t>sensitivity and specificity of the diagnostic technology</w:t>
      </w:r>
      <w:r w:rsidR="00253316">
        <w:t xml:space="preserve">. These are </w:t>
      </w:r>
      <w:r w:rsidR="00DE62D7" w:rsidRPr="00532F44">
        <w:t>defined as follows:</w:t>
      </w:r>
    </w:p>
    <w:p w:rsidR="00DE62D7" w:rsidRPr="00532F44" w:rsidRDefault="00DE62D7" w:rsidP="00DE62D7">
      <w:pPr>
        <w:pStyle w:val="ListParagraph"/>
        <w:numPr>
          <w:ilvl w:val="0"/>
          <w:numId w:val="16"/>
        </w:numPr>
      </w:pPr>
      <w:r w:rsidRPr="00532F44">
        <w:t>Proportion of true positives = TPHR x sensitivity;</w:t>
      </w:r>
    </w:p>
    <w:p w:rsidR="00DE62D7" w:rsidRPr="00532F44" w:rsidRDefault="00DE62D7" w:rsidP="00DE62D7">
      <w:pPr>
        <w:pStyle w:val="ListParagraph"/>
        <w:numPr>
          <w:ilvl w:val="0"/>
          <w:numId w:val="16"/>
        </w:numPr>
      </w:pPr>
      <w:r w:rsidRPr="00532F44">
        <w:t>Proportion of true negatives = (1 –TPHR) x specificity;</w:t>
      </w:r>
    </w:p>
    <w:p w:rsidR="00DE62D7" w:rsidRPr="00532F44" w:rsidRDefault="00DE62D7" w:rsidP="00DE62D7">
      <w:pPr>
        <w:pStyle w:val="ListParagraph"/>
        <w:numPr>
          <w:ilvl w:val="0"/>
          <w:numId w:val="16"/>
        </w:numPr>
      </w:pPr>
      <w:r w:rsidRPr="00532F44">
        <w:t>Proportion o</w:t>
      </w:r>
      <w:r w:rsidR="001138A7" w:rsidRPr="00532F44">
        <w:t>f false positives = (1 – TPHR) x</w:t>
      </w:r>
      <w:r w:rsidRPr="00532F44">
        <w:t xml:space="preserve"> (1 – specificity);</w:t>
      </w:r>
    </w:p>
    <w:p w:rsidR="00DE62D7" w:rsidRPr="00532F44" w:rsidRDefault="00DE62D7" w:rsidP="00DE62D7">
      <w:pPr>
        <w:pStyle w:val="ListParagraph"/>
        <w:numPr>
          <w:ilvl w:val="0"/>
          <w:numId w:val="16"/>
        </w:numPr>
      </w:pPr>
      <w:r w:rsidRPr="00532F44">
        <w:t>Proportion of false negatives = TPHR x (1 – sensitivity).</w:t>
      </w:r>
    </w:p>
    <w:p w:rsidR="00850455" w:rsidRPr="00532F44" w:rsidRDefault="00DE62D7" w:rsidP="008D3B31">
      <w:pPr>
        <w:spacing w:line="480" w:lineRule="auto"/>
      </w:pPr>
      <w:r w:rsidRPr="00532F44">
        <w:t xml:space="preserve">Within the context of the model, the baseline strategy (no TTE) can be considered a diagnostic strategy with a sensitivity of zero and a specificity of one, so </w:t>
      </w:r>
      <w:r w:rsidR="00133DC2">
        <w:t xml:space="preserve">the </w:t>
      </w:r>
      <w:r w:rsidRPr="00532F44">
        <w:t xml:space="preserve">baseline population mix </w:t>
      </w:r>
      <w:r w:rsidR="00133DC2">
        <w:t>comprises TPHR false negatives and the remainder (1 - TPHR)</w:t>
      </w:r>
      <w:r w:rsidRPr="00532F44">
        <w:t xml:space="preserve"> true negative</w:t>
      </w:r>
      <w:r w:rsidR="00133DC2">
        <w:t>s</w:t>
      </w:r>
      <w:r w:rsidRPr="00532F44">
        <w:t xml:space="preserve">. </w:t>
      </w:r>
    </w:p>
    <w:p w:rsidR="00515AEC" w:rsidRPr="00532F44" w:rsidRDefault="00515AEC" w:rsidP="003378D6">
      <w:pPr>
        <w:pStyle w:val="Heading2"/>
        <w:numPr>
          <w:ilvl w:val="0"/>
          <w:numId w:val="0"/>
        </w:numPr>
      </w:pPr>
      <w:r w:rsidRPr="0089277F">
        <w:rPr>
          <w:lang w:val="en-GB"/>
        </w:rPr>
        <w:t>Mode</w:t>
      </w:r>
      <w:r w:rsidR="004E06E9" w:rsidRPr="0089277F">
        <w:rPr>
          <w:lang w:val="en-GB"/>
        </w:rPr>
        <w:t>l</w:t>
      </w:r>
      <w:r w:rsidRPr="0089277F">
        <w:rPr>
          <w:lang w:val="en-GB"/>
        </w:rPr>
        <w:t>ling</w:t>
      </w:r>
      <w:r w:rsidRPr="00532F44">
        <w:t xml:space="preserve"> long-term </w:t>
      </w:r>
      <w:r w:rsidR="00BC79E5" w:rsidRPr="00532F44">
        <w:t>events</w:t>
      </w:r>
    </w:p>
    <w:p w:rsidR="00E97667" w:rsidRPr="00532F44" w:rsidRDefault="00515AEC" w:rsidP="008D3B31">
      <w:pPr>
        <w:spacing w:line="480" w:lineRule="auto"/>
      </w:pPr>
      <w:r w:rsidRPr="00532F44">
        <w:t xml:space="preserve">Prescribing an OAC </w:t>
      </w:r>
      <w:r w:rsidR="00354D59">
        <w:t>reduces the risk of stroke, but increases risk of a potentially fatal major bleeding event</w:t>
      </w:r>
      <w:r w:rsidRPr="00532F44">
        <w:t xml:space="preserve">. </w:t>
      </w:r>
      <w:r w:rsidR="00E97667" w:rsidRPr="00532F44">
        <w:t>Three mutually exclusive outcomes co</w:t>
      </w:r>
      <w:r w:rsidR="00133DC2">
        <w:t>uld result from a stroke: death; a dependent state;</w:t>
      </w:r>
      <w:r w:rsidR="00E97667" w:rsidRPr="00532F44">
        <w:t xml:space="preserve"> and an independent state. Each outcome has different </w:t>
      </w:r>
      <w:r w:rsidR="00253316">
        <w:t>health related quality of life (</w:t>
      </w:r>
      <w:proofErr w:type="spellStart"/>
      <w:r w:rsidR="00253316">
        <w:t>HRQoL</w:t>
      </w:r>
      <w:proofErr w:type="spellEnd"/>
      <w:r w:rsidR="00253316">
        <w:t>)</w:t>
      </w:r>
      <w:r w:rsidR="00E97667" w:rsidRPr="00532F44">
        <w:t>, probabilities and costs. Similarly, three mutually exclusive outcomes could result from a major bleeding event: death</w:t>
      </w:r>
      <w:r w:rsidR="007D1C2B">
        <w:t>;</w:t>
      </w:r>
      <w:r w:rsidR="00E97667" w:rsidRPr="00532F44">
        <w:t xml:space="preserve"> an i</w:t>
      </w:r>
      <w:r w:rsidR="007D1C2B">
        <w:t>ntracranial (IC) bleeding event;</w:t>
      </w:r>
      <w:r w:rsidR="00E97667" w:rsidRPr="00532F44">
        <w:t xml:space="preserve"> or a non-intracranial (NIC) bleeding event (assumed to be a gastrointestinal bleed). The severity of an IC bleed can vary substantially, and this variation of outcomes was itself simulated using data based on outcomes categorized by </w:t>
      </w:r>
      <w:r w:rsidR="00FB6128">
        <w:t>Glasgow Outcome Scale (</w:t>
      </w:r>
      <w:r w:rsidR="00E97667" w:rsidRPr="00532F44">
        <w:t>GOS</w:t>
      </w:r>
      <w:r w:rsidR="00FB6128">
        <w:t>)</w:t>
      </w:r>
      <w:r w:rsidR="00E97667" w:rsidRPr="00532F44">
        <w:t xml:space="preserve"> score following traumatic brain injury. The full methodology used to produce these estimates is presented elsewhere</w:t>
      </w:r>
      <w:r w:rsidR="00850455" w:rsidRPr="00532F44">
        <w:t>.</w:t>
      </w:r>
      <w:r w:rsidR="00E97667" w:rsidRPr="00532F44">
        <w:t xml:space="preserve"> </w:t>
      </w:r>
      <w:r w:rsidR="002F05E5" w:rsidRPr="00532F44">
        <w:fldChar w:fldCharType="begin" w:fldLock="1"/>
      </w:r>
      <w:r w:rsidR="00253316">
        <w:instrText>ADDIN CSL_CITATION { "citationItems" : [ { "id" : "ITEM-1", "itemData" : { "author" : [ { "dropping-particle" : "", "family" : "Simpson", "given" : "E L", "non-dropping-particle" : "", "parse-names" : false, "suffix" : "" }, { "dropping-particle" : "", "family" : "Stevenson", "given" : "M D", "non-dropping-particle" : "", "parse-names" : false, "suffix" : "" }, { "dropping-particle" : "", "family" : "Scope", "given" : "A", "non-dropping-particle" : "", "parse-names" : false, "suffix" : "" }, { "dropping-particle" : "", "family" : "Poku", "given" : "E", "non-dropping-particle" : "", "parse-names" : false, "suffix" : "" }, { "dropping-particle" : "", "family" : "Minton", "given" : "J", "non-dropping-particle" : "", "parse-names" : false, "suffix" : "" }, { "dropping-particle" : "", "family" : "Evans", "given" : "P", "non-dropping-particle" : "", "parse-names" : false, "suffix" : "" } ], "id" : "ITEM-1", "issued" : { "date-parts" : [ [ "2012" ] ] }, "page" : "303", "title" : "Echocardiography in newly diagnosed atrial fibrillation patients: a systematic review and economic evaluation", "type" : "report" }, "uris" : [ "http://www.mendeley.com/documents/?uuid=779c182a-76c2-4bca-b460-1b6ba4032a4a" ] } ], "mendeley" : { "previouslyFormattedCitation" : "[10]" }, "properties" : { "noteIndex" : 0 }, "schema" : "https://github.com/citation-style-language/schema/raw/master/csl-citation.json" }</w:instrText>
      </w:r>
      <w:r w:rsidR="002F05E5" w:rsidRPr="00532F44">
        <w:fldChar w:fldCharType="separate"/>
      </w:r>
      <w:r w:rsidR="00354D59" w:rsidRPr="00354D59">
        <w:rPr>
          <w:noProof/>
        </w:rPr>
        <w:t>[10]</w:t>
      </w:r>
      <w:r w:rsidR="002F05E5" w:rsidRPr="00532F44">
        <w:fldChar w:fldCharType="end"/>
      </w:r>
      <w:r w:rsidR="00E97667" w:rsidRPr="00532F44">
        <w:t xml:space="preserve"> </w:t>
      </w:r>
    </w:p>
    <w:p w:rsidR="00F91783" w:rsidRPr="00532F44" w:rsidRDefault="00A8404E" w:rsidP="008D3B31">
      <w:pPr>
        <w:spacing w:line="480" w:lineRule="auto"/>
      </w:pPr>
      <w:r w:rsidRPr="00532F44">
        <w:t xml:space="preserve">The </w:t>
      </w:r>
      <w:r w:rsidR="00515AEC" w:rsidRPr="00532F44">
        <w:t>model</w:t>
      </w:r>
      <w:r w:rsidRPr="00532F44">
        <w:t xml:space="preserve"> is updated when events occur that affect an individual’s</w:t>
      </w:r>
      <w:r w:rsidR="00F91783" w:rsidRPr="00532F44">
        <w:t xml:space="preserve"> stroke or bleed risk. </w:t>
      </w:r>
      <w:r w:rsidR="00BC79E5" w:rsidRPr="00532F44">
        <w:t>E</w:t>
      </w:r>
      <w:r w:rsidR="00F91783" w:rsidRPr="00532F44">
        <w:t>xample</w:t>
      </w:r>
      <w:r w:rsidR="00BC79E5" w:rsidRPr="00532F44">
        <w:t>s of such events are: experiencing a</w:t>
      </w:r>
      <w:r w:rsidR="00F91783" w:rsidRPr="00532F44">
        <w:t xml:space="preserve"> stroke</w:t>
      </w:r>
      <w:r w:rsidR="007D1C2B">
        <w:t>;</w:t>
      </w:r>
      <w:r w:rsidR="00F91783" w:rsidRPr="00532F44">
        <w:t xml:space="preserve"> </w:t>
      </w:r>
      <w:r w:rsidR="00BC79E5" w:rsidRPr="00532F44">
        <w:t>withdrawal of an OAC following a</w:t>
      </w:r>
      <w:r w:rsidR="00F91783" w:rsidRPr="00532F44">
        <w:t xml:space="preserve"> major bleed</w:t>
      </w:r>
      <w:r w:rsidR="004E06E9">
        <w:t xml:space="preserve">; and reaching </w:t>
      </w:r>
      <w:r w:rsidR="004E06E9" w:rsidRPr="00532F44">
        <w:t>75 years</w:t>
      </w:r>
      <w:r w:rsidR="004E06E9">
        <w:t xml:space="preserve"> of age</w:t>
      </w:r>
      <w:r w:rsidR="0089277F">
        <w:t>, which increases the CHADS</w:t>
      </w:r>
      <w:r w:rsidR="0089277F" w:rsidRPr="00B36EBC">
        <w:rPr>
          <w:vertAlign w:val="subscript"/>
        </w:rPr>
        <w:t>2</w:t>
      </w:r>
      <w:r w:rsidR="0089277F">
        <w:t xml:space="preserve"> score by one </w:t>
      </w:r>
      <w:proofErr w:type="gramStart"/>
      <w:r w:rsidR="0089277F">
        <w:t>point</w:t>
      </w:r>
      <w:proofErr w:type="gramEnd"/>
      <w:r w:rsidR="007D1C2B">
        <w:t>.</w:t>
      </w:r>
      <w:r w:rsidR="00F91783" w:rsidRPr="00532F44">
        <w:t xml:space="preserve"> </w:t>
      </w:r>
      <w:r w:rsidR="00BC79E5" w:rsidRPr="00532F44">
        <w:t xml:space="preserve">It was assumed that </w:t>
      </w:r>
      <w:r w:rsidR="001138A7" w:rsidRPr="00532F44">
        <w:t>i</w:t>
      </w:r>
      <w:r w:rsidR="00F91783" w:rsidRPr="00532F44">
        <w:t xml:space="preserve">f a patient experiences a stroke and </w:t>
      </w:r>
      <w:r w:rsidR="00266451" w:rsidRPr="00532F44">
        <w:t xml:space="preserve">is </w:t>
      </w:r>
      <w:r w:rsidR="00F91783" w:rsidRPr="00532F44">
        <w:t>not already taking an OAC, they are prescribed OACs</w:t>
      </w:r>
      <w:r w:rsidR="00C23AC0" w:rsidRPr="00532F44">
        <w:t xml:space="preserve">, provided they have </w:t>
      </w:r>
      <w:r w:rsidR="00C23AC0" w:rsidRPr="00532F44">
        <w:lastRenderedPageBreak/>
        <w:t>not experienced a previous bleeding episode</w:t>
      </w:r>
      <w:r w:rsidR="00604F56" w:rsidRPr="00532F44">
        <w:t>.</w:t>
      </w:r>
      <w:r w:rsidR="00F91783" w:rsidRPr="00532F44">
        <w:t xml:space="preserve"> If a patient suffers a severe intracranial </w:t>
      </w:r>
      <w:proofErr w:type="spellStart"/>
      <w:r w:rsidR="00F91783" w:rsidRPr="008D3B31">
        <w:t>haemorrhage</w:t>
      </w:r>
      <w:proofErr w:type="spellEnd"/>
      <w:r w:rsidR="00F91783" w:rsidRPr="00532F44">
        <w:t xml:space="preserve"> (Gl</w:t>
      </w:r>
      <w:r w:rsidR="00604F56" w:rsidRPr="00532F44">
        <w:t xml:space="preserve">asgow </w:t>
      </w:r>
      <w:r w:rsidR="007D1C2B">
        <w:t>O</w:t>
      </w:r>
      <w:r w:rsidR="00604F56" w:rsidRPr="00532F44">
        <w:t xml:space="preserve">utcome </w:t>
      </w:r>
      <w:r w:rsidR="007D1C2B">
        <w:t>S</w:t>
      </w:r>
      <w:r w:rsidR="00604F56" w:rsidRPr="00532F44">
        <w:t>cale category 2) as</w:t>
      </w:r>
      <w:r w:rsidR="00F91783" w:rsidRPr="00532F44">
        <w:t xml:space="preserve"> a result of taking OACs, their life expectancy was reduced to a maximum of 3.</w:t>
      </w:r>
      <w:r w:rsidR="009C7509" w:rsidRPr="00532F44">
        <w:t>6</w:t>
      </w:r>
      <w:r w:rsidR="00F91783" w:rsidRPr="00532F44">
        <w:t xml:space="preserve"> years</w:t>
      </w:r>
      <w:r w:rsidR="00C23AC0" w:rsidRPr="00532F44">
        <w:t xml:space="preserve"> with no QALY gain</w:t>
      </w:r>
      <w:r w:rsidR="00F91783" w:rsidRPr="00532F44">
        <w:t xml:space="preserve">. </w:t>
      </w:r>
      <w:r w:rsidR="002F05E5" w:rsidRPr="00532F44">
        <w:fldChar w:fldCharType="begin" w:fldLock="1"/>
      </w:r>
      <w:r w:rsidR="00253316">
        <w:instrText>ADDIN CSL_CITATION { "citationItems" : [ { "id" : "ITEM-1", "itemData" : { "author" : [ { "dropping-particle" : "", "family" : "PVS", "given" : "The Multi-Society Task Force on", "non-dropping-particle" : "", "parse-names" : false, "suffix" : "" } ], "container-title" : "The New England Journal of Medicine", "id" : "ITEM-1", "issue" : "22", "issued" : { "date-parts" : [ [ "1994" ] ] }, "title" : "Medical aspects of the persistent vegetative state: second of two parts", "type" : "article-journal", "volume" : "330" }, "uris" : [ "http://www.mendeley.com/documents/?uuid=87ec4fe2-f15d-459a-900e-5d76c720d16a" ] } ], "mendeley" : { "previouslyFormattedCitation" : "[11]" }, "properties" : { "noteIndex" : 0 }, "schema" : "https://github.com/citation-style-language/schema/raw/master/csl-citation.json" }</w:instrText>
      </w:r>
      <w:r w:rsidR="002F05E5" w:rsidRPr="00532F44">
        <w:fldChar w:fldCharType="separate"/>
      </w:r>
      <w:r w:rsidR="00354D59" w:rsidRPr="00354D59">
        <w:rPr>
          <w:noProof/>
        </w:rPr>
        <w:t>[11]</w:t>
      </w:r>
      <w:r w:rsidR="002F05E5" w:rsidRPr="00532F44">
        <w:fldChar w:fldCharType="end"/>
      </w:r>
      <w:r w:rsidR="009C7509" w:rsidRPr="00532F44">
        <w:t xml:space="preserve"> </w:t>
      </w:r>
      <w:r w:rsidR="00604F56" w:rsidRPr="00532F44">
        <w:t>Additionally, t</w:t>
      </w:r>
      <w:r w:rsidR="00F91783" w:rsidRPr="00532F44">
        <w:t xml:space="preserve">he risk of a major bleeding event when taking </w:t>
      </w:r>
      <w:proofErr w:type="spellStart"/>
      <w:r w:rsidR="00C23AC0" w:rsidRPr="00532F44">
        <w:t>dabigatran</w:t>
      </w:r>
      <w:proofErr w:type="spellEnd"/>
      <w:r w:rsidR="00C23AC0" w:rsidRPr="00532F44">
        <w:t xml:space="preserve"> </w:t>
      </w:r>
      <w:r w:rsidR="00F91783" w:rsidRPr="00532F44">
        <w:t>(150mg twice daily) was also assumed to change a</w:t>
      </w:r>
      <w:r w:rsidR="00C42A71" w:rsidRPr="00532F44">
        <w:t xml:space="preserve">t the age of 75, as indicated by recent evidence comparing </w:t>
      </w:r>
      <w:proofErr w:type="spellStart"/>
      <w:r w:rsidR="00C42A71" w:rsidRPr="00532F44">
        <w:t>dabigatran</w:t>
      </w:r>
      <w:proofErr w:type="spellEnd"/>
      <w:r w:rsidR="00C42A71" w:rsidRPr="00532F44">
        <w:t xml:space="preserve"> with warfarin. </w:t>
      </w:r>
      <w:r w:rsidR="002F05E5" w:rsidRPr="00532F44">
        <w:fldChar w:fldCharType="begin" w:fldLock="1"/>
      </w:r>
      <w:r w:rsidR="00253316">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002F05E5" w:rsidRPr="00532F44">
        <w:fldChar w:fldCharType="separate"/>
      </w:r>
      <w:r w:rsidR="00354D59" w:rsidRPr="00354D59">
        <w:rPr>
          <w:noProof/>
        </w:rPr>
        <w:t>[12]</w:t>
      </w:r>
      <w:r w:rsidR="002F05E5" w:rsidRPr="00532F44">
        <w:fldChar w:fldCharType="end"/>
      </w:r>
    </w:p>
    <w:p w:rsidR="00DE62D7" w:rsidRPr="00532F44" w:rsidRDefault="00DE62D7" w:rsidP="003378D6">
      <w:pPr>
        <w:pStyle w:val="Heading2"/>
        <w:numPr>
          <w:ilvl w:val="0"/>
          <w:numId w:val="0"/>
        </w:numPr>
      </w:pPr>
      <w:r w:rsidRPr="00532F44">
        <w:t>Data sources used in model</w:t>
      </w:r>
    </w:p>
    <w:p w:rsidR="00DE62D7" w:rsidRPr="00532F44" w:rsidRDefault="00DE62D7" w:rsidP="008D3B31">
      <w:pPr>
        <w:spacing w:line="480" w:lineRule="auto"/>
      </w:pPr>
      <w:r w:rsidRPr="00532F44">
        <w:t xml:space="preserve">A full list of the information used to populate the parameters in the model, including event risks, costs and utilities, is presented in </w:t>
      </w:r>
      <w:r w:rsidR="00B13ECE">
        <w:fldChar w:fldCharType="begin"/>
      </w:r>
      <w:r w:rsidR="00B13ECE">
        <w:instrText xml:space="preserve"> REF _Ref321401422 \h  \* MERGEFORMAT </w:instrText>
      </w:r>
      <w:r w:rsidR="00B13ECE">
        <w:fldChar w:fldCharType="separate"/>
      </w:r>
      <w:r w:rsidR="008D3B31" w:rsidRPr="00532F44">
        <w:t xml:space="preserve">Table </w:t>
      </w:r>
      <w:r w:rsidR="008D3B31">
        <w:t>2</w:t>
      </w:r>
      <w:r w:rsidR="00B13ECE">
        <w:fldChar w:fldCharType="end"/>
      </w:r>
      <w:r w:rsidRPr="00532F44">
        <w:t>.</w:t>
      </w:r>
    </w:p>
    <w:p w:rsidR="0091160C" w:rsidRPr="00532F44" w:rsidRDefault="0091160C" w:rsidP="003378D6">
      <w:pPr>
        <w:pStyle w:val="Heading2"/>
        <w:numPr>
          <w:ilvl w:val="0"/>
          <w:numId w:val="0"/>
        </w:numPr>
      </w:pPr>
      <w:r w:rsidRPr="00532F44">
        <w:t>Estimating cost effectiv</w:t>
      </w:r>
      <w:r w:rsidR="007955A1" w:rsidRPr="00532F44">
        <w:t>e</w:t>
      </w:r>
      <w:r w:rsidRPr="00532F44">
        <w:t>ness</w:t>
      </w:r>
    </w:p>
    <w:p w:rsidR="00454436" w:rsidRPr="00532F44" w:rsidRDefault="00741A7A" w:rsidP="008D3B31">
      <w:pPr>
        <w:spacing w:line="480" w:lineRule="auto"/>
      </w:pPr>
      <w:bookmarkStart w:id="0" w:name="_Toc316637315"/>
      <w:r>
        <w:t xml:space="preserve">The scatterplots of estimates produced by the PSA provide an indication of the clinical and cost-effectiveness of the TTE option compared with the no TTE option.  If the majority of the </w:t>
      </w:r>
      <w:proofErr w:type="gramStart"/>
      <w:r>
        <w:t>scatter are</w:t>
      </w:r>
      <w:proofErr w:type="gramEnd"/>
      <w:r>
        <w:t xml:space="preserve"> in the north west quadrant of these graphs, then this indicates that the TTE option is both more costly and less effective than the no TTE option, and this is said to be ruled out by simple dominance. Scatter in the north east quadrant indicates that, compared with no TTE, TTE is both more expensive but also more clinically effective; in these cases, it is important to identify whether the ratio of incremental costs to incremental benefits </w:t>
      </w:r>
      <w:r w:rsidR="00C3520A">
        <w:t xml:space="preserve">– the incremental cost-effectiveness ratio (ICER) - </w:t>
      </w:r>
      <w:r>
        <w:t xml:space="preserve">is below </w:t>
      </w:r>
      <w:r w:rsidR="00C3520A">
        <w:t xml:space="preserve">a given threshold value, defined as </w:t>
      </w:r>
      <w:r w:rsidR="00C3520A" w:rsidRPr="00532F44">
        <w:t>maximum acceptable incre</w:t>
      </w:r>
      <w:r w:rsidR="00C3520A">
        <w:t>mental cost effectiveness ratios</w:t>
      </w:r>
      <w:r w:rsidR="00C3520A" w:rsidRPr="00532F44">
        <w:t xml:space="preserve"> (MAICERS)</w:t>
      </w:r>
      <w:r w:rsidR="00C3520A">
        <w:t xml:space="preserve">. Treatment options are usually described as ‘cost effective’ if their ICER is below the MAICER, and not cost effective otherwise. </w:t>
      </w:r>
      <w:r w:rsidR="00670364" w:rsidRPr="00532F44">
        <w:t xml:space="preserve">The </w:t>
      </w:r>
      <w:r w:rsidR="00270FD8" w:rsidRPr="00532F44">
        <w:t xml:space="preserve">probabilities </w:t>
      </w:r>
      <w:r w:rsidR="00670364" w:rsidRPr="00532F44">
        <w:t>that the</w:t>
      </w:r>
      <w:r w:rsidR="00266451" w:rsidRPr="00532F44">
        <w:t xml:space="preserve"> addition of TTE </w:t>
      </w:r>
      <w:r w:rsidR="001138A7" w:rsidRPr="00532F44">
        <w:t>is cost-effective at</w:t>
      </w:r>
      <w:r w:rsidR="00670364" w:rsidRPr="00532F44">
        <w:t xml:space="preserve"> </w:t>
      </w:r>
      <w:r w:rsidR="00C3520A">
        <w:t xml:space="preserve">was calculated for MAICERs </w:t>
      </w:r>
      <w:r w:rsidR="00270FD8" w:rsidRPr="00532F44">
        <w:t>ranging from £0/QALY to £50,000/QALY. This information</w:t>
      </w:r>
      <w:r w:rsidR="000406AE" w:rsidRPr="00532F44">
        <w:t xml:space="preserve"> </w:t>
      </w:r>
      <w:r w:rsidR="00270FD8" w:rsidRPr="00532F44">
        <w:t xml:space="preserve">was used to create </w:t>
      </w:r>
      <w:r w:rsidR="000F1109" w:rsidRPr="00532F44">
        <w:t>cost-effectiveness acceptability frontiers (CEAFs)</w:t>
      </w:r>
      <w:r w:rsidR="00270FD8" w:rsidRPr="00532F44">
        <w:t xml:space="preserve"> for each of the scenarios</w:t>
      </w:r>
      <w:r w:rsidR="000F1109" w:rsidRPr="00532F44">
        <w:t>.</w:t>
      </w:r>
      <w:r w:rsidR="00270FD8" w:rsidRPr="00532F44">
        <w:t xml:space="preserve"> CEAFs</w:t>
      </w:r>
      <w:r w:rsidR="00C3520A">
        <w:t xml:space="preserve"> </w:t>
      </w:r>
      <w:r w:rsidR="00270FD8" w:rsidRPr="00532F44">
        <w:t xml:space="preserve">show the probability </w:t>
      </w:r>
      <w:r w:rsidR="00CA434B" w:rsidRPr="00532F44">
        <w:t xml:space="preserve">of the adoption decision </w:t>
      </w:r>
      <w:r w:rsidR="00C3520A">
        <w:t xml:space="preserve">being </w:t>
      </w:r>
      <w:r w:rsidR="00270FD8" w:rsidRPr="00532F44">
        <w:t>cost-effective.</w:t>
      </w:r>
      <w:r w:rsidR="00266451" w:rsidRPr="00532F44">
        <w:t xml:space="preserve"> </w:t>
      </w:r>
      <w:r w:rsidR="002F05E5" w:rsidRPr="00532F44">
        <w:fldChar w:fldCharType="begin" w:fldLock="1"/>
      </w:r>
      <w:r w:rsidR="00253316">
        <w:instrText>ADDIN CSL_CITATION { "citationItems" : [ { "id" : "ITEM-1", "itemData" : { "URL" : "http://www.nice.org.uk/media/B52/A7/TAMethodsGuideUpdatedJune2008.pdf", "author" : [ { "dropping-particle" : "", "family" : "NICE", "given" : "", "non-dropping-particle" : "", "parse-names" : false, "suffix" : "" } ], "id" : "ITEM-1", "issued" : { "date-parts" : [ [ "2008" ] ] }, "title" : "Guide to the methods of technology appraisal", "type" : "webpage" }, "uris" : [ "http://www.mendeley.com/documents/?uuid=ed915307-1f9e-4c6a-988a-a9210492d557" ] } ], "mendeley" : { "previouslyFormattedCitation" : "[13]" }, "properties" : { "noteIndex" : 0 }, "schema" : "https://github.com/citation-style-language/schema/raw/master/csl-citation.json" }</w:instrText>
      </w:r>
      <w:r w:rsidR="002F05E5" w:rsidRPr="00532F44">
        <w:fldChar w:fldCharType="separate"/>
      </w:r>
      <w:r w:rsidR="00354D59" w:rsidRPr="00354D59">
        <w:rPr>
          <w:noProof/>
        </w:rPr>
        <w:t>[13]</w:t>
      </w:r>
      <w:r w:rsidR="002F05E5" w:rsidRPr="00532F44">
        <w:fldChar w:fldCharType="end"/>
      </w:r>
    </w:p>
    <w:p w:rsidR="00270FD8" w:rsidRPr="00532F44" w:rsidRDefault="00AB2D8E" w:rsidP="003378D6">
      <w:pPr>
        <w:pStyle w:val="Heading2"/>
        <w:numPr>
          <w:ilvl w:val="0"/>
          <w:numId w:val="0"/>
        </w:numPr>
      </w:pPr>
      <w:r w:rsidRPr="00532F44">
        <w:t>Deterministic</w:t>
      </w:r>
      <w:r w:rsidR="00270FD8" w:rsidRPr="00532F44">
        <w:t xml:space="preserve"> sensitivity analyses</w:t>
      </w:r>
    </w:p>
    <w:p w:rsidR="00454436" w:rsidRPr="00532F44" w:rsidRDefault="00DF7E46" w:rsidP="008D3B31">
      <w:pPr>
        <w:spacing w:line="480" w:lineRule="auto"/>
      </w:pPr>
      <w:r w:rsidRPr="00532F44">
        <w:t>S</w:t>
      </w:r>
      <w:r w:rsidR="00454436" w:rsidRPr="00532F44">
        <w:t xml:space="preserve">ensitivity analyses were </w:t>
      </w:r>
      <w:r w:rsidRPr="00532F44">
        <w:t xml:space="preserve">also </w:t>
      </w:r>
      <w:r w:rsidR="00454436" w:rsidRPr="00532F44">
        <w:t xml:space="preserve">undertaken on two key parameters, the </w:t>
      </w:r>
      <w:r w:rsidR="000F1109" w:rsidRPr="00532F44">
        <w:t>TPHR, and</w:t>
      </w:r>
      <w:r w:rsidR="00454436" w:rsidRPr="00532F44">
        <w:t xml:space="preserve"> the joint uncertainty in the sensitivity and specificity of TTE in detecting LA ABN.</w:t>
      </w:r>
      <w:r w:rsidR="001138A7" w:rsidRPr="00532F44">
        <w:t xml:space="preserve"> The results for the joint </w:t>
      </w:r>
      <w:r w:rsidR="001138A7" w:rsidRPr="00532F44">
        <w:lastRenderedPageBreak/>
        <w:t xml:space="preserve">uncertainty for two scenarios are presented in the main article. The </w:t>
      </w:r>
      <w:proofErr w:type="gramStart"/>
      <w:r w:rsidR="001138A7" w:rsidRPr="00532F44">
        <w:t>remainder of these analyses</w:t>
      </w:r>
      <w:r w:rsidR="001B457D" w:rsidRPr="00532F44">
        <w:t xml:space="preserve"> are</w:t>
      </w:r>
      <w:proofErr w:type="gramEnd"/>
      <w:r w:rsidR="001B457D" w:rsidRPr="00532F44">
        <w:t xml:space="preserve"> presented in the</w:t>
      </w:r>
      <w:r w:rsidR="001138A7" w:rsidRPr="00532F44">
        <w:t xml:space="preserve"> </w:t>
      </w:r>
      <w:r w:rsidR="001B457D" w:rsidRPr="00532F44">
        <w:t xml:space="preserve">online </w:t>
      </w:r>
      <w:r w:rsidR="001138A7" w:rsidRPr="00532F44">
        <w:t>appendix.</w:t>
      </w:r>
    </w:p>
    <w:p w:rsidR="0005390C" w:rsidRPr="00253316" w:rsidRDefault="00DF4463" w:rsidP="003378D6">
      <w:pPr>
        <w:pStyle w:val="Heading1"/>
        <w:numPr>
          <w:ilvl w:val="0"/>
          <w:numId w:val="0"/>
        </w:numPr>
        <w:rPr>
          <w:color w:val="FF0000"/>
        </w:rPr>
      </w:pPr>
      <w:bookmarkStart w:id="1" w:name="OLE_LINK1"/>
      <w:bookmarkStart w:id="2" w:name="OLE_LINK2"/>
      <w:bookmarkEnd w:id="0"/>
      <w:r w:rsidRPr="00253316">
        <w:rPr>
          <w:color w:val="FF0000"/>
        </w:rPr>
        <w:t>Results</w:t>
      </w:r>
    </w:p>
    <w:p w:rsidR="000804F2" w:rsidRPr="00253316" w:rsidRDefault="000804F2" w:rsidP="008D3B31">
      <w:pPr>
        <w:spacing w:line="480" w:lineRule="auto"/>
        <w:rPr>
          <w:color w:val="FF0000"/>
        </w:rPr>
      </w:pPr>
      <w:r w:rsidRPr="00253316">
        <w:rPr>
          <w:color w:val="FF0000"/>
        </w:rPr>
        <w:t xml:space="preserve">Due to the large number of scenarios run, </w:t>
      </w:r>
      <w:r w:rsidR="0089277F" w:rsidRPr="00253316">
        <w:rPr>
          <w:color w:val="FF0000"/>
        </w:rPr>
        <w:t xml:space="preserve">for brevity </w:t>
      </w:r>
      <w:r w:rsidRPr="00253316">
        <w:rPr>
          <w:color w:val="FF0000"/>
        </w:rPr>
        <w:t xml:space="preserve">only the results for </w:t>
      </w:r>
      <w:r w:rsidR="006C3CB6" w:rsidRPr="00253316">
        <w:rPr>
          <w:color w:val="FF0000"/>
        </w:rPr>
        <w:t xml:space="preserve">two </w:t>
      </w:r>
      <w:r w:rsidRPr="00253316">
        <w:rPr>
          <w:color w:val="FF0000"/>
        </w:rPr>
        <w:t xml:space="preserve">scenarios are </w:t>
      </w:r>
      <w:r w:rsidR="00FC748C" w:rsidRPr="00253316">
        <w:rPr>
          <w:color w:val="FF0000"/>
        </w:rPr>
        <w:t xml:space="preserve">discussed </w:t>
      </w:r>
      <w:r w:rsidR="0055657D" w:rsidRPr="00253316">
        <w:rPr>
          <w:color w:val="FF0000"/>
        </w:rPr>
        <w:t>in detail</w:t>
      </w:r>
      <w:r w:rsidR="007D1C2B" w:rsidRPr="00253316">
        <w:rPr>
          <w:color w:val="FF0000"/>
        </w:rPr>
        <w:t>, although the results for the other scenarios are also provided</w:t>
      </w:r>
      <w:r w:rsidR="0089277F" w:rsidRPr="00253316">
        <w:rPr>
          <w:color w:val="FF0000"/>
        </w:rPr>
        <w:t xml:space="preserve"> and the implications briefly </w:t>
      </w:r>
      <w:proofErr w:type="spellStart"/>
      <w:r w:rsidR="0089277F" w:rsidRPr="00253316">
        <w:rPr>
          <w:color w:val="FF0000"/>
        </w:rPr>
        <w:t>summarised</w:t>
      </w:r>
      <w:proofErr w:type="spellEnd"/>
      <w:r w:rsidRPr="00253316">
        <w:rPr>
          <w:color w:val="FF0000"/>
        </w:rPr>
        <w:t xml:space="preserve">. </w:t>
      </w:r>
      <w:r w:rsidR="0055657D" w:rsidRPr="00253316">
        <w:rPr>
          <w:color w:val="FF0000"/>
        </w:rPr>
        <w:t xml:space="preserve">These </w:t>
      </w:r>
      <w:r w:rsidR="006C3CB6" w:rsidRPr="00253316">
        <w:rPr>
          <w:color w:val="FF0000"/>
        </w:rPr>
        <w:t xml:space="preserve">two </w:t>
      </w:r>
      <w:r w:rsidR="0055657D" w:rsidRPr="00253316">
        <w:rPr>
          <w:color w:val="FF0000"/>
        </w:rPr>
        <w:t>scenarios are</w:t>
      </w:r>
      <w:r w:rsidR="00354D59" w:rsidRPr="00253316">
        <w:rPr>
          <w:color w:val="FF0000"/>
        </w:rPr>
        <w:t xml:space="preserve"> of fifty year old males with initial CHADS</w:t>
      </w:r>
      <w:r w:rsidR="00354D59" w:rsidRPr="00253316">
        <w:rPr>
          <w:color w:val="FF0000"/>
          <w:vertAlign w:val="subscript"/>
        </w:rPr>
        <w:t>2</w:t>
      </w:r>
      <w:r w:rsidR="00354D59" w:rsidRPr="00253316">
        <w:rPr>
          <w:color w:val="FF0000"/>
        </w:rPr>
        <w:t xml:space="preserve"> scores of zero</w:t>
      </w:r>
      <w:r w:rsidR="006C3CB6" w:rsidRPr="00253316">
        <w:rPr>
          <w:color w:val="FF0000"/>
        </w:rPr>
        <w:t xml:space="preserve">, and where the clinical decision to make is whether to prescribe either a) warfarin, or b) </w:t>
      </w:r>
      <w:proofErr w:type="spellStart"/>
      <w:r w:rsidR="006C3CB6" w:rsidRPr="00253316">
        <w:rPr>
          <w:color w:val="FF0000"/>
        </w:rPr>
        <w:t>rivaroxaban</w:t>
      </w:r>
      <w:proofErr w:type="spellEnd"/>
      <w:r w:rsidR="006C3CB6" w:rsidRPr="00253316">
        <w:rPr>
          <w:color w:val="FF0000"/>
        </w:rPr>
        <w:t>, as the OAC.</w:t>
      </w:r>
    </w:p>
    <w:p w:rsidR="00273A34" w:rsidRPr="00253316" w:rsidRDefault="00B13ECE" w:rsidP="008D3B31">
      <w:pPr>
        <w:spacing w:line="480" w:lineRule="auto"/>
        <w:rPr>
          <w:color w:val="FF0000"/>
        </w:rPr>
      </w:pPr>
      <w:r w:rsidRPr="00253316">
        <w:rPr>
          <w:color w:val="FF0000"/>
        </w:rPr>
        <w:fldChar w:fldCharType="begin"/>
      </w:r>
      <w:r w:rsidRPr="00253316">
        <w:rPr>
          <w:color w:val="FF0000"/>
        </w:rPr>
        <w:instrText xml:space="preserve"> REF _Ref321238070 \h  \* MERGEFORMAT </w:instrText>
      </w:r>
      <w:r w:rsidRPr="00253316">
        <w:rPr>
          <w:color w:val="FF0000"/>
        </w:rPr>
      </w:r>
      <w:r w:rsidRPr="00253316">
        <w:rPr>
          <w:color w:val="FF0000"/>
        </w:rPr>
        <w:fldChar w:fldCharType="separate"/>
      </w:r>
      <w:r w:rsidR="00FF7CB5" w:rsidRPr="00253316">
        <w:rPr>
          <w:color w:val="FF0000"/>
        </w:rPr>
        <w:t>Table 3</w:t>
      </w:r>
      <w:r w:rsidRPr="00253316">
        <w:rPr>
          <w:color w:val="FF0000"/>
        </w:rPr>
        <w:fldChar w:fldCharType="end"/>
      </w:r>
      <w:r w:rsidR="00605BB7" w:rsidRPr="00253316">
        <w:rPr>
          <w:color w:val="FF0000"/>
        </w:rPr>
        <w:t xml:space="preserve"> </w:t>
      </w:r>
      <w:r w:rsidR="00AD6705" w:rsidRPr="00253316">
        <w:rPr>
          <w:color w:val="FF0000"/>
        </w:rPr>
        <w:t xml:space="preserve">compares </w:t>
      </w:r>
      <w:r w:rsidR="00B325C3" w:rsidRPr="00253316">
        <w:rPr>
          <w:color w:val="FF0000"/>
        </w:rPr>
        <w:t xml:space="preserve">the simulated patient experience when TTE is added to </w:t>
      </w:r>
      <w:r w:rsidR="00AD6705" w:rsidRPr="00253316">
        <w:rPr>
          <w:color w:val="FF0000"/>
        </w:rPr>
        <w:t xml:space="preserve">the decision making process either for fifty year old males with an initial </w:t>
      </w:r>
      <w:r w:rsidR="00B325C3" w:rsidRPr="00253316">
        <w:rPr>
          <w:color w:val="FF0000"/>
        </w:rPr>
        <w:t>CHADS</w:t>
      </w:r>
      <w:r w:rsidR="00B325C3" w:rsidRPr="00253316">
        <w:rPr>
          <w:color w:val="FF0000"/>
          <w:vertAlign w:val="subscript"/>
        </w:rPr>
        <w:t>2</w:t>
      </w:r>
      <w:r w:rsidR="00B325C3" w:rsidRPr="00253316">
        <w:rPr>
          <w:color w:val="FF0000"/>
        </w:rPr>
        <w:t xml:space="preserve"> </w:t>
      </w:r>
      <w:r w:rsidR="00AD6705" w:rsidRPr="00253316">
        <w:rPr>
          <w:color w:val="FF0000"/>
        </w:rPr>
        <w:t>score of zero</w:t>
      </w:r>
      <w:r w:rsidR="00741A7A" w:rsidRPr="00253316">
        <w:rPr>
          <w:color w:val="FF0000"/>
        </w:rPr>
        <w:t xml:space="preserve">, where the clinical decision is to prescribe either a) warfarin or b) </w:t>
      </w:r>
      <w:proofErr w:type="spellStart"/>
      <w:r w:rsidR="00741A7A" w:rsidRPr="00253316">
        <w:rPr>
          <w:color w:val="FF0000"/>
        </w:rPr>
        <w:t>rivaroxaban</w:t>
      </w:r>
      <w:proofErr w:type="spellEnd"/>
      <w:r w:rsidR="00AD6705" w:rsidRPr="00253316">
        <w:rPr>
          <w:color w:val="FF0000"/>
        </w:rPr>
        <w:t xml:space="preserve">. </w:t>
      </w:r>
      <w:r w:rsidR="00273A34" w:rsidRPr="00253316">
        <w:rPr>
          <w:color w:val="FF0000"/>
        </w:rPr>
        <w:t>For both cohorts the effect of using TTE to inform the decision is to increase the number of life</w:t>
      </w:r>
      <w:r w:rsidR="00DD5C22" w:rsidRPr="00253316">
        <w:rPr>
          <w:color w:val="FF0000"/>
        </w:rPr>
        <w:t xml:space="preserve"> </w:t>
      </w:r>
      <w:r w:rsidR="00273A34" w:rsidRPr="00253316">
        <w:rPr>
          <w:color w:val="FF0000"/>
        </w:rPr>
        <w:t xml:space="preserve">years, decrease the proportion of patients dying of strokes, but increase the proportion dying of major bleeding events. </w:t>
      </w:r>
      <w:r w:rsidR="0089277F" w:rsidRPr="00253316">
        <w:rPr>
          <w:color w:val="FF0000"/>
        </w:rPr>
        <w:t xml:space="preserve">While the proportion of patients suffering strokes is decreased in the TTE arms compared with the No TTE arms, the proportion experiencing either intracranial </w:t>
      </w:r>
      <w:proofErr w:type="spellStart"/>
      <w:r w:rsidR="0089277F" w:rsidRPr="00253316">
        <w:rPr>
          <w:color w:val="FF0000"/>
        </w:rPr>
        <w:t>haemorrhages</w:t>
      </w:r>
      <w:proofErr w:type="spellEnd"/>
      <w:r w:rsidR="0089277F" w:rsidRPr="00253316">
        <w:rPr>
          <w:color w:val="FF0000"/>
        </w:rPr>
        <w:t xml:space="preserve"> (ICH) or </w:t>
      </w:r>
      <w:proofErr w:type="spellStart"/>
      <w:r w:rsidR="0089277F" w:rsidRPr="00253316">
        <w:rPr>
          <w:color w:val="FF0000"/>
        </w:rPr>
        <w:t>nonintracranial</w:t>
      </w:r>
      <w:proofErr w:type="spellEnd"/>
      <w:r w:rsidR="0089277F" w:rsidRPr="00253316">
        <w:rPr>
          <w:color w:val="FF0000"/>
        </w:rPr>
        <w:t xml:space="preserve"> </w:t>
      </w:r>
      <w:proofErr w:type="spellStart"/>
      <w:r w:rsidR="0089277F" w:rsidRPr="00253316">
        <w:rPr>
          <w:color w:val="FF0000"/>
        </w:rPr>
        <w:t>haemorrhages</w:t>
      </w:r>
      <w:proofErr w:type="spellEnd"/>
      <w:r w:rsidR="0089277F" w:rsidRPr="00253316">
        <w:rPr>
          <w:color w:val="FF0000"/>
        </w:rPr>
        <w:t xml:space="preserve"> (NICH) is increased. </w:t>
      </w:r>
    </w:p>
    <w:p w:rsidR="008D3B31" w:rsidRPr="00253316" w:rsidRDefault="000C4858" w:rsidP="008D3B31">
      <w:pPr>
        <w:spacing w:line="480" w:lineRule="auto"/>
        <w:rPr>
          <w:color w:val="FF0000"/>
        </w:rPr>
      </w:pPr>
      <w:r w:rsidRPr="00253316">
        <w:rPr>
          <w:color w:val="FF0000"/>
        </w:rPr>
        <w:t>For the cohort of fifty year old males with a CHADS</w:t>
      </w:r>
      <w:r w:rsidRPr="00253316">
        <w:rPr>
          <w:color w:val="FF0000"/>
          <w:vertAlign w:val="subscript"/>
        </w:rPr>
        <w:t>2</w:t>
      </w:r>
      <w:r w:rsidRPr="00253316">
        <w:rPr>
          <w:color w:val="FF0000"/>
        </w:rPr>
        <w:t xml:space="preserve"> score of zero, </w:t>
      </w:r>
      <w:r w:rsidR="00B13ECE" w:rsidRPr="00253316">
        <w:rPr>
          <w:color w:val="FF0000"/>
        </w:rPr>
        <w:fldChar w:fldCharType="begin"/>
      </w:r>
      <w:r w:rsidR="00B13ECE" w:rsidRPr="00253316">
        <w:rPr>
          <w:color w:val="FF0000"/>
        </w:rPr>
        <w:instrText xml:space="preserve"> REF _Ref335131627 \h  \* MERGEFORMAT </w:instrText>
      </w:r>
      <w:r w:rsidR="00B13ECE" w:rsidRPr="00253316">
        <w:rPr>
          <w:color w:val="FF0000"/>
        </w:rPr>
      </w:r>
      <w:r w:rsidR="00B13ECE" w:rsidRPr="00253316">
        <w:rPr>
          <w:color w:val="FF0000"/>
        </w:rPr>
        <w:fldChar w:fldCharType="separate"/>
      </w:r>
      <w:r w:rsidR="00FF7CB5" w:rsidRPr="00253316">
        <w:rPr>
          <w:color w:val="FF0000"/>
        </w:rPr>
        <w:t>Table 4</w:t>
      </w:r>
      <w:r w:rsidR="00B13ECE" w:rsidRPr="00253316">
        <w:rPr>
          <w:color w:val="FF0000"/>
        </w:rPr>
        <w:fldChar w:fldCharType="end"/>
      </w:r>
      <w:r w:rsidRPr="00253316">
        <w:rPr>
          <w:color w:val="FF0000"/>
        </w:rPr>
        <w:t xml:space="preserve"> presents </w:t>
      </w:r>
      <w:r w:rsidR="00354D59" w:rsidRPr="00253316">
        <w:rPr>
          <w:color w:val="FF0000"/>
        </w:rPr>
        <w:t xml:space="preserve">the following: </w:t>
      </w:r>
      <w:r w:rsidR="001B7E26" w:rsidRPr="00253316">
        <w:rPr>
          <w:color w:val="FF0000"/>
        </w:rPr>
        <w:t>a)</w:t>
      </w:r>
      <w:r w:rsidR="007973DF" w:rsidRPr="00253316">
        <w:rPr>
          <w:color w:val="FF0000"/>
        </w:rPr>
        <w:t xml:space="preserve"> </w:t>
      </w:r>
      <w:r w:rsidR="001B7E26" w:rsidRPr="00253316">
        <w:rPr>
          <w:color w:val="FF0000"/>
        </w:rPr>
        <w:t>a scatterplot of one thousand probabilistic sensitivity analysis runs; b) the cost effec</w:t>
      </w:r>
      <w:r w:rsidR="00BB340B" w:rsidRPr="00253316">
        <w:rPr>
          <w:color w:val="FF0000"/>
        </w:rPr>
        <w:t>tiveness acceptability frontier</w:t>
      </w:r>
      <w:r w:rsidR="00405A96" w:rsidRPr="00253316">
        <w:rPr>
          <w:color w:val="FF0000"/>
        </w:rPr>
        <w:t xml:space="preserve"> (CEAF)</w:t>
      </w:r>
      <w:r w:rsidR="001B7E26" w:rsidRPr="00253316">
        <w:rPr>
          <w:color w:val="FF0000"/>
        </w:rPr>
        <w:t>; c) the mean cost and mean QALY associated with each option, and the ICER</w:t>
      </w:r>
      <w:r w:rsidR="009A3B70" w:rsidRPr="00253316">
        <w:rPr>
          <w:color w:val="FF0000"/>
        </w:rPr>
        <w:t>, with jackknifed 95% confidence interval,</w:t>
      </w:r>
      <w:r w:rsidR="001B7E26" w:rsidRPr="00253316">
        <w:rPr>
          <w:color w:val="FF0000"/>
        </w:rPr>
        <w:t xml:space="preserve"> ass</w:t>
      </w:r>
      <w:r w:rsidRPr="00253316">
        <w:rPr>
          <w:color w:val="FF0000"/>
        </w:rPr>
        <w:t>ociated with these mean values.</w:t>
      </w:r>
      <w:r w:rsidR="009A3B70" w:rsidRPr="00253316">
        <w:rPr>
          <w:color w:val="FF0000"/>
        </w:rPr>
        <w:t xml:space="preserve"> </w:t>
      </w:r>
      <w:r w:rsidR="002F05E5" w:rsidRPr="00253316">
        <w:rPr>
          <w:color w:val="FF0000"/>
        </w:rPr>
        <w:fldChar w:fldCharType="begin" w:fldLock="1"/>
      </w:r>
      <w:r w:rsidR="00253316">
        <w:rPr>
          <w:color w:val="FF0000"/>
        </w:rPr>
        <w:instrText>ADDIN CSL_CITATION { "citationItems" : [ { "id" : "ITEM-1", "itemData" : { "author" : [ { "dropping-particle" : "", "family" : "Inglehart", "given" : "DL", "non-dropping-particle" : "", "parse-names" : false, "suffix" : "" } ], "container-title" : "Naval Research Logistics", "id" : "ITEM-1", "issued" : { "date-parts" : [ [ "1975" ] ] }, "page" : "553-565", "title" : "Simulating stable stochastic systems, V: Comparison of ratio estimators", "type" : "article-journal", "volume" : "22" }, "uris" : [ "http://www.mendeley.com/documents/?uuid=c8573195-cfbc-49e5-9d78-da276e37aa91" ] } ], "mendeley" : { "previouslyFormattedCitation" : "[14]" }, "properties" : { "noteIndex" : 0 }, "schema" : "https://github.com/citation-style-language/schema/raw/master/csl-citation.json" }</w:instrText>
      </w:r>
      <w:r w:rsidR="002F05E5" w:rsidRPr="00253316">
        <w:rPr>
          <w:color w:val="FF0000"/>
        </w:rPr>
        <w:fldChar w:fldCharType="separate"/>
      </w:r>
      <w:r w:rsidR="00354D59" w:rsidRPr="00253316">
        <w:rPr>
          <w:noProof/>
          <w:color w:val="FF0000"/>
        </w:rPr>
        <w:t>[14]</w:t>
      </w:r>
      <w:r w:rsidR="002F05E5" w:rsidRPr="00253316">
        <w:rPr>
          <w:color w:val="FF0000"/>
        </w:rPr>
        <w:fldChar w:fldCharType="end"/>
      </w:r>
      <w:r w:rsidRPr="00253316">
        <w:rPr>
          <w:color w:val="FF0000"/>
        </w:rPr>
        <w:t xml:space="preserve"> </w:t>
      </w:r>
      <w:r w:rsidR="00B13ECE" w:rsidRPr="00253316">
        <w:rPr>
          <w:color w:val="FF0000"/>
        </w:rPr>
        <w:fldChar w:fldCharType="begin"/>
      </w:r>
      <w:r w:rsidR="00B13ECE" w:rsidRPr="00253316">
        <w:rPr>
          <w:color w:val="FF0000"/>
        </w:rPr>
        <w:instrText xml:space="preserve"> REF _Ref335131630 \h  \* MERGEFORMAT </w:instrText>
      </w:r>
      <w:r w:rsidR="00B13ECE" w:rsidRPr="00253316">
        <w:rPr>
          <w:color w:val="FF0000"/>
        </w:rPr>
      </w:r>
      <w:r w:rsidR="00B13ECE" w:rsidRPr="00253316">
        <w:rPr>
          <w:color w:val="FF0000"/>
        </w:rPr>
        <w:fldChar w:fldCharType="separate"/>
      </w:r>
    </w:p>
    <w:p w:rsidR="00920A0B" w:rsidRPr="00253316" w:rsidRDefault="008D3B31" w:rsidP="008D3B31">
      <w:pPr>
        <w:spacing w:line="480" w:lineRule="auto"/>
        <w:rPr>
          <w:color w:val="FF0000"/>
        </w:rPr>
      </w:pPr>
      <w:r w:rsidRPr="00253316">
        <w:rPr>
          <w:color w:val="FF0000"/>
        </w:rPr>
        <w:t xml:space="preserve">Table </w:t>
      </w:r>
      <w:r w:rsidRPr="00253316">
        <w:rPr>
          <w:noProof/>
          <w:color w:val="FF0000"/>
        </w:rPr>
        <w:t>5</w:t>
      </w:r>
      <w:r w:rsidR="00B13ECE" w:rsidRPr="00253316">
        <w:rPr>
          <w:color w:val="FF0000"/>
        </w:rPr>
        <w:fldChar w:fldCharType="end"/>
      </w:r>
      <w:r w:rsidR="001B7E26" w:rsidRPr="00253316">
        <w:rPr>
          <w:color w:val="FF0000"/>
        </w:rPr>
        <w:t xml:space="preserve"> presents the equivalent information for the cohort with an initial CHADS</w:t>
      </w:r>
      <w:r w:rsidR="001B7E26" w:rsidRPr="00253316">
        <w:rPr>
          <w:color w:val="FF0000"/>
          <w:vertAlign w:val="subscript"/>
        </w:rPr>
        <w:t>2</w:t>
      </w:r>
      <w:r w:rsidR="001B7E26" w:rsidRPr="00253316">
        <w:rPr>
          <w:color w:val="FF0000"/>
        </w:rPr>
        <w:t xml:space="preserve"> score of one point.</w:t>
      </w:r>
      <w:r w:rsidR="00920A0B" w:rsidRPr="00253316">
        <w:rPr>
          <w:color w:val="FF0000"/>
        </w:rPr>
        <w:t xml:space="preserve"> </w:t>
      </w:r>
    </w:p>
    <w:p w:rsidR="00920A0B" w:rsidRPr="00253316" w:rsidRDefault="00920A0B" w:rsidP="008D3B31">
      <w:pPr>
        <w:spacing w:line="480" w:lineRule="auto"/>
        <w:rPr>
          <w:color w:val="FF0000"/>
        </w:rPr>
      </w:pPr>
      <w:r w:rsidRPr="00253316">
        <w:rPr>
          <w:color w:val="FF0000"/>
        </w:rPr>
        <w:t>For the cohort with an initial CHADS</w:t>
      </w:r>
      <w:r w:rsidRPr="00253316">
        <w:rPr>
          <w:color w:val="FF0000"/>
          <w:vertAlign w:val="subscript"/>
        </w:rPr>
        <w:t>2</w:t>
      </w:r>
      <w:r w:rsidRPr="00253316">
        <w:rPr>
          <w:color w:val="FF0000"/>
        </w:rPr>
        <w:t xml:space="preserve"> score of zero points (</w:t>
      </w:r>
      <w:r w:rsidR="00B13ECE" w:rsidRPr="00253316">
        <w:rPr>
          <w:color w:val="FF0000"/>
        </w:rPr>
        <w:fldChar w:fldCharType="begin"/>
      </w:r>
      <w:r w:rsidR="00B13ECE" w:rsidRPr="00253316">
        <w:rPr>
          <w:color w:val="FF0000"/>
        </w:rPr>
        <w:instrText xml:space="preserve"> REF _Ref335131627 \h  \* MERGEFORMAT </w:instrText>
      </w:r>
      <w:r w:rsidR="00B13ECE" w:rsidRPr="00253316">
        <w:rPr>
          <w:color w:val="FF0000"/>
        </w:rPr>
      </w:r>
      <w:r w:rsidR="00B13ECE" w:rsidRPr="00253316">
        <w:rPr>
          <w:color w:val="FF0000"/>
        </w:rPr>
        <w:fldChar w:fldCharType="separate"/>
      </w:r>
      <w:r w:rsidR="008D3B31" w:rsidRPr="00253316">
        <w:rPr>
          <w:color w:val="FF0000"/>
        </w:rPr>
        <w:t>Table 4</w:t>
      </w:r>
      <w:r w:rsidR="00B13ECE" w:rsidRPr="00253316">
        <w:rPr>
          <w:color w:val="FF0000"/>
        </w:rPr>
        <w:fldChar w:fldCharType="end"/>
      </w:r>
      <w:r w:rsidRPr="00253316">
        <w:rPr>
          <w:color w:val="FF0000"/>
        </w:rPr>
        <w:t xml:space="preserve">), the scatterplot </w:t>
      </w:r>
      <w:r w:rsidR="00354D59" w:rsidRPr="00253316">
        <w:rPr>
          <w:color w:val="FF0000"/>
        </w:rPr>
        <w:t xml:space="preserve">shows that </w:t>
      </w:r>
      <w:r w:rsidRPr="00253316">
        <w:rPr>
          <w:color w:val="FF0000"/>
        </w:rPr>
        <w:t xml:space="preserve">(a) that the majority of the estimates are in the </w:t>
      </w:r>
      <w:r w:rsidR="001138A7" w:rsidRPr="00253316">
        <w:rPr>
          <w:color w:val="FF0000"/>
        </w:rPr>
        <w:t>n</w:t>
      </w:r>
      <w:r w:rsidRPr="00253316">
        <w:rPr>
          <w:color w:val="FF0000"/>
        </w:rPr>
        <w:t xml:space="preserve">orth </w:t>
      </w:r>
      <w:r w:rsidR="001138A7" w:rsidRPr="00253316">
        <w:rPr>
          <w:color w:val="FF0000"/>
        </w:rPr>
        <w:t>w</w:t>
      </w:r>
      <w:r w:rsidRPr="00253316">
        <w:rPr>
          <w:color w:val="FF0000"/>
        </w:rPr>
        <w:t xml:space="preserve">est quadrant, indicating that the TTE strategy is dominated by </w:t>
      </w:r>
      <w:r w:rsidR="00BB340B" w:rsidRPr="00253316">
        <w:rPr>
          <w:color w:val="FF0000"/>
        </w:rPr>
        <w:t xml:space="preserve">(is both more expensive and less effective than) </w:t>
      </w:r>
      <w:r w:rsidRPr="00253316">
        <w:rPr>
          <w:color w:val="FF0000"/>
        </w:rPr>
        <w:t>the No TTE strategy</w:t>
      </w:r>
      <w:r w:rsidR="00BB340B" w:rsidRPr="00253316">
        <w:rPr>
          <w:color w:val="FF0000"/>
        </w:rPr>
        <w:t xml:space="preserve"> and</w:t>
      </w:r>
      <w:r w:rsidRPr="00253316">
        <w:rPr>
          <w:color w:val="FF0000"/>
        </w:rPr>
        <w:t xml:space="preserve"> </w:t>
      </w:r>
      <w:r w:rsidR="00BB340B" w:rsidRPr="00253316">
        <w:rPr>
          <w:color w:val="FF0000"/>
        </w:rPr>
        <w:t>t</w:t>
      </w:r>
      <w:r w:rsidRPr="00253316">
        <w:rPr>
          <w:color w:val="FF0000"/>
        </w:rPr>
        <w:t xml:space="preserve">he mean </w:t>
      </w:r>
      <w:r w:rsidRPr="00253316">
        <w:rPr>
          <w:color w:val="FF0000"/>
        </w:rPr>
        <w:lastRenderedPageBreak/>
        <w:t xml:space="preserve">ICER is negative. </w:t>
      </w:r>
      <w:r w:rsidR="008D30D8" w:rsidRPr="00253316">
        <w:rPr>
          <w:color w:val="FF0000"/>
        </w:rPr>
        <w:t xml:space="preserve">These results suggest that TTE can harm </w:t>
      </w:r>
      <w:r w:rsidR="00CA434B" w:rsidRPr="00253316">
        <w:rPr>
          <w:color w:val="FF0000"/>
        </w:rPr>
        <w:t>patients</w:t>
      </w:r>
      <w:r w:rsidR="008D30D8" w:rsidRPr="00253316">
        <w:rPr>
          <w:color w:val="FF0000"/>
        </w:rPr>
        <w:t xml:space="preserve"> </w:t>
      </w:r>
      <w:r w:rsidR="00405A96" w:rsidRPr="00253316">
        <w:rPr>
          <w:color w:val="FF0000"/>
        </w:rPr>
        <w:t xml:space="preserve">falsely diagnosed with LA ABN </w:t>
      </w:r>
      <w:r w:rsidR="008D30D8" w:rsidRPr="00253316">
        <w:rPr>
          <w:color w:val="FF0000"/>
        </w:rPr>
        <w:t>due to higher bleed risks</w:t>
      </w:r>
      <w:r w:rsidR="00405A96" w:rsidRPr="00253316">
        <w:rPr>
          <w:color w:val="FF0000"/>
        </w:rPr>
        <w:t xml:space="preserve"> with little reduction in absolute stroke risk</w:t>
      </w:r>
      <w:r w:rsidR="008D30D8" w:rsidRPr="00253316">
        <w:rPr>
          <w:color w:val="FF0000"/>
        </w:rPr>
        <w:t xml:space="preserve">. </w:t>
      </w:r>
      <w:r w:rsidR="00444C4D" w:rsidRPr="00253316">
        <w:rPr>
          <w:color w:val="FF0000"/>
        </w:rPr>
        <w:t>T</w:t>
      </w:r>
      <w:r w:rsidRPr="00253316">
        <w:rPr>
          <w:color w:val="FF0000"/>
        </w:rPr>
        <w:t xml:space="preserve">he CEAF indicates that the no TTE strategy is </w:t>
      </w:r>
      <w:r w:rsidR="00444C4D" w:rsidRPr="00253316">
        <w:rPr>
          <w:color w:val="FF0000"/>
        </w:rPr>
        <w:t xml:space="preserve">the adoption strategy </w:t>
      </w:r>
      <w:r w:rsidRPr="00253316">
        <w:rPr>
          <w:color w:val="FF0000"/>
        </w:rPr>
        <w:t xml:space="preserve">at all </w:t>
      </w:r>
      <w:r w:rsidR="00E60AF4" w:rsidRPr="00253316">
        <w:rPr>
          <w:color w:val="FF0000"/>
        </w:rPr>
        <w:t>MAICER levels</w:t>
      </w:r>
      <w:r w:rsidRPr="00253316">
        <w:rPr>
          <w:color w:val="FF0000"/>
        </w:rPr>
        <w:t xml:space="preserve"> between £0 and £50,000/QALY. </w:t>
      </w:r>
      <w:r w:rsidR="000C4858" w:rsidRPr="00253316">
        <w:rPr>
          <w:color w:val="FF0000"/>
        </w:rPr>
        <w:t>The estimated probability of TTE being cost effective is only 7.8% at a MAICER of £20,000/QALY, and 9.6% at a MAICER of £30,000/QALY.</w:t>
      </w:r>
    </w:p>
    <w:p w:rsidR="00E2513B" w:rsidRPr="00253316" w:rsidRDefault="008D30D8" w:rsidP="003378D6">
      <w:pPr>
        <w:pStyle w:val="Heading2"/>
        <w:numPr>
          <w:ilvl w:val="0"/>
          <w:numId w:val="0"/>
        </w:numPr>
        <w:rPr>
          <w:rFonts w:eastAsia="Times New Roman"/>
          <w:color w:val="FF0000"/>
          <w:lang w:eastAsia="en-GB"/>
        </w:rPr>
      </w:pPr>
      <w:r w:rsidRPr="00253316">
        <w:rPr>
          <w:rFonts w:eastAsia="Times New Roman"/>
          <w:color w:val="FF0000"/>
          <w:lang w:eastAsia="en-GB"/>
        </w:rPr>
        <w:t>Deterministic</w:t>
      </w:r>
      <w:r w:rsidR="000406AE" w:rsidRPr="00253316">
        <w:rPr>
          <w:rFonts w:eastAsia="Times New Roman"/>
          <w:color w:val="FF0000"/>
          <w:lang w:eastAsia="en-GB"/>
        </w:rPr>
        <w:t xml:space="preserve"> s</w:t>
      </w:r>
      <w:r w:rsidR="001138A7" w:rsidRPr="00253316">
        <w:rPr>
          <w:rFonts w:eastAsia="Times New Roman"/>
          <w:color w:val="FF0000"/>
          <w:lang w:eastAsia="en-GB"/>
        </w:rPr>
        <w:t>ensitivity analyses</w:t>
      </w:r>
    </w:p>
    <w:p w:rsidR="003A6116" w:rsidRPr="00253316" w:rsidRDefault="00B13ECE" w:rsidP="008D3B31">
      <w:pPr>
        <w:spacing w:line="480" w:lineRule="auto"/>
        <w:rPr>
          <w:color w:val="FF0000"/>
        </w:rPr>
      </w:pPr>
      <w:r w:rsidRPr="00253316">
        <w:rPr>
          <w:color w:val="FF0000"/>
        </w:rPr>
        <w:fldChar w:fldCharType="begin"/>
      </w:r>
      <w:r w:rsidRPr="00253316">
        <w:rPr>
          <w:color w:val="FF0000"/>
        </w:rPr>
        <w:instrText xml:space="preserve"> REF _Ref335141468 \h  \* MERGEFORMAT </w:instrText>
      </w:r>
      <w:r w:rsidRPr="00253316">
        <w:rPr>
          <w:color w:val="FF0000"/>
        </w:rPr>
      </w:r>
      <w:r w:rsidRPr="00253316">
        <w:rPr>
          <w:color w:val="FF0000"/>
        </w:rPr>
        <w:fldChar w:fldCharType="separate"/>
      </w:r>
      <w:r w:rsidR="008D3B31" w:rsidRPr="00253316">
        <w:rPr>
          <w:color w:val="FF0000"/>
        </w:rPr>
        <w:t>Table 6</w:t>
      </w:r>
      <w:r w:rsidRPr="00253316">
        <w:rPr>
          <w:color w:val="FF0000"/>
        </w:rPr>
        <w:fldChar w:fldCharType="end"/>
      </w:r>
      <w:r w:rsidR="003A6116" w:rsidRPr="00253316">
        <w:rPr>
          <w:color w:val="FF0000"/>
        </w:rPr>
        <w:t xml:space="preserve"> shows how the mean ICER estimated depend</w:t>
      </w:r>
      <w:r w:rsidR="00405A96" w:rsidRPr="00253316">
        <w:rPr>
          <w:color w:val="FF0000"/>
        </w:rPr>
        <w:t>s</w:t>
      </w:r>
      <w:r w:rsidR="003A6116" w:rsidRPr="00253316">
        <w:rPr>
          <w:color w:val="FF0000"/>
        </w:rPr>
        <w:t xml:space="preserve"> on sensitivity and specificity of the technology, assuming all </w:t>
      </w:r>
      <w:r w:rsidR="00CA434B" w:rsidRPr="00253316">
        <w:rPr>
          <w:color w:val="FF0000"/>
        </w:rPr>
        <w:t>other</w:t>
      </w:r>
      <w:r w:rsidR="003A6116" w:rsidRPr="00253316">
        <w:rPr>
          <w:color w:val="FF0000"/>
        </w:rPr>
        <w:t xml:space="preserve"> values are held at their mean levels. These results indicate that the </w:t>
      </w:r>
      <w:r w:rsidR="00BB340B" w:rsidRPr="00253316">
        <w:rPr>
          <w:color w:val="FF0000"/>
        </w:rPr>
        <w:t xml:space="preserve">most </w:t>
      </w:r>
      <w:proofErr w:type="spellStart"/>
      <w:r w:rsidR="00BB340B" w:rsidRPr="00253316">
        <w:rPr>
          <w:color w:val="FF0000"/>
        </w:rPr>
        <w:t>favourable</w:t>
      </w:r>
      <w:proofErr w:type="spellEnd"/>
      <w:r w:rsidR="00BB340B" w:rsidRPr="00253316">
        <w:rPr>
          <w:color w:val="FF0000"/>
        </w:rPr>
        <w:t xml:space="preserve"> </w:t>
      </w:r>
      <w:r w:rsidR="002148A0" w:rsidRPr="00253316">
        <w:rPr>
          <w:color w:val="FF0000"/>
        </w:rPr>
        <w:t xml:space="preserve">ICER </w:t>
      </w:r>
      <w:r w:rsidR="003A6116" w:rsidRPr="00253316">
        <w:rPr>
          <w:color w:val="FF0000"/>
        </w:rPr>
        <w:t>of TTE in this context could be around £3,600/QALY in the cohort with a CHADS</w:t>
      </w:r>
      <w:r w:rsidR="003A6116" w:rsidRPr="00253316">
        <w:rPr>
          <w:color w:val="FF0000"/>
          <w:vertAlign w:val="subscript"/>
        </w:rPr>
        <w:t>2</w:t>
      </w:r>
      <w:r w:rsidR="003A6116" w:rsidRPr="00253316">
        <w:rPr>
          <w:color w:val="FF0000"/>
        </w:rPr>
        <w:t xml:space="preserve"> score of zero (a), and £3,300/QALY in the cohort with an initial CHADS2 score of one (b). This is seen by considering the bottom right cells, where both sensitivity and specifici</w:t>
      </w:r>
      <w:r w:rsidR="00B36EBC" w:rsidRPr="00253316">
        <w:rPr>
          <w:color w:val="FF0000"/>
        </w:rPr>
        <w:t xml:space="preserve">ty are 1, i.e. a perfect test. </w:t>
      </w:r>
      <w:r w:rsidR="003A6116" w:rsidRPr="00253316">
        <w:rPr>
          <w:color w:val="FF0000"/>
        </w:rPr>
        <w:t>In the CHADS</w:t>
      </w:r>
      <w:r w:rsidR="003A6116" w:rsidRPr="00253316">
        <w:rPr>
          <w:color w:val="FF0000"/>
          <w:vertAlign w:val="subscript"/>
        </w:rPr>
        <w:t>2</w:t>
      </w:r>
      <w:r w:rsidR="0009234A" w:rsidRPr="00253316">
        <w:rPr>
          <w:color w:val="FF0000"/>
        </w:rPr>
        <w:t xml:space="preserve"> of one point cohort, </w:t>
      </w:r>
      <w:r w:rsidR="003A6116" w:rsidRPr="00253316">
        <w:rPr>
          <w:color w:val="FF0000"/>
        </w:rPr>
        <w:t xml:space="preserve">TTE remains a cost-effective strategy compared with No TTE, almost irrespective of the sensitivity and specificity of the test. </w:t>
      </w:r>
      <w:r w:rsidR="006D0808" w:rsidRPr="00253316">
        <w:rPr>
          <w:color w:val="FF0000"/>
        </w:rPr>
        <w:t xml:space="preserve">For </w:t>
      </w:r>
      <w:r w:rsidR="003A6116" w:rsidRPr="00253316">
        <w:rPr>
          <w:color w:val="FF0000"/>
        </w:rPr>
        <w:t xml:space="preserve">the </w:t>
      </w:r>
      <w:r w:rsidR="00E5368F" w:rsidRPr="00253316">
        <w:rPr>
          <w:color w:val="FF0000"/>
        </w:rPr>
        <w:t>cohort</w:t>
      </w:r>
      <w:r w:rsidR="003A6116" w:rsidRPr="00253316">
        <w:rPr>
          <w:color w:val="FF0000"/>
        </w:rPr>
        <w:t xml:space="preserve"> with a CHADS</w:t>
      </w:r>
      <w:r w:rsidR="003A6116" w:rsidRPr="00253316">
        <w:rPr>
          <w:color w:val="FF0000"/>
          <w:vertAlign w:val="subscript"/>
        </w:rPr>
        <w:t>2</w:t>
      </w:r>
      <w:r w:rsidR="003A6116" w:rsidRPr="00253316">
        <w:rPr>
          <w:color w:val="FF0000"/>
        </w:rPr>
        <w:t xml:space="preserve"> score of zero, TTE only appears cost effective</w:t>
      </w:r>
      <w:r w:rsidR="00BB340B" w:rsidRPr="00253316">
        <w:rPr>
          <w:color w:val="FF0000"/>
        </w:rPr>
        <w:t>,</w:t>
      </w:r>
      <w:r w:rsidR="00620AA2" w:rsidRPr="00253316">
        <w:rPr>
          <w:color w:val="FF0000"/>
        </w:rPr>
        <w:t xml:space="preserve"> </w:t>
      </w:r>
      <w:r w:rsidR="00BB340B" w:rsidRPr="00253316">
        <w:rPr>
          <w:color w:val="FF0000"/>
        </w:rPr>
        <w:t>assuming</w:t>
      </w:r>
      <w:r w:rsidR="00620AA2" w:rsidRPr="00253316">
        <w:rPr>
          <w:color w:val="FF0000"/>
        </w:rPr>
        <w:t xml:space="preserve"> a</w:t>
      </w:r>
      <w:r w:rsidR="00BB340B" w:rsidRPr="00253316">
        <w:rPr>
          <w:color w:val="FF0000"/>
        </w:rPr>
        <w:t xml:space="preserve"> </w:t>
      </w:r>
      <w:r w:rsidR="00620AA2" w:rsidRPr="00253316">
        <w:rPr>
          <w:color w:val="FF0000"/>
        </w:rPr>
        <w:t>MAICER of £20,000/</w:t>
      </w:r>
      <w:r w:rsidR="00BB340B" w:rsidRPr="00253316">
        <w:rPr>
          <w:color w:val="FF0000"/>
        </w:rPr>
        <w:t>QALY</w:t>
      </w:r>
      <w:r w:rsidR="00620AA2" w:rsidRPr="00253316">
        <w:rPr>
          <w:color w:val="FF0000"/>
        </w:rPr>
        <w:t>,</w:t>
      </w:r>
      <w:r w:rsidR="003A6116" w:rsidRPr="00253316">
        <w:rPr>
          <w:color w:val="FF0000"/>
        </w:rPr>
        <w:t xml:space="preserve"> where both sensitivity and specificity are very high</w:t>
      </w:r>
      <w:r w:rsidR="00C32E52" w:rsidRPr="00253316">
        <w:rPr>
          <w:color w:val="FF0000"/>
        </w:rPr>
        <w:t>, near the bottom right hand corner of the table.</w:t>
      </w:r>
    </w:p>
    <w:p w:rsidR="003A6116" w:rsidRPr="00253316" w:rsidRDefault="003A6116" w:rsidP="003378D6">
      <w:pPr>
        <w:pStyle w:val="Heading2"/>
        <w:numPr>
          <w:ilvl w:val="0"/>
          <w:numId w:val="0"/>
        </w:numPr>
        <w:rPr>
          <w:rFonts w:eastAsia="Times New Roman"/>
          <w:color w:val="FF0000"/>
          <w:lang w:eastAsia="en-GB"/>
        </w:rPr>
      </w:pPr>
      <w:r w:rsidRPr="00253316">
        <w:rPr>
          <w:rFonts w:eastAsia="Times New Roman"/>
          <w:color w:val="FF0000"/>
          <w:lang w:eastAsia="en-GB"/>
        </w:rPr>
        <w:t>Overview of results for other scenarios</w:t>
      </w:r>
    </w:p>
    <w:p w:rsidR="00536C35" w:rsidRPr="00253316" w:rsidRDefault="003A6116" w:rsidP="008D3B31">
      <w:pPr>
        <w:spacing w:line="480" w:lineRule="auto"/>
        <w:rPr>
          <w:color w:val="FF0000"/>
        </w:rPr>
      </w:pPr>
      <w:r w:rsidRPr="00253316">
        <w:rPr>
          <w:color w:val="FF0000"/>
        </w:rPr>
        <w:t xml:space="preserve">The results for all 14 scenarios considered are presented in the </w:t>
      </w:r>
      <w:r w:rsidR="008D30D8" w:rsidRPr="00253316">
        <w:rPr>
          <w:color w:val="FF0000"/>
        </w:rPr>
        <w:t>online</w:t>
      </w:r>
      <w:r w:rsidRPr="00253316">
        <w:rPr>
          <w:color w:val="FF0000"/>
        </w:rPr>
        <w:t xml:space="preserve"> appendix. </w:t>
      </w:r>
      <w:r w:rsidR="00536C35" w:rsidRPr="00253316">
        <w:rPr>
          <w:color w:val="FF0000"/>
        </w:rPr>
        <w:t xml:space="preserve">A brief summary, indicating whether the results suggest TTE appears the optimal strategy at MAICERs of £20,000 /QALY or £30,000/QALY, is shown in </w:t>
      </w:r>
      <w:r w:rsidR="00B13ECE" w:rsidRPr="00253316">
        <w:rPr>
          <w:color w:val="FF0000"/>
        </w:rPr>
        <w:fldChar w:fldCharType="begin"/>
      </w:r>
      <w:r w:rsidR="00B13ECE" w:rsidRPr="00253316">
        <w:rPr>
          <w:color w:val="FF0000"/>
        </w:rPr>
        <w:instrText xml:space="preserve"> REF _Ref335142114 \h  \* MERGEFORMAT </w:instrText>
      </w:r>
      <w:r w:rsidR="00B13ECE" w:rsidRPr="00253316">
        <w:rPr>
          <w:color w:val="FF0000"/>
        </w:rPr>
      </w:r>
      <w:r w:rsidR="00B13ECE" w:rsidRPr="00253316">
        <w:rPr>
          <w:color w:val="FF0000"/>
        </w:rPr>
        <w:fldChar w:fldCharType="separate"/>
      </w:r>
      <w:r w:rsidR="008D3B31" w:rsidRPr="00253316">
        <w:rPr>
          <w:color w:val="FF0000"/>
        </w:rPr>
        <w:t>Table 7</w:t>
      </w:r>
      <w:r w:rsidR="00B13ECE" w:rsidRPr="00253316">
        <w:rPr>
          <w:color w:val="FF0000"/>
        </w:rPr>
        <w:fldChar w:fldCharType="end"/>
      </w:r>
      <w:r w:rsidR="00536C35" w:rsidRPr="00253316">
        <w:rPr>
          <w:color w:val="FF0000"/>
        </w:rPr>
        <w:t>. These results suggest that using TTE to make the decision whether to prescribe warfarin may be cost-effective in all patients with a CHADS</w:t>
      </w:r>
      <w:r w:rsidR="00536C35" w:rsidRPr="00253316">
        <w:rPr>
          <w:color w:val="FF0000"/>
          <w:vertAlign w:val="subscript"/>
        </w:rPr>
        <w:t>2</w:t>
      </w:r>
      <w:r w:rsidR="00536C35" w:rsidRPr="00253316">
        <w:rPr>
          <w:color w:val="FF0000"/>
        </w:rPr>
        <w:t xml:space="preserve"> score of one point. It also suggests that it may be cost effective to use TTE to help make the decision whether to prescribe </w:t>
      </w:r>
      <w:proofErr w:type="spellStart"/>
      <w:r w:rsidR="00536C35" w:rsidRPr="00253316">
        <w:rPr>
          <w:color w:val="FF0000"/>
        </w:rPr>
        <w:t>dabigatran</w:t>
      </w:r>
      <w:proofErr w:type="spellEnd"/>
      <w:r w:rsidR="00536C35" w:rsidRPr="00253316">
        <w:rPr>
          <w:color w:val="FF0000"/>
        </w:rPr>
        <w:t xml:space="preserve"> in older patients (aged 65 years)</w:t>
      </w:r>
      <w:r w:rsidR="00D62831" w:rsidRPr="00253316">
        <w:rPr>
          <w:color w:val="FF0000"/>
        </w:rPr>
        <w:t xml:space="preserve">, and it may be borderline cost effective, if assuming a MAICER of £30,000/QALY, </w:t>
      </w:r>
      <w:r w:rsidR="00536C35" w:rsidRPr="00253316">
        <w:rPr>
          <w:color w:val="FF0000"/>
        </w:rPr>
        <w:t xml:space="preserve">to use TTE to make the decision whether to prescribe </w:t>
      </w:r>
      <w:proofErr w:type="spellStart"/>
      <w:r w:rsidR="00536C35" w:rsidRPr="00253316">
        <w:rPr>
          <w:color w:val="FF0000"/>
        </w:rPr>
        <w:t>rivaroxaban</w:t>
      </w:r>
      <w:proofErr w:type="spellEnd"/>
      <w:r w:rsidR="00536C35" w:rsidRPr="00253316">
        <w:rPr>
          <w:color w:val="FF0000"/>
        </w:rPr>
        <w:t xml:space="preserve"> in older patients (age 65 years). Gender has a slight effect on these results, but the choice of OAC, initial CHADS</w:t>
      </w:r>
      <w:r w:rsidR="00536C35" w:rsidRPr="00253316">
        <w:rPr>
          <w:color w:val="FF0000"/>
          <w:vertAlign w:val="subscript"/>
        </w:rPr>
        <w:t>2</w:t>
      </w:r>
      <w:r w:rsidR="00536C35" w:rsidRPr="00253316">
        <w:rPr>
          <w:color w:val="FF0000"/>
        </w:rPr>
        <w:t xml:space="preserve"> risk score, and patient age appear to have much greater </w:t>
      </w:r>
      <w:r w:rsidR="00933C10" w:rsidRPr="00253316">
        <w:rPr>
          <w:color w:val="FF0000"/>
        </w:rPr>
        <w:t>influence.</w:t>
      </w:r>
    </w:p>
    <w:bookmarkEnd w:id="1"/>
    <w:bookmarkEnd w:id="2"/>
    <w:p w:rsidR="0005390C" w:rsidRPr="00532F44" w:rsidRDefault="00F15320" w:rsidP="003378D6">
      <w:pPr>
        <w:pStyle w:val="Heading1"/>
        <w:numPr>
          <w:ilvl w:val="0"/>
          <w:numId w:val="0"/>
        </w:numPr>
      </w:pPr>
      <w:r w:rsidRPr="00532F44">
        <w:lastRenderedPageBreak/>
        <w:t>Discussion</w:t>
      </w:r>
    </w:p>
    <w:p w:rsidR="00D20CA0" w:rsidRPr="00532F44" w:rsidRDefault="00D20CA0" w:rsidP="008D3B31">
      <w:pPr>
        <w:spacing w:line="480" w:lineRule="auto"/>
      </w:pPr>
      <w:r w:rsidRPr="00532F44">
        <w:t>Prior to producing this model, a systematic literature review was conducted to identify,</w:t>
      </w:r>
      <w:r w:rsidRPr="008D3B31">
        <w:t xml:space="preserve"> </w:t>
      </w:r>
      <w:proofErr w:type="spellStart"/>
      <w:r w:rsidRPr="008D3B31">
        <w:t>summarise</w:t>
      </w:r>
      <w:proofErr w:type="spellEnd"/>
      <w:r w:rsidRPr="00532F44">
        <w:t xml:space="preserve"> and appraise existing economic studies for evaluating the cost-effectiveness of TTE in patients with AF. This review identified no economic evaluations of</w:t>
      </w:r>
      <w:r w:rsidR="00620AA2">
        <w:t xml:space="preserve"> the use </w:t>
      </w:r>
      <w:proofErr w:type="gramStart"/>
      <w:r w:rsidR="00620AA2">
        <w:t xml:space="preserve">of </w:t>
      </w:r>
      <w:r w:rsidRPr="00532F44">
        <w:t xml:space="preserve"> TTE</w:t>
      </w:r>
      <w:proofErr w:type="gramEnd"/>
      <w:r w:rsidRPr="00532F44">
        <w:t xml:space="preserve"> in AF patients, so it is believed that this is the first.  </w:t>
      </w:r>
    </w:p>
    <w:p w:rsidR="00E36870" w:rsidRPr="00532F44" w:rsidRDefault="00DF7E46" w:rsidP="008D3B31">
      <w:pPr>
        <w:spacing w:line="480" w:lineRule="auto"/>
      </w:pPr>
      <w:r w:rsidRPr="00532F44">
        <w:t xml:space="preserve">The </w:t>
      </w:r>
      <w:r w:rsidR="00407CD7" w:rsidRPr="00532F44">
        <w:t>model has a range of limitations</w:t>
      </w:r>
      <w:r w:rsidR="00D20CA0" w:rsidRPr="00532F44">
        <w:t xml:space="preserve"> and a number of a</w:t>
      </w:r>
      <w:r w:rsidR="00E36870" w:rsidRPr="00532F44">
        <w:t>ssumptions have</w:t>
      </w:r>
      <w:r w:rsidR="00A11AEA" w:rsidRPr="00532F44">
        <w:t xml:space="preserve"> been made within the </w:t>
      </w:r>
      <w:proofErr w:type="spellStart"/>
      <w:r w:rsidR="00A11AEA" w:rsidRPr="00532F44">
        <w:t>mode</w:t>
      </w:r>
      <w:r w:rsidR="00620AA2">
        <w:t>l</w:t>
      </w:r>
      <w:r w:rsidR="00A11AEA" w:rsidRPr="00532F44">
        <w:t>l</w:t>
      </w:r>
      <w:r w:rsidR="00407CD7" w:rsidRPr="00532F44">
        <w:t>ing</w:t>
      </w:r>
      <w:proofErr w:type="spellEnd"/>
      <w:r w:rsidR="00407CD7" w:rsidRPr="00532F44">
        <w:t>. For example,</w:t>
      </w:r>
      <w:r w:rsidR="00654FFC" w:rsidRPr="00532F44">
        <w:t xml:space="preserve"> only the CHADS</w:t>
      </w:r>
      <w:r w:rsidR="00654FFC" w:rsidRPr="00B36EBC">
        <w:rPr>
          <w:vertAlign w:val="subscript"/>
        </w:rPr>
        <w:t>2</w:t>
      </w:r>
      <w:r w:rsidR="00654FFC" w:rsidRPr="00532F44">
        <w:t xml:space="preserve"> clinical risk prediction tool was used as the baseline strategy. An alternative to this tool is CHA</w:t>
      </w:r>
      <w:r w:rsidR="00654FFC" w:rsidRPr="00B36EBC">
        <w:rPr>
          <w:vertAlign w:val="subscript"/>
        </w:rPr>
        <w:t>2</w:t>
      </w:r>
      <w:r w:rsidR="00654FFC" w:rsidRPr="00532F44">
        <w:t>DS</w:t>
      </w:r>
      <w:r w:rsidR="00654FFC" w:rsidRPr="00B36EBC">
        <w:rPr>
          <w:vertAlign w:val="subscript"/>
        </w:rPr>
        <w:t>2</w:t>
      </w:r>
      <w:r w:rsidR="00654FFC" w:rsidRPr="00532F44">
        <w:t>-VASc, which is considered to be better at distinguishing low risk from very low risk patients</w:t>
      </w:r>
      <w:r w:rsidR="00253316">
        <w:t>, and is the only such tool recommended in the 2012 focused update of the ESC guidelines.</w:t>
      </w:r>
      <w:r w:rsidR="00253316" w:rsidRPr="00532F44">
        <w:t xml:space="preserve">  </w:t>
      </w:r>
      <w:r w:rsidR="00253316">
        <w:fldChar w:fldCharType="begin" w:fldLock="1"/>
      </w:r>
      <w:r w:rsidR="00253316">
        <w:instrText>ADDIN CSL_CITATION { "citationItems" : [ { "id" : "ITEM-1", "itemData" : { "DOI" : "10.1093/eurheartj/ehs253", "author" : [ { "dropping-particle" : "", "family" : "Camm", "given" : "A John", "non-dropping-particle" : "", "parse-names" : false, "suffix" : "" }, { "dropping-particle" : "", "family" : "Lip", "given" : "Gregory Y H", "non-dropping-particle" : "", "parse-names" : false, "suffix" : "" }, { "dropping-particle" : "", "family" : "Caterina", "given" : "Raffaele", "non-dropping-particle" : "De", "parse-names" : false, "suffix" : "" }, { "dropping-particle" : "", "family" : "Savelieva", "given" : "Irene", "non-dropping-particle" : "", "parse-names" : false, "suffix" : "" }, { "dropping-particle" : "", "family" : "Atar", "given" : "Dan", "non-dropping-particle" : "", "parse-names" : false, "suffix" : "" }, { "dropping-particle" : "", "family" : "Hohnloser", "given" : "Stefan H", "non-dropping-particle" : "", "parse-names" : false, "suffix" : "" }, { "dropping-particle" : "", "family" : "Hindricks", "given" : "Gerhard", "non-dropping-particle" : "", "parse-names" : false, "suffix" : "" }, { "dropping-particle" : "", "family" : "Kirchhof", "given" : "Paulus", "non-dropping-particle" : "", "parse-names" : false, "suffix" : "" }, { "dropping-particle" : "", "family" : "Bax", "given" : "Jeroen J", "non-dropping-particle" : "", "parse-names" : false, "suffix" : "" }, { "dropping-particle" : "", "family" : "Baumgartner", "given" : "Helmut", "non-dropping-particle" : "", "parse-names" : false, "suffix" : "" }, { "dropping-particle" : "", "family" : "Ceconi", "given" : "Claudio", "non-dropping-particle" : "", "parse-names" : false, "suffix" : "" }, { "dropping-particle" : "", "family" : "Dean", "given" : "Veronica", "non-dropping-particle" : "", "parse-names" : false, "suffix" : "" }, { "dropping-particle" : "", "family" : "Deaton", "given" : "Christi", "non-dropping-particle" : "", "parse-names" : false, "suffix" : "" }, { "dropping-particle" : "", "family" : "Fagard", "given" : "Robert", "non-dropping-particle" : "", "parse-names" : false, "suffix" : "" }, { "dropping-particle" : "", "family" : "Funck-Brentano", "given" : "Christian", "non-dropping-particle" : "", "parse-names" : false, "suffix" : "" }, { "dropping-particle" : "", "family" : "Hasdai", "given" : "David", "non-dropping-particle" : "", "parse-names" : false, "suffix" : "" }, { "dropping-particle" : "", "family" : "Hoes", "given" : "Arno", "non-dropping-particle" : "", "parse-names" : false, "suffix" : "" }, { "dropping-particle" : "", "family" : "Knuuti", "given" : "Juhani", "non-dropping-particle" : "", "parse-names" : false, "suffix" : "" }, { "dropping-particle" : "", "family" : "Kolh", "given" : "Philippe", "non-dropping-particle" : "", "parse-names" : false, "suffix" : "" }, { "dropping-particle" : "", "family" : "McDonagh", "given" : "Theresa", "non-dropping-particle" : "", "parse-names" : false, "suffix" : "" }, { "dropping-particle" : "", "family" : "Moulin", "given" : "Cyril", "non-dropping-particle" : "", "parse-names" : false, "suffix" : "" }, { "dropping-particle" : "", "family" : "Popescu", "given" : "Bogdan A", "non-dropping-particle" : "", "parse-names" : false, "suffix" : "" }, { "dropping-particle" : "", "family" : "Reiner", "given" : "Zeljko", "non-dropping-particle" : "", "parse-names" : false, "suffix" : "" }, { "dropping-particle" : "", "family" : "Sechtem", "given" : "Udo", "non-dropping-particle" : "", "parse-names" : false, "suffix" : "" }, { "dropping-particle" : "", "family" : "Sirnes", "given" : "Per Anton", "non-dropping-particle" : "", "parse-names" : false, "suffix" : "" }, { "dropping-particle" : "", "family" : "Tendera", "given" : "Michal", "non-dropping-particle" : "", "parse-names" : false, "suffix" : "" }, { "dropping-particle" : "", "family" : "Torbicki", "given" : "Adam", "non-dropping-particle" : "", "parse-names" : false, "suffix" : "" }, { "dropping-particle" : "", "family" : "Vahanian", "given" : "Alec", "non-dropping-particle" : "", "parse-names" : false, "suffix" : "" }, { "dropping-particle" : "", "family" : "Windecker", "given" : "Stephan", "non-dropping-particle" : "", "parse-names" : false, "suffix" : "" }, { "dropping-particle" : "", "family" : "Vardas", "given" : "Panos", "non-dropping-particle" : "", "parse-names" : false, "suffix" : "" }, { "dropping-particle" : "", "family" : "Al-Attar", "given" : "Nawwar", "non-dropping-particle" : "", "parse-names" : false, "suffix" : "" }, { "dropping-particle" : "", "family" : "Alfieri", "given" : "Ottavio", "non-dropping-particle" : "", "parse-names" : false, "suffix" : "" }, { "dropping-particle" : "", "family" : "Angelini", "given" : "Annalisa", "non-dropping-particle" : "", "parse-names" : false, "suffix" : "" }, { "dropping-particle" : "", "family" : "Bl\u00f6mstrom-Lundqvist", "given" : "Carina", "non-dropping-particle" : "", "parse-names" : false, "suffix" : "" }, { "dropping-particle" : "", "family" : "Colonna", "given" : "Paolo", "non-dropping-particle" : "", "parse-names" : false, "suffix" : "" }, { "dropping-particle" : "", "family" : "Sutter", "given" : "Johan", "non-dropping-particle" : "De", "parse-names" : false, "suffix" : "" }, { "dropping-particle" : "", "family" : "Ernst", "given" : "Sabine", "non-dropping-particle" : "", "parse-names" : false, "suffix" : "" }, { "dropping-particle" : "", "family" : "Goette", "given" : "Andreas", "non-dropping-particle" : "", "parse-names" : false, "suffix" : "" }, { "dropping-particle" : "", "family" : "Gorenek", "given" : "Bulent", "non-dropping-particle" : "", "parse-names" : false, "suffix" : "" }, { "dropping-particle" : "", "family" : "Hatala", "given" : "Robert", "non-dropping-particle" : "", "parse-names" : false, "suffix" : "" }, { "dropping-particle" : "", "family" : "Heidb\u00fcchel", "given" : "Hein", "non-dropping-particle" : "", "parse-names" : false, "suffix" : "" }, { "dropping-particle" : "", "family" : "Heldal", "given" : "Magnus", "non-dropping-particle" : "", "parse-names" : false, "suffix" : "" }, { "dropping-particle" : "", "family" : "Kristensen", "given" : "Steen Dalby", "non-dropping-particle" : "", "parse-names" : false, "suffix" : "" }, { "dropping-particle" : "", "family" : "Heuzey", "given" : "Jean-Yves", "non-dropping-particle" : "Le", "parse-names" : false, "suffix" : "" }, { "dropping-particle" : "", "family" : "Mavrakis", "given" : "Hercules", "non-dropping-particle" : "", "parse-names" : false, "suffix" : "" }, { "dropping-particle" : "", "family" : "Mont", "given" : "Llu\u00eds", "non-dropping-particle" : "", "parse-names" : false, "suffix" : "" }, { "dropping-particle" : "", "family" : "Filardi", "given" : "Pasquale Perrone", "non-dropping-particle" : "", "parse-names" : false, "suffix" : "" }, { "dropping-particle" : "", "family" : "Ponikowski", "given" : "Piotr", "non-dropping-particle" : "", "parse-names" : false, "suffix" : "" }, { "dropping-particle" : "", "family" : "Prendergast", "given" : "Bernard", "non-dropping-particle" : "", "parse-names" : false, "suffix" : "" }, { "dropping-particle" : "", "family" : "Rutten", "given" : "Frans H", "non-dropping-particle" : "", "parse-names" : false, "suffix" : "" }, { "dropping-particle" : "", "family" : "Schotten", "given" : "Ulrich", "non-dropping-particle" : "", "parse-names" : false, "suffix" : "" }, { "dropping-particle" : "", "family" : "Gelder", "given" : "Isabelle C", "non-dropping-particle" : "Van", "parse-names" : false, "suffix" : "" }, { "dropping-particle" : "", "family" : "Verheugt", "given" : "Freek W A", "non-dropping-particle" : "", "parse-names" : false, "suffix" : "" } ], "container-title" : "European heart journal", "id" : "ITEM-1", "issued" : { "date-parts" : [ [ "2012", "8", "24" ] ] }, "title" : "2012 focused update of the ESC Guidelines for the management of atrial fibrillation: An update of the 2010 ESC Guidelines for the management of atrial fibrillation * Developed with the special contribution of the European Heart Rhythm Association.", "type" : "article-journal" }, "uris" : [ "http://www.mendeley.com/documents/?uuid=b1c54c22-03a5-4544-aad4-168ae22402e0" ] }, { "id" : "ITEM-2", "itemData" : { "DOI" : "chest.09-1584 [pii]\n10.1378/chest.09-1584", "ISBN" : "1931-3543 (Electronic)\n0012-3692 (Linking)", "abstract" : "BACKGROUND: Contemporary clinical risk stratification schemata for predicting stroke and thromboembolism (TE) in patients with atrial fibrillation (AF) are largely derived from risk factors identified from trial cohorts. Thus, many potential risk factors have not been included. METHODS: We refined the 2006 Birmingham/National Institute for Health and Clinical Excellence (NICE) stroke risk stratification schema into a risk factor-based approach by reclassifying and/or incorporating additional new risk factors where relevant. This schema was then compared with existing stroke risk stratification schema in a real-world cohort of patients with AF (n = 1,084) from the Euro Heart Survey for AF. RESULTS: Risk categorization differed widely between the different schemes compared. Patients classified as high risk ranged from 10.2% with the Framingham schema to 75.7% with the Birmingham 2009 schema. The classic CHADS(2) (Congestive heart failure, Hypertension, Age &gt; 75, Diabetes, prior Stroke/transient ischemic attack) schema categorized the largest proportion (61.9%) into the intermediate-risk strata, whereas the Birmingham 2009 schema classified 15.1% into this category. The Birmingham 2009 schema classified only 9.2% as low risk, whereas the Framingham scheme categorized 48.3% as low risk. Calculated C-statistics suggested modest predictive value of all schema for TE. The Birmingham 2009 schema fared marginally better (C-statistic, 0.606) than CHADS(2). However, those classified as low risk by the Birmingham 2009 and NICE schema were truly low risk with no TE events recorded, whereas TE events occurred in 1.4% of low-risk CHADS(2) subjects. When expressed as a scoring system, the Birmingham 2009 schema (CHA(2)DS(2)-VASc acronym) showed an increase in TE rate with increasing scores (P value for trend = .003). CONCLUSIONS: Our novel, simple stroke risk stratification schema, based on a risk factor approach, provides some improvement in predictive value for TE over the CHADS(2) schema, with low event rates in low-risk subjects and the classification of only a small proportion of subjects into the intermediate-risk category. This schema could improve our approach to stroke risk stratification in patients with AF.", "author" : [ { "dropping-particle" : "", "family" : "Lip", "given" : "G Y", "non-dropping-particle" : "", "parse-names" : false, "suffix" : "" }, { "dropping-particle" : "", "family" : "Nieuwlaat", "given" : "R", "non-dropping-particle" : "", "parse-names" : false, "suffix" : "" }, { "dropping-particle" : "", "family" : "Pisters", "given" : "R", "non-dropping-particle" : "", "parse-names" : false, "suffix" : "" }, { "dropping-particle" : "", "family" : "Lane", "given" : "D A", "non-dropping-particle" : "", "parse-names" : false, "suffix" : "" }, { "dropping-particle" : "", "family" : "Crijns", "given" : "H J", "non-dropping-particle" : "", "parse-names" : false, "suffix" : "" } ], "container-title" : "Chest", "edition" : "2009/09/19", "id" : "ITEM-2", "issue" : "2", "issued" : { "date-parts" : [ [ "2010" ] ] }, "note" : "Lip, Gregory Y H\nNieuwlaat, Robby\nPisters, Ron\nLane, Deirdre A\nCrijns, Harry J G M\nComparative Study\nMulticenter Study\nResearch Support, Non-U.S. Gov't\nUnited States\nChest\nChest. 2010 Feb;137(2):263-72. Epub 2009 Sep 17.", "page" : "263-272", "title" : "Refining clinical risk stratification for predicting stroke and thromboembolism in atrial fibrillation using a novel risk factor-based approach: the euro heart survey on atrial fibrillation", "type" : "article-journal", "volume" : "137" }, "uris" : [ "http://www.mendeley.com/documents/?uuid=92bcf70e-0108-4a10-8609-688b47a2f142" ] }, { "id" : "ITEM-3", "itemData" : { "DOI" : "10.1136/bmj.d124", "author" : [ { "dropping-particle" : "", "family" : "Olesen", "given" : "J. B.", "non-dropping-particle" : "", "parse-names" : false, "suffix" : "" }, { "dropping-particle" : "", "family" : "Lip", "given" : "G. Y. H.", "non-dropping-particle" : "", "parse-names" : false, "suffix" : "" }, { "dropping-particle" : "", "family" : "Hansen", "given" : "M. L.", "non-dropping-particle" : "", "parse-names" : false, "suffix" : "" }, { "dropping-particle" : "", "family" : "Hansen", "given" : "P. R.", "non-dropping-particle" : "", "parse-names" : false, "suffix" : "" }, { "dropping-particle" : "", "family" : "Tolstrup", "given" : "J. S.", "non-dropping-particle" : "", "parse-names" : false, "suffix" : "" }, { "dropping-particle" : "", "family" : "Lindhardsen", "given" : "J.", "non-dropping-particle" : "", "parse-names" : false, "suffix" : "" }, { "dropping-particle" : "", "family" : "Selmer", "given" : "C.", "non-dropping-particle" : "", "parse-names" : false, "suffix" : "" }, { "dropping-particle" : "", "family" : "Ahlehoff", "given" : "O.", "non-dropping-particle" : "", "parse-names" : false, "suffix" : "" }, { "dropping-particle" : "", "family" : "Olsen", "given" : "A.-M. S.", "non-dropping-particle" : "", "parse-names" : false, "suffix" : "" }, { "dropping-particle" : "", "family" : "Gislason", "given" : "G. H.", "non-dropping-particle" : "", "parse-names" : false, "suffix" : "" }, { "dropping-particle" : "", "family" : "Torp-Pedersen", "given" : "C.", "non-dropping-particle" : "", "parse-names" : false, "suffix" : "" } ], "container-title" : "BMJ", "id" : "ITEM-3", "issue" : "jan31 1", "issued" : { "date-parts" : [ [ "2011", "1", "31" ] ] }, "page" : "d124-d124", "title" : "Validation of risk stratification schemes for predicting stroke and thromboembolism in patients with atrial fibrillation: nationwide cohort study", "type" : "article-journal", "volume" : "342" }, "uris" : [ "http://www.mendeley.com/documents/?uuid=e7acb522-90d8-4de8-b521-91eaca2b57fc" ] } ], "mendeley" : { "previouslyFormattedCitation" : "[4,15,16]" }, "properties" : { "noteIndex" : 0 }, "schema" : "https://github.com/citation-style-language/schema/raw/master/csl-citation.json" }</w:instrText>
      </w:r>
      <w:r w:rsidR="00253316">
        <w:fldChar w:fldCharType="separate"/>
      </w:r>
      <w:r w:rsidR="00253316" w:rsidRPr="00253316">
        <w:rPr>
          <w:noProof/>
        </w:rPr>
        <w:t>[4,15,16]</w:t>
      </w:r>
      <w:r w:rsidR="00253316">
        <w:fldChar w:fldCharType="end"/>
      </w:r>
      <w:r w:rsidR="00654FFC" w:rsidRPr="00532F44">
        <w:t xml:space="preserve"> CHA</w:t>
      </w:r>
      <w:r w:rsidR="00654FFC" w:rsidRPr="00B36EBC">
        <w:rPr>
          <w:vertAlign w:val="subscript"/>
        </w:rPr>
        <w:t>2</w:t>
      </w:r>
      <w:r w:rsidR="00654FFC" w:rsidRPr="00532F44">
        <w:t>DS</w:t>
      </w:r>
      <w:r w:rsidR="00654FFC" w:rsidRPr="00B36EBC">
        <w:rPr>
          <w:vertAlign w:val="subscript"/>
        </w:rPr>
        <w:t>2</w:t>
      </w:r>
      <w:r w:rsidR="00654FFC" w:rsidRPr="00532F44">
        <w:t xml:space="preserve">-VASc was not used in these analyses as the recent NICE recommendations for the use of </w:t>
      </w:r>
      <w:proofErr w:type="spellStart"/>
      <w:r w:rsidR="00654FFC" w:rsidRPr="00532F44">
        <w:t>dabigatran</w:t>
      </w:r>
      <w:proofErr w:type="spellEnd"/>
      <w:r w:rsidR="00654FFC" w:rsidRPr="00532F44">
        <w:t xml:space="preserve"> and </w:t>
      </w:r>
      <w:proofErr w:type="spellStart"/>
      <w:r w:rsidR="00654FFC" w:rsidRPr="00532F44">
        <w:t>rivaroxaban</w:t>
      </w:r>
      <w:proofErr w:type="spellEnd"/>
      <w:r w:rsidR="00654FFC" w:rsidRPr="00532F44">
        <w:t xml:space="preserve"> both map onto specific CHADS</w:t>
      </w:r>
      <w:r w:rsidR="00654FFC" w:rsidRPr="00B36EBC">
        <w:rPr>
          <w:vertAlign w:val="subscript"/>
        </w:rPr>
        <w:t>2</w:t>
      </w:r>
      <w:r w:rsidR="00654FFC" w:rsidRPr="00532F44">
        <w:t xml:space="preserve"> risk scores, but not specific CHA</w:t>
      </w:r>
      <w:r w:rsidR="00654FFC" w:rsidRPr="00B36EBC">
        <w:rPr>
          <w:vertAlign w:val="subscript"/>
        </w:rPr>
        <w:t>2</w:t>
      </w:r>
      <w:r w:rsidR="00654FFC" w:rsidRPr="00532F44">
        <w:t>DS</w:t>
      </w:r>
      <w:r w:rsidR="00654FFC" w:rsidRPr="00B36EBC">
        <w:rPr>
          <w:vertAlign w:val="subscript"/>
        </w:rPr>
        <w:t>2</w:t>
      </w:r>
      <w:r w:rsidR="00654FFC" w:rsidRPr="00532F44">
        <w:t>-VASc risk scores.</w:t>
      </w:r>
      <w:r w:rsidR="00DB7C63" w:rsidRPr="00532F44">
        <w:t xml:space="preserve"> </w:t>
      </w:r>
      <w:r w:rsidR="002F05E5" w:rsidRPr="00532F44">
        <w:fldChar w:fldCharType="begin" w:fldLock="1"/>
      </w:r>
      <w:r w:rsidR="00253316">
        <w:instrText>ADDIN CSL_CITATION { "citationItems" : [ { "id" : "ITEM-1", "itemData" : { "URL" : "http://www.nice.org.uk/nicemedia/live/13677/58470/58470.pdf", "accessed" : { "date-parts" : [ [ "2012", "9", "28" ] ] }, "author" : [ { "dropping-particle" : "", "family" : "NICE", "given" : "", "non-dropping-particle" : "", "parse-names" : false, "suffix" : "" } ], "container-title" : "NICE technology appraisal guidance 249", "id" : "ITEM-1", "issued" : { "date-parts" : [ [ "2012" ] ] }, "title" : "Dabigatran etexilate for the prevention of stroke and systemic embolism in atrial fibrillation", "type" : "webpage" }, "uris" : [ "http://www.mendeley.com/documents/?uuid=1f78d015-fd6c-4f3b-b09e-077ac1e728f2" ] }, { "id" : "ITEM-2", "itemData" : { "URL" : "http://www.nice.org.uk/nicemedia/live/13746/59295/59295.pdf", "accessed" : { "date-parts" : [ [ "2012", "9", "28" ] ] }, "author" : [ { "dropping-particle" : "", "family" : "NICE", "given" : "", "non-dropping-particle" : "", "parse-names" : false, "suffix" : "" } ], "container-title" : "NICE technology appraisal guidance 256", "id" : "ITEM-2", "issued" : { "date-parts" : [ [ "2012" ] ] }, "title" : "Rivaroxaban for the prevention of stroke and systemic embolism in people with atrial fibrillation", "type" : "webpage" }, "uris" : [ "http://www.mendeley.com/documents/?uuid=86ddf2af-d98e-4b46-8879-5fa584445e05" ] } ], "mendeley" : { "previouslyFormattedCitation" : "[8,9]" }, "properties" : { "noteIndex" : 0 }, "schema" : "https://github.com/citation-style-language/schema/raw/master/csl-citation.json" }</w:instrText>
      </w:r>
      <w:r w:rsidR="002F05E5" w:rsidRPr="00532F44">
        <w:fldChar w:fldCharType="separate"/>
      </w:r>
      <w:r w:rsidR="00354D59" w:rsidRPr="00354D59">
        <w:rPr>
          <w:noProof/>
        </w:rPr>
        <w:t>[8,9]</w:t>
      </w:r>
      <w:r w:rsidR="002F05E5" w:rsidRPr="00532F44">
        <w:fldChar w:fldCharType="end"/>
      </w:r>
      <w:r w:rsidR="00654FFC" w:rsidRPr="00532F44">
        <w:t xml:space="preserve"> </w:t>
      </w:r>
      <w:proofErr w:type="gramStart"/>
      <w:r w:rsidR="00E36870" w:rsidRPr="00532F44">
        <w:t>The</w:t>
      </w:r>
      <w:proofErr w:type="gramEnd"/>
      <w:r w:rsidR="00E36870" w:rsidRPr="00532F44">
        <w:t xml:space="preserve"> dose of </w:t>
      </w:r>
      <w:proofErr w:type="spellStart"/>
      <w:r w:rsidR="00E36870" w:rsidRPr="00532F44">
        <w:t>dabigatran</w:t>
      </w:r>
      <w:proofErr w:type="spellEnd"/>
      <w:r w:rsidR="00E36870" w:rsidRPr="00532F44">
        <w:t xml:space="preserve"> was set at 150mg twice daily, rather than allowing some patients to receive a lower dose of 110mg twice </w:t>
      </w:r>
      <w:r w:rsidR="00407CD7" w:rsidRPr="00532F44">
        <w:t>daily</w:t>
      </w:r>
      <w:r w:rsidR="004850ED" w:rsidRPr="00532F44">
        <w:t>.</w:t>
      </w:r>
      <w:r w:rsidR="00407CD7" w:rsidRPr="00532F44">
        <w:t xml:space="preserve"> </w:t>
      </w:r>
      <w:r w:rsidR="00E36870" w:rsidRPr="00532F44">
        <w:t xml:space="preserve">The stroke risk associated with patients with </w:t>
      </w:r>
      <w:r w:rsidR="002148A0">
        <w:t xml:space="preserve">LA ABN </w:t>
      </w:r>
      <w:r w:rsidR="00E36870" w:rsidRPr="00532F44">
        <w:t xml:space="preserve">is assumed </w:t>
      </w:r>
      <w:r w:rsidR="00570EFD" w:rsidRPr="00532F44">
        <w:t xml:space="preserve">not </w:t>
      </w:r>
      <w:r w:rsidR="00620AA2">
        <w:t xml:space="preserve">to </w:t>
      </w:r>
      <w:r w:rsidR="00570EFD" w:rsidRPr="00532F44">
        <w:t>change a</w:t>
      </w:r>
      <w:r w:rsidR="004850ED" w:rsidRPr="00532F44">
        <w:t>s a patient ages</w:t>
      </w:r>
      <w:r w:rsidR="00407CD7" w:rsidRPr="00532F44">
        <w:t>; i</w:t>
      </w:r>
      <w:r w:rsidR="00E36870" w:rsidRPr="00532F44">
        <w:t>deally differential rates by age or by the number (and type) of abnormalities would be used but these data were not identified.</w:t>
      </w:r>
    </w:p>
    <w:p w:rsidR="00E36870" w:rsidRPr="00532F44" w:rsidRDefault="000C4858" w:rsidP="008D3B31">
      <w:pPr>
        <w:spacing w:line="480" w:lineRule="auto"/>
      </w:pPr>
      <w:r w:rsidRPr="00532F44">
        <w:t xml:space="preserve">Within the </w:t>
      </w:r>
      <w:r w:rsidR="00620AA2">
        <w:t>study</w:t>
      </w:r>
      <w:r w:rsidRPr="00532F44">
        <w:t xml:space="preserve"> used to </w:t>
      </w:r>
      <w:r w:rsidR="00C32E52" w:rsidRPr="00532F44">
        <w:t xml:space="preserve">derive the </w:t>
      </w:r>
      <w:r w:rsidRPr="00532F44">
        <w:t>s</w:t>
      </w:r>
      <w:r w:rsidR="00A11AEA" w:rsidRPr="00532F44">
        <w:t>ensitivity and specificity of TT</w:t>
      </w:r>
      <w:r w:rsidRPr="00532F44">
        <w:t xml:space="preserve">E, </w:t>
      </w:r>
      <w:proofErr w:type="spellStart"/>
      <w:r w:rsidRPr="00532F44">
        <w:t>transoesophageal</w:t>
      </w:r>
      <w:proofErr w:type="spellEnd"/>
      <w:r w:rsidRPr="00532F44">
        <w:t xml:space="preserve"> echocardiography (TOE), was </w:t>
      </w:r>
      <w:r w:rsidR="00F00EDF" w:rsidRPr="00532F44">
        <w:t>assumed to be a perfect gold</w:t>
      </w:r>
      <w:r w:rsidRPr="00532F44">
        <w:t xml:space="preserve"> standard</w:t>
      </w:r>
      <w:r w:rsidR="00C32E52" w:rsidRPr="00532F44">
        <w:t>, and so our model also made this assumption.</w:t>
      </w:r>
      <w:r w:rsidRPr="00532F44">
        <w:t xml:space="preserve"> </w:t>
      </w:r>
      <w:r w:rsidR="002F05E5" w:rsidRPr="00532F44">
        <w:fldChar w:fldCharType="begin" w:fldLock="1"/>
      </w:r>
      <w:r w:rsidR="00253316">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r w:rsidRPr="00532F44">
        <w:t xml:space="preserve"> </w:t>
      </w:r>
      <w:r w:rsidR="00F00EDF" w:rsidRPr="00532F44">
        <w:t xml:space="preserve">Using TOE as the gold standard, </w:t>
      </w:r>
      <w:r w:rsidR="00407CD7" w:rsidRPr="00532F44">
        <w:t>TTE was estimated to have a very high sensitivity but a specificity of only around 35</w:t>
      </w:r>
      <w:r w:rsidR="00620AA2">
        <w:t xml:space="preserve"> </w:t>
      </w:r>
      <w:r w:rsidR="00407CD7" w:rsidRPr="00532F44">
        <w:t xml:space="preserve">%. Within </w:t>
      </w:r>
      <w:r w:rsidR="00E36064" w:rsidRPr="00532F44">
        <w:t xml:space="preserve">this </w:t>
      </w:r>
      <w:r w:rsidR="00407CD7" w:rsidRPr="00532F44">
        <w:t>model, this low specificity corresponds to an increased proportion of ‘false positives’ being included in the patient population mix, and so TTE results in</w:t>
      </w:r>
      <w:r w:rsidR="002148A0">
        <w:t xml:space="preserve"> a considerable number of</w:t>
      </w:r>
      <w:r w:rsidR="00407CD7" w:rsidRPr="00532F44">
        <w:t xml:space="preserve"> people effectively experiencing increased risks of bleed without </w:t>
      </w:r>
      <w:r w:rsidR="00D20CA0" w:rsidRPr="00532F44">
        <w:t xml:space="preserve">the </w:t>
      </w:r>
      <w:r w:rsidR="00407CD7" w:rsidRPr="00532F44">
        <w:t>increased benefits in terms of stroke risk reduction</w:t>
      </w:r>
      <w:r w:rsidR="00D20CA0" w:rsidRPr="00532F44">
        <w:t xml:space="preserve"> </w:t>
      </w:r>
      <w:r w:rsidR="00620AA2">
        <w:t>estimated</w:t>
      </w:r>
      <w:r w:rsidR="00D20CA0" w:rsidRPr="00532F44">
        <w:t xml:space="preserve"> in patients</w:t>
      </w:r>
      <w:r w:rsidR="00620AA2">
        <w:t xml:space="preserve"> with a higher risk of stroke</w:t>
      </w:r>
      <w:r w:rsidR="00407CD7" w:rsidRPr="00532F44">
        <w:t xml:space="preserve">. </w:t>
      </w:r>
      <w:r w:rsidR="00B24433" w:rsidRPr="00532F44">
        <w:t xml:space="preserve">If TTE were found to be superior to TOE at identifying certain types of LA ABN which expose </w:t>
      </w:r>
      <w:proofErr w:type="gramStart"/>
      <w:r w:rsidR="00B24433" w:rsidRPr="00532F44">
        <w:t>patients</w:t>
      </w:r>
      <w:proofErr w:type="gramEnd"/>
      <w:r w:rsidR="00B24433" w:rsidRPr="00532F44">
        <w:t xml:space="preserve"> to increased stroke risks, then </w:t>
      </w:r>
      <w:r w:rsidR="00E36064" w:rsidRPr="00532F44">
        <w:t xml:space="preserve">the true benefits of TTE in improving patient management </w:t>
      </w:r>
      <w:r w:rsidR="00E36064" w:rsidRPr="00532F44">
        <w:lastRenderedPageBreak/>
        <w:t>would be underestimated</w:t>
      </w:r>
      <w:r w:rsidR="00B24433" w:rsidRPr="00532F44">
        <w:t xml:space="preserve">. </w:t>
      </w:r>
      <w:r w:rsidR="00407CD7" w:rsidRPr="00532F44">
        <w:t xml:space="preserve"> </w:t>
      </w:r>
      <w:r w:rsidR="00620AA2">
        <w:t xml:space="preserve">The study used to derive sensitivity and specificity was relatively small, of fewer than 400 patients, and </w:t>
      </w:r>
      <w:r w:rsidR="00C32E52" w:rsidRPr="00532F44">
        <w:t xml:space="preserve">also formed the basis of our estimates of the TPHR.  </w:t>
      </w:r>
      <w:r w:rsidR="002F05E5" w:rsidRPr="00532F44">
        <w:fldChar w:fldCharType="begin" w:fldLock="1"/>
      </w:r>
      <w:r w:rsidR="00253316">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r w:rsidR="00F00EDF" w:rsidRPr="00532F44">
        <w:t xml:space="preserve">  </w:t>
      </w:r>
      <w:r w:rsidR="00E36870" w:rsidRPr="00532F44">
        <w:t>This has made the assessment of the benefits of TTE uncertain</w:t>
      </w:r>
      <w:r w:rsidR="00654FFC" w:rsidRPr="00532F44">
        <w:t>.</w:t>
      </w:r>
      <w:r w:rsidR="00B56A7D" w:rsidRPr="00532F44">
        <w:t xml:space="preserve"> </w:t>
      </w:r>
      <w:r w:rsidR="00570EFD" w:rsidRPr="00532F44">
        <w:t xml:space="preserve">A further </w:t>
      </w:r>
      <w:r w:rsidR="00B56A7D" w:rsidRPr="00532F44">
        <w:t xml:space="preserve">limitation is that </w:t>
      </w:r>
      <w:r w:rsidR="00B24433" w:rsidRPr="00532F44">
        <w:t>t</w:t>
      </w:r>
      <w:r w:rsidR="00E36870" w:rsidRPr="00532F44">
        <w:t xml:space="preserve">he risk of death unrelated to bleeding or stroke events was taken from </w:t>
      </w:r>
      <w:proofErr w:type="spellStart"/>
      <w:r w:rsidR="00E36870" w:rsidRPr="00532F44">
        <w:t>lifetables</w:t>
      </w:r>
      <w:proofErr w:type="spellEnd"/>
      <w:r w:rsidR="00E36870" w:rsidRPr="00532F44">
        <w:t xml:space="preserve"> and were not adjusted for the probability of bleeding or stroke mortality</w:t>
      </w:r>
      <w:r w:rsidR="00654FFC" w:rsidRPr="00532F44">
        <w:t>.</w:t>
      </w:r>
      <w:r w:rsidR="002148A0">
        <w:t xml:space="preserve"> </w:t>
      </w:r>
      <w:r w:rsidR="0009234A">
        <w:fldChar w:fldCharType="begin" w:fldLock="1"/>
      </w:r>
      <w:r w:rsidR="00253316">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"[17]" }, "properties" : { "noteIndex" : 0 }, "schema" : "https://github.com/citation-style-language/schema/raw/master/csl-citation.json" }</w:instrText>
      </w:r>
      <w:r w:rsidR="0009234A">
        <w:fldChar w:fldCharType="separate"/>
      </w:r>
      <w:r w:rsidR="00354D59" w:rsidRPr="00354D59">
        <w:rPr>
          <w:noProof/>
        </w:rPr>
        <w:t>[17]</w:t>
      </w:r>
      <w:r w:rsidR="0009234A">
        <w:fldChar w:fldCharType="end"/>
      </w:r>
    </w:p>
    <w:p w:rsidR="004850ED" w:rsidRPr="00532F44" w:rsidRDefault="004850ED" w:rsidP="008D3B31">
      <w:pPr>
        <w:spacing w:line="480" w:lineRule="auto"/>
      </w:pPr>
      <w:r w:rsidRPr="00532F44">
        <w:t>A key uncertainty is whether there are other benefits that are accrued from a TTE other than identifying</w:t>
      </w:r>
      <w:r w:rsidR="00253316">
        <w:t xml:space="preserve"> some forms of</w:t>
      </w:r>
      <w:r w:rsidRPr="00532F44">
        <w:t xml:space="preserve"> LA ABN. If these exist, and produce even small net QALY gains (&gt; 0.0033) then TTE would be cost effective in all scenarios</w:t>
      </w:r>
      <w:r w:rsidR="00621BC9">
        <w:t>, assuming a cost of £66 per test</w:t>
      </w:r>
      <w:r w:rsidRPr="00532F44">
        <w:t xml:space="preserve">. </w:t>
      </w:r>
      <w:r w:rsidR="00F00EDF" w:rsidRPr="00532F44">
        <w:t xml:space="preserve">As </w:t>
      </w:r>
      <w:r w:rsidR="00B13ECE">
        <w:fldChar w:fldCharType="begin"/>
      </w:r>
      <w:r w:rsidR="00B13ECE">
        <w:instrText xml:space="preserve"> REF _Ref335141468 \h  \* MERGEFORMAT </w:instrText>
      </w:r>
      <w:r w:rsidR="00B13ECE">
        <w:fldChar w:fldCharType="separate"/>
      </w:r>
      <w:r w:rsidR="008D3B31" w:rsidRPr="00532F44">
        <w:t xml:space="preserve">Table </w:t>
      </w:r>
      <w:r w:rsidR="008D3B31">
        <w:t>6</w:t>
      </w:r>
      <w:r w:rsidR="00B13ECE">
        <w:fldChar w:fldCharType="end"/>
      </w:r>
      <w:r w:rsidR="00F00EDF" w:rsidRPr="00532F44">
        <w:t xml:space="preserve">b indicates, the structural sensitivity analyses for this scenario indicate that even a diagnostic strategy with a joint sensitivity </w:t>
      </w:r>
      <w:r w:rsidR="00D62831" w:rsidRPr="00532F44">
        <w:t xml:space="preserve">of one and </w:t>
      </w:r>
      <w:r w:rsidR="00F00EDF" w:rsidRPr="00532F44">
        <w:t xml:space="preserve">specificity of zero </w:t>
      </w:r>
      <w:r w:rsidR="00621BC9">
        <w:t xml:space="preserve">(i.e. prescribing everyone with </w:t>
      </w:r>
      <w:r w:rsidR="002B0A3A">
        <w:t>the OAC</w:t>
      </w:r>
      <w:r w:rsidR="00621BC9">
        <w:t xml:space="preserve">) </w:t>
      </w:r>
      <w:r w:rsidR="00F00EDF" w:rsidRPr="00532F44">
        <w:t>may be cost effective</w:t>
      </w:r>
      <w:r w:rsidR="002B0A3A">
        <w:t xml:space="preserve"> compared with treating no</w:t>
      </w:r>
      <w:r w:rsidR="00E60AF4">
        <w:t>-</w:t>
      </w:r>
      <w:r w:rsidR="002B0A3A">
        <w:t>one</w:t>
      </w:r>
      <w:r w:rsidR="00F00EDF" w:rsidRPr="00532F44">
        <w:t xml:space="preserve">. The implications of this result </w:t>
      </w:r>
      <w:r w:rsidR="00D62831" w:rsidRPr="00532F44">
        <w:t>require further research</w:t>
      </w:r>
      <w:r w:rsidR="00F00EDF" w:rsidRPr="00532F44">
        <w:t xml:space="preserve">. </w:t>
      </w:r>
    </w:p>
    <w:p w:rsidR="0005390C" w:rsidRPr="00532F44" w:rsidRDefault="0005390C" w:rsidP="003378D6">
      <w:pPr>
        <w:pStyle w:val="Heading2"/>
        <w:numPr>
          <w:ilvl w:val="0"/>
          <w:numId w:val="0"/>
        </w:numPr>
      </w:pPr>
      <w:r w:rsidRPr="00532F44">
        <w:t>Implications for Research</w:t>
      </w:r>
    </w:p>
    <w:p w:rsidR="0061601D" w:rsidRPr="00532F44" w:rsidRDefault="00F00EDF" w:rsidP="008D3B31">
      <w:pPr>
        <w:spacing w:line="480" w:lineRule="auto"/>
      </w:pPr>
      <w:r w:rsidRPr="00532F44">
        <w:t xml:space="preserve">For some scenarios </w:t>
      </w:r>
      <w:r w:rsidR="00C46C92" w:rsidRPr="00532F44">
        <w:t xml:space="preserve">the </w:t>
      </w:r>
      <w:r w:rsidR="00D20CA0" w:rsidRPr="00532F44">
        <w:t xml:space="preserve">cost effectiveness estimates generated by the model </w:t>
      </w:r>
      <w:r w:rsidR="00C46C92" w:rsidRPr="00532F44">
        <w:t xml:space="preserve">depend </w:t>
      </w:r>
      <w:r w:rsidR="00903CA6" w:rsidRPr="00532F44">
        <w:t>heavily</w:t>
      </w:r>
      <w:r w:rsidR="00C46C92" w:rsidRPr="00532F44">
        <w:t xml:space="preserve"> on </w:t>
      </w:r>
      <w:r w:rsidR="00CB6661" w:rsidRPr="00532F44">
        <w:t xml:space="preserve">sensitivity and specificity </w:t>
      </w:r>
      <w:r w:rsidR="00903CA6" w:rsidRPr="00532F44">
        <w:t>estimates</w:t>
      </w:r>
      <w:r w:rsidR="00CB6661" w:rsidRPr="00532F44">
        <w:t xml:space="preserve">, as well as the </w:t>
      </w:r>
      <w:r w:rsidR="00903CA6" w:rsidRPr="00532F44">
        <w:t>true proportion of genuinely high risk (LA ABN</w:t>
      </w:r>
      <w:r w:rsidR="00FB3E31" w:rsidRPr="00532F44">
        <w:t xml:space="preserve"> positive</w:t>
      </w:r>
      <w:r w:rsidR="00903CA6" w:rsidRPr="00532F44">
        <w:t xml:space="preserve">) patients </w:t>
      </w:r>
      <w:r w:rsidR="00FB3E31" w:rsidRPr="00532F44">
        <w:t xml:space="preserve">in </w:t>
      </w:r>
      <w:r w:rsidR="00D20CA0" w:rsidRPr="00532F44">
        <w:t>this sub-</w:t>
      </w:r>
      <w:r w:rsidR="0061601D" w:rsidRPr="00532F44">
        <w:t>population of apparently ‘low risk’ patients</w:t>
      </w:r>
      <w:r w:rsidR="00903CA6" w:rsidRPr="00532F44">
        <w:t>.</w:t>
      </w:r>
      <w:r w:rsidR="002857F0" w:rsidRPr="00532F44">
        <w:t xml:space="preserve"> </w:t>
      </w:r>
      <w:r w:rsidR="004850ED" w:rsidRPr="00532F44">
        <w:t>T</w:t>
      </w:r>
      <w:r w:rsidR="0061601D" w:rsidRPr="00532F44">
        <w:t xml:space="preserve">he </w:t>
      </w:r>
      <w:r w:rsidR="002857F0" w:rsidRPr="00532F44">
        <w:t xml:space="preserve">model depends strongly on data reported in a single, relatively small study conducted outside of the UK, and so may </w:t>
      </w:r>
      <w:r w:rsidR="00D20CA0" w:rsidRPr="00532F44">
        <w:t>misrepresent</w:t>
      </w:r>
      <w:r w:rsidR="002857F0" w:rsidRPr="00532F44">
        <w:t xml:space="preserve"> the true </w:t>
      </w:r>
      <w:r w:rsidR="00D20CA0" w:rsidRPr="00532F44">
        <w:t xml:space="preserve">values of </w:t>
      </w:r>
      <w:r w:rsidR="00620AA2">
        <w:t>these parameters</w:t>
      </w:r>
      <w:r w:rsidR="002857F0" w:rsidRPr="00532F44">
        <w:t>.</w:t>
      </w:r>
      <w:r w:rsidR="00E36870" w:rsidRPr="00532F44">
        <w:t xml:space="preserve"> </w:t>
      </w:r>
      <w:r w:rsidR="00736D21" w:rsidRPr="00532F44">
        <w:t>Having a more robust source of evidence for these parameters is likely to significantly improve the accuracy and validity of the mathematic</w:t>
      </w:r>
      <w:r w:rsidR="00A11AEA" w:rsidRPr="00532F44">
        <w:t>al</w:t>
      </w:r>
      <w:r w:rsidR="00736D21" w:rsidRPr="00532F44">
        <w:t xml:space="preserve"> models. </w:t>
      </w:r>
      <w:r w:rsidRPr="00532F44">
        <w:t xml:space="preserve">The extent to which these cost-effectiveness </w:t>
      </w:r>
      <w:r w:rsidR="00253316">
        <w:t>estimates relate</w:t>
      </w:r>
      <w:r w:rsidRPr="00532F44">
        <w:t xml:space="preserve"> to healthcare in the U</w:t>
      </w:r>
      <w:r w:rsidR="00620AA2">
        <w:t>K</w:t>
      </w:r>
      <w:r w:rsidRPr="00532F44">
        <w:t xml:space="preserve"> depends on how similar the populations and healthcare systems are, which could be a matter for further research.</w:t>
      </w:r>
    </w:p>
    <w:p w:rsidR="004850ED" w:rsidRPr="00532F44" w:rsidRDefault="00736D21" w:rsidP="008D3B31">
      <w:pPr>
        <w:spacing w:line="480" w:lineRule="auto"/>
      </w:pPr>
      <w:r w:rsidRPr="00532F44">
        <w:t>Additional research that would improve the validity of the model include</w:t>
      </w:r>
      <w:r w:rsidR="00B56A7D" w:rsidRPr="00532F44">
        <w:t xml:space="preserve"> </w:t>
      </w:r>
      <w:r w:rsidRPr="00532F44">
        <w:t xml:space="preserve">identifying any additional net benefits to the management of newly diagnosed AF patient that could result from routine screening with TTE </w:t>
      </w:r>
      <w:r w:rsidR="00620AA2">
        <w:t xml:space="preserve">following initial </w:t>
      </w:r>
      <w:r w:rsidRPr="00532F44">
        <w:t>diagnosis.</w:t>
      </w:r>
      <w:r w:rsidR="00E55A94" w:rsidRPr="00532F44">
        <w:t xml:space="preserve"> </w:t>
      </w:r>
    </w:p>
    <w:p w:rsidR="0005390C" w:rsidRPr="00532F44" w:rsidRDefault="0005390C" w:rsidP="003378D6">
      <w:pPr>
        <w:pStyle w:val="Heading2"/>
        <w:numPr>
          <w:ilvl w:val="0"/>
          <w:numId w:val="0"/>
        </w:numPr>
      </w:pPr>
      <w:r w:rsidRPr="00532F44">
        <w:lastRenderedPageBreak/>
        <w:t>Implications for clinical practice</w:t>
      </w:r>
    </w:p>
    <w:p w:rsidR="00A42D14" w:rsidRPr="00532F44" w:rsidRDefault="00DB7C63" w:rsidP="008D3B31">
      <w:pPr>
        <w:spacing w:line="480" w:lineRule="auto"/>
      </w:pPr>
      <w:r w:rsidRPr="00532F44">
        <w:t>Should TTE be recommended for those patients with CHADS</w:t>
      </w:r>
      <w:r w:rsidRPr="00B36EBC">
        <w:rPr>
          <w:vertAlign w:val="subscript"/>
        </w:rPr>
        <w:t>2</w:t>
      </w:r>
      <w:r w:rsidRPr="00532F44">
        <w:t xml:space="preserve"> scores of </w:t>
      </w:r>
      <w:r w:rsidR="00B36EBC">
        <w:t xml:space="preserve">zero </w:t>
      </w:r>
      <w:r w:rsidRPr="00532F44">
        <w:t>point</w:t>
      </w:r>
      <w:r w:rsidR="00B36EBC">
        <w:t>s</w:t>
      </w:r>
      <w:r w:rsidRPr="00532F44">
        <w:t>, there will be an increase in the number of TTEs performed. This is unlikely to place a great burden on the majority of hospitals who are likely to have staff trained in the use of TTE machines.</w:t>
      </w:r>
      <w:r w:rsidR="00C918EC" w:rsidRPr="00532F44">
        <w:t xml:space="preserve"> </w:t>
      </w:r>
      <w:r w:rsidR="00903CA6" w:rsidRPr="00532F44">
        <w:t xml:space="preserve">It is likely that additional bed days are made available due to the reduction in stroke following appropriate management, although there is likely to be an increase in bleed related admissions. </w:t>
      </w:r>
    </w:p>
    <w:p w:rsidR="004850ED" w:rsidRPr="00D561D8" w:rsidRDefault="004850ED" w:rsidP="003378D6">
      <w:pPr>
        <w:pStyle w:val="Heading2"/>
        <w:numPr>
          <w:ilvl w:val="0"/>
          <w:numId w:val="0"/>
        </w:numPr>
        <w:rPr>
          <w:color w:val="FF0000"/>
        </w:rPr>
      </w:pPr>
      <w:r w:rsidRPr="00D561D8">
        <w:rPr>
          <w:color w:val="FF0000"/>
        </w:rPr>
        <w:t>Conclusion</w:t>
      </w:r>
    </w:p>
    <w:p w:rsidR="00911187" w:rsidRPr="00D561D8" w:rsidRDefault="00911187" w:rsidP="008D3B31">
      <w:pPr>
        <w:spacing w:line="480" w:lineRule="auto"/>
        <w:rPr>
          <w:color w:val="FF0000"/>
        </w:rPr>
      </w:pPr>
      <w:r w:rsidRPr="00D561D8">
        <w:rPr>
          <w:color w:val="FF0000"/>
        </w:rPr>
        <w:t xml:space="preserve">This paper presented the results of mathematical models which simulated the effects of using TTE to help make the decision whether to prescribe an OAC in a range of </w:t>
      </w:r>
      <w:r w:rsidR="002B0A3A" w:rsidRPr="00D561D8">
        <w:rPr>
          <w:color w:val="FF0000"/>
        </w:rPr>
        <w:t>patients with AF</w:t>
      </w:r>
      <w:r w:rsidRPr="00D561D8">
        <w:rPr>
          <w:color w:val="FF0000"/>
        </w:rPr>
        <w:t xml:space="preserve">. </w:t>
      </w:r>
      <w:r w:rsidR="00B36EBC" w:rsidRPr="00D561D8">
        <w:rPr>
          <w:color w:val="FF0000"/>
        </w:rPr>
        <w:t xml:space="preserve">If found </w:t>
      </w:r>
      <w:r w:rsidR="00C314AC" w:rsidRPr="00D561D8">
        <w:rPr>
          <w:color w:val="FF0000"/>
        </w:rPr>
        <w:t xml:space="preserve">that when </w:t>
      </w:r>
      <w:proofErr w:type="spellStart"/>
      <w:r w:rsidR="00C314AC" w:rsidRPr="00D561D8">
        <w:rPr>
          <w:color w:val="FF0000"/>
        </w:rPr>
        <w:t>rivaroxaban</w:t>
      </w:r>
      <w:proofErr w:type="spellEnd"/>
      <w:r w:rsidR="00C314AC" w:rsidRPr="00D561D8">
        <w:rPr>
          <w:color w:val="FF0000"/>
        </w:rPr>
        <w:t xml:space="preserve"> or </w:t>
      </w:r>
      <w:proofErr w:type="spellStart"/>
      <w:r w:rsidR="00C314AC" w:rsidRPr="00D561D8">
        <w:rPr>
          <w:color w:val="FF0000"/>
        </w:rPr>
        <w:t>dabigatran</w:t>
      </w:r>
      <w:proofErr w:type="spellEnd"/>
      <w:r w:rsidRPr="00D561D8">
        <w:rPr>
          <w:color w:val="FF0000"/>
        </w:rPr>
        <w:t xml:space="preserve"> </w:t>
      </w:r>
      <w:r w:rsidR="00C314AC" w:rsidRPr="00D561D8">
        <w:rPr>
          <w:color w:val="FF0000"/>
        </w:rPr>
        <w:t xml:space="preserve">is </w:t>
      </w:r>
      <w:r w:rsidR="00B36EBC" w:rsidRPr="00D561D8">
        <w:rPr>
          <w:color w:val="FF0000"/>
        </w:rPr>
        <w:t>the OAC</w:t>
      </w:r>
      <w:r w:rsidRPr="00D561D8">
        <w:rPr>
          <w:color w:val="FF0000"/>
        </w:rPr>
        <w:t xml:space="preserve"> of choice then it appears cost-effective to us</w:t>
      </w:r>
      <w:r w:rsidR="00B36EBC" w:rsidRPr="00D561D8">
        <w:rPr>
          <w:color w:val="FF0000"/>
        </w:rPr>
        <w:t>e TTE in patients aged 65 years; when warfarin is the OAC of choice, then the addition of TTE does not appear cost-effective at standard willingness to pay thresholds of either £20,000/QALY or £30,000/QALY.</w:t>
      </w:r>
      <w:r w:rsidRPr="00D561D8">
        <w:rPr>
          <w:color w:val="FF0000"/>
        </w:rPr>
        <w:t xml:space="preserve"> </w:t>
      </w:r>
      <w:r w:rsidR="002B0A3A" w:rsidRPr="00D561D8">
        <w:rPr>
          <w:color w:val="FF0000"/>
        </w:rPr>
        <w:t>T</w:t>
      </w:r>
      <w:r w:rsidRPr="00D561D8">
        <w:rPr>
          <w:color w:val="FF0000"/>
        </w:rPr>
        <w:t>hese results suggest that</w:t>
      </w:r>
      <w:r w:rsidR="00B36EBC" w:rsidRPr="00D561D8">
        <w:rPr>
          <w:color w:val="FF0000"/>
        </w:rPr>
        <w:t xml:space="preserve"> if considering prescribing a newer OAC</w:t>
      </w:r>
      <w:r w:rsidRPr="00D561D8">
        <w:rPr>
          <w:color w:val="FF0000"/>
        </w:rPr>
        <w:t xml:space="preserve">, it may be both clinically effective and cost effective to use TTE to help inform the decision in all but the patients with the lowest </w:t>
      </w:r>
      <w:r w:rsidR="00620AA2" w:rsidRPr="00D561D8">
        <w:rPr>
          <w:color w:val="FF0000"/>
        </w:rPr>
        <w:t xml:space="preserve">estimated </w:t>
      </w:r>
      <w:r w:rsidRPr="00D561D8">
        <w:rPr>
          <w:color w:val="FF0000"/>
        </w:rPr>
        <w:t>stroke risk.</w:t>
      </w:r>
    </w:p>
    <w:p w:rsidR="00155DF4" w:rsidRPr="00532F44" w:rsidRDefault="00155DF4" w:rsidP="00EB5B27">
      <w:pPr>
        <w:pStyle w:val="Header"/>
        <w:spacing w:before="60" w:after="60" w:line="360" w:lineRule="auto"/>
        <w:rPr>
          <w:sz w:val="22"/>
          <w:szCs w:val="22"/>
        </w:rPr>
      </w:pPr>
    </w:p>
    <w:p w:rsidR="00D20CA0" w:rsidRPr="00532F44" w:rsidRDefault="00D20CA0">
      <w:pPr>
        <w:pStyle w:val="NormalWeb"/>
        <w:ind w:left="640" w:hanging="640"/>
        <w:divId w:val="570163234"/>
        <w:sectPr w:rsidR="00D20CA0" w:rsidRPr="00532F44" w:rsidSect="001C47C7">
          <w:pgSz w:w="11906" w:h="16838"/>
          <w:pgMar w:top="1440" w:right="1440" w:bottom="1440" w:left="1440" w:header="709" w:footer="709" w:gutter="0"/>
          <w:lnNumType w:countBy="1"/>
          <w:cols w:space="708"/>
          <w:docGrid w:linePitch="360"/>
        </w:sectPr>
      </w:pPr>
    </w:p>
    <w:p w:rsidR="00D20CA0" w:rsidRPr="00532F44" w:rsidRDefault="00D20CA0" w:rsidP="003378D6">
      <w:pPr>
        <w:pStyle w:val="Heading1"/>
        <w:numPr>
          <w:ilvl w:val="0"/>
          <w:numId w:val="0"/>
        </w:numPr>
        <w:divId w:val="570163234"/>
      </w:pPr>
      <w:r w:rsidRPr="00532F44">
        <w:lastRenderedPageBreak/>
        <w:t>References</w:t>
      </w:r>
    </w:p>
    <w:commentRangeStart w:id="3"/>
    <w:p w:rsidR="00253316" w:rsidRPr="00253316" w:rsidRDefault="002F05E5">
      <w:pPr>
        <w:pStyle w:val="NormalWeb"/>
        <w:ind w:left="640" w:hanging="640"/>
        <w:divId w:val="258760943"/>
        <w:rPr>
          <w:rFonts w:ascii="Calibri" w:hAnsi="Calibri"/>
          <w:noProof/>
          <w:sz w:val="22"/>
        </w:rPr>
      </w:pPr>
      <w:r>
        <w:fldChar w:fldCharType="begin" w:fldLock="1"/>
      </w:r>
      <w:r w:rsidR="008E6143">
        <w:instrText xml:space="preserve">ADDIN Mendeley Bibliography CSL_BIBLIOGRAPHY </w:instrText>
      </w:r>
      <w:r>
        <w:fldChar w:fldCharType="separate"/>
      </w:r>
      <w:r w:rsidR="00253316" w:rsidRPr="00253316">
        <w:rPr>
          <w:rFonts w:ascii="Calibri" w:hAnsi="Calibri"/>
          <w:noProof/>
          <w:sz w:val="22"/>
        </w:rPr>
        <w:t xml:space="preserve">1 </w:t>
      </w:r>
      <w:r w:rsidR="00253316" w:rsidRPr="00253316">
        <w:rPr>
          <w:rFonts w:ascii="Calibri" w:hAnsi="Calibri"/>
          <w:noProof/>
          <w:sz w:val="22"/>
        </w:rPr>
        <w:tab/>
        <w:t xml:space="preserve">Go AS, Hylek EM, Phillips KA, </w:t>
      </w:r>
      <w:r w:rsidR="00253316" w:rsidRPr="00253316">
        <w:rPr>
          <w:rFonts w:ascii="Calibri" w:hAnsi="Calibri"/>
          <w:i/>
          <w:iCs/>
          <w:noProof/>
          <w:sz w:val="22"/>
        </w:rPr>
        <w:t>et al.</w:t>
      </w:r>
      <w:r w:rsidR="00253316" w:rsidRPr="00253316">
        <w:rPr>
          <w:rFonts w:ascii="Calibri" w:hAnsi="Calibri"/>
          <w:noProof/>
          <w:sz w:val="22"/>
        </w:rPr>
        <w:t xml:space="preserve"> Prevalence of diagnosed atrial fibrillation in adults: national implications for rhythm management and stroke prevention: the AnTicoagulation and Risk Factors in Atrial Fibrillation (ATRIA) Study. </w:t>
      </w:r>
      <w:r w:rsidR="00253316" w:rsidRPr="00253316">
        <w:rPr>
          <w:rFonts w:ascii="Calibri" w:hAnsi="Calibri"/>
          <w:i/>
          <w:iCs/>
          <w:noProof/>
          <w:sz w:val="22"/>
        </w:rPr>
        <w:t>JAMA : the journal of the American Medical Association</w:t>
      </w:r>
      <w:r w:rsidR="00253316" w:rsidRPr="00253316">
        <w:rPr>
          <w:rFonts w:ascii="Calibri" w:hAnsi="Calibri"/>
          <w:noProof/>
          <w:sz w:val="22"/>
        </w:rPr>
        <w:t xml:space="preserve"> 2001;</w:t>
      </w:r>
      <w:r w:rsidR="00253316" w:rsidRPr="00253316">
        <w:rPr>
          <w:rFonts w:ascii="Calibri" w:hAnsi="Calibri"/>
          <w:b/>
          <w:bCs/>
          <w:noProof/>
          <w:sz w:val="22"/>
        </w:rPr>
        <w:t>285</w:t>
      </w:r>
      <w:r w:rsidR="00253316" w:rsidRPr="00253316">
        <w:rPr>
          <w:rFonts w:ascii="Calibri" w:hAnsi="Calibri"/>
          <w:noProof/>
          <w:sz w:val="22"/>
        </w:rPr>
        <w:t>:2370–5.</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 </w:t>
      </w:r>
      <w:r w:rsidRPr="00253316">
        <w:rPr>
          <w:rFonts w:ascii="Calibri" w:hAnsi="Calibri"/>
          <w:noProof/>
          <w:sz w:val="22"/>
        </w:rPr>
        <w:tab/>
        <w:t xml:space="preserve">Rivaroxaban-once daily, oral, direct factor Xa inhibition compared with vitamin K antagonism for prevention of stroke and Embolism Trial in Atrial Fibrillation: rationale and design of the ROCKET AF study. </w:t>
      </w:r>
      <w:r w:rsidRPr="00253316">
        <w:rPr>
          <w:rFonts w:ascii="Calibri" w:hAnsi="Calibri"/>
          <w:i/>
          <w:iCs/>
          <w:noProof/>
          <w:sz w:val="22"/>
        </w:rPr>
        <w:t>American heart journal</w:t>
      </w:r>
      <w:r w:rsidRPr="00253316">
        <w:rPr>
          <w:rFonts w:ascii="Calibri" w:hAnsi="Calibri"/>
          <w:noProof/>
          <w:sz w:val="22"/>
        </w:rPr>
        <w:t xml:space="preserve"> 2010;</w:t>
      </w:r>
      <w:r w:rsidRPr="00253316">
        <w:rPr>
          <w:rFonts w:ascii="Calibri" w:hAnsi="Calibri"/>
          <w:b/>
          <w:bCs/>
          <w:noProof/>
          <w:sz w:val="22"/>
        </w:rPr>
        <w:t>159</w:t>
      </w:r>
      <w:r w:rsidRPr="00253316">
        <w:rPr>
          <w:rFonts w:ascii="Calibri" w:hAnsi="Calibri"/>
          <w:noProof/>
          <w:sz w:val="22"/>
        </w:rPr>
        <w:t>:340–347.e1.</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3 </w:t>
      </w:r>
      <w:r w:rsidRPr="00253316">
        <w:rPr>
          <w:rFonts w:ascii="Calibri" w:hAnsi="Calibri"/>
          <w:noProof/>
          <w:sz w:val="22"/>
        </w:rPr>
        <w:tab/>
        <w:t xml:space="preserve">Camm AJ, Kirchhof P, Lip GY, </w:t>
      </w:r>
      <w:r w:rsidRPr="00253316">
        <w:rPr>
          <w:rFonts w:ascii="Calibri" w:hAnsi="Calibri"/>
          <w:i/>
          <w:iCs/>
          <w:noProof/>
          <w:sz w:val="22"/>
        </w:rPr>
        <w:t>et al.</w:t>
      </w:r>
      <w:r w:rsidRPr="00253316">
        <w:rPr>
          <w:rFonts w:ascii="Calibri" w:hAnsi="Calibri"/>
          <w:noProof/>
          <w:sz w:val="22"/>
        </w:rPr>
        <w:t xml:space="preserve"> Guidelines for the management of atrial fibrillation: the Task Force for the Management of Atrial Fibrillation of the European Society of Cardiology (ESC). </w:t>
      </w:r>
      <w:r w:rsidRPr="00253316">
        <w:rPr>
          <w:rFonts w:ascii="Calibri" w:hAnsi="Calibri"/>
          <w:i/>
          <w:iCs/>
          <w:noProof/>
          <w:sz w:val="22"/>
        </w:rPr>
        <w:t>Eur Heart J</w:t>
      </w:r>
      <w:r w:rsidRPr="00253316">
        <w:rPr>
          <w:rFonts w:ascii="Calibri" w:hAnsi="Calibri"/>
          <w:noProof/>
          <w:sz w:val="22"/>
        </w:rPr>
        <w:t xml:space="preserve"> 2010;</w:t>
      </w:r>
      <w:r w:rsidRPr="00253316">
        <w:rPr>
          <w:rFonts w:ascii="Calibri" w:hAnsi="Calibri"/>
          <w:b/>
          <w:bCs/>
          <w:noProof/>
          <w:sz w:val="22"/>
        </w:rPr>
        <w:t>31</w:t>
      </w:r>
      <w:r w:rsidRPr="00253316">
        <w:rPr>
          <w:rFonts w:ascii="Calibri" w:hAnsi="Calibri"/>
          <w:noProof/>
          <w:sz w:val="22"/>
        </w:rPr>
        <w:t>:2369–429.</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4 </w:t>
      </w:r>
      <w:r w:rsidRPr="00253316">
        <w:rPr>
          <w:rFonts w:ascii="Calibri" w:hAnsi="Calibri"/>
          <w:noProof/>
          <w:sz w:val="22"/>
        </w:rPr>
        <w:tab/>
        <w:t xml:space="preserve">Camm AJ, Lip GYH, De Caterina R, </w:t>
      </w:r>
      <w:r w:rsidRPr="00253316">
        <w:rPr>
          <w:rFonts w:ascii="Calibri" w:hAnsi="Calibri"/>
          <w:i/>
          <w:iCs/>
          <w:noProof/>
          <w:sz w:val="22"/>
        </w:rPr>
        <w:t>et al.</w:t>
      </w:r>
      <w:r w:rsidRPr="00253316">
        <w:rPr>
          <w:rFonts w:ascii="Calibri" w:hAnsi="Calibri"/>
          <w:noProof/>
          <w:sz w:val="22"/>
        </w:rPr>
        <w:t xml:space="preserve"> 2012 focused update of the ESC Guidelines for the management of atrial fibrillation: An update of the 2010 ESC Guidelines for the management of atrial fibrillation * Developed with the special contribution of the European Heart Rhythm Association. </w:t>
      </w:r>
      <w:r w:rsidRPr="00253316">
        <w:rPr>
          <w:rFonts w:ascii="Calibri" w:hAnsi="Calibri"/>
          <w:i/>
          <w:iCs/>
          <w:noProof/>
          <w:sz w:val="22"/>
        </w:rPr>
        <w:t>European heart journal</w:t>
      </w:r>
      <w:r w:rsidRPr="00253316">
        <w:rPr>
          <w:rFonts w:ascii="Calibri" w:hAnsi="Calibri"/>
          <w:noProof/>
          <w:sz w:val="22"/>
        </w:rPr>
        <w:t xml:space="preserve"> Published Online First: 24 August 2012. doi:10.1093/eurheartj/ehs253</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5 </w:t>
      </w:r>
      <w:r w:rsidRPr="00253316">
        <w:rPr>
          <w:rFonts w:ascii="Calibri" w:hAnsi="Calibri"/>
          <w:noProof/>
          <w:sz w:val="22"/>
        </w:rPr>
        <w:tab/>
        <w:t xml:space="preserve">Transesophageal echocardiographic correlates of thromboembolism in high-risk patients with nonvalvular atrial fibrillation. The Stroke Prevention in Atrial Fibrillation Investigators Committee on Echocardiography. </w:t>
      </w:r>
      <w:r w:rsidRPr="00253316">
        <w:rPr>
          <w:rFonts w:ascii="Calibri" w:hAnsi="Calibri"/>
          <w:i/>
          <w:iCs/>
          <w:noProof/>
          <w:sz w:val="22"/>
        </w:rPr>
        <w:t>Ann Intern Med</w:t>
      </w:r>
      <w:r w:rsidRPr="00253316">
        <w:rPr>
          <w:rFonts w:ascii="Calibri" w:hAnsi="Calibri"/>
          <w:noProof/>
          <w:sz w:val="22"/>
        </w:rPr>
        <w:t xml:space="preserve"> 1998;</w:t>
      </w:r>
      <w:r w:rsidRPr="00253316">
        <w:rPr>
          <w:rFonts w:ascii="Calibri" w:hAnsi="Calibri"/>
          <w:b/>
          <w:bCs/>
          <w:noProof/>
          <w:sz w:val="22"/>
        </w:rPr>
        <w:t>128</w:t>
      </w:r>
      <w:r w:rsidRPr="00253316">
        <w:rPr>
          <w:rFonts w:ascii="Calibri" w:hAnsi="Calibri"/>
          <w:noProof/>
          <w:sz w:val="22"/>
        </w:rPr>
        <w:t>:639–47.</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6 </w:t>
      </w:r>
      <w:r w:rsidRPr="00253316">
        <w:rPr>
          <w:rFonts w:ascii="Calibri" w:hAnsi="Calibri"/>
          <w:noProof/>
          <w:sz w:val="22"/>
        </w:rPr>
        <w:tab/>
        <w:t xml:space="preserve">Providencia R, Botelho A, Trigo J, </w:t>
      </w:r>
      <w:r w:rsidRPr="00253316">
        <w:rPr>
          <w:rFonts w:ascii="Calibri" w:hAnsi="Calibri"/>
          <w:i/>
          <w:iCs/>
          <w:noProof/>
          <w:sz w:val="22"/>
        </w:rPr>
        <w:t>et al.</w:t>
      </w:r>
      <w:r w:rsidRPr="00253316">
        <w:rPr>
          <w:rFonts w:ascii="Calibri" w:hAnsi="Calibri"/>
          <w:noProof/>
          <w:sz w:val="22"/>
        </w:rPr>
        <w:t xml:space="preserve"> Possible refinement of clinical thromboembolism assessment in patients with atrial fibrillation using echocardiographic parameters. </w:t>
      </w:r>
      <w:r w:rsidRPr="00253316">
        <w:rPr>
          <w:rFonts w:ascii="Calibri" w:hAnsi="Calibri"/>
          <w:i/>
          <w:iCs/>
          <w:noProof/>
          <w:sz w:val="22"/>
        </w:rPr>
        <w:t>Europace</w:t>
      </w:r>
      <w:r w:rsidRPr="00253316">
        <w:rPr>
          <w:rFonts w:ascii="Calibri" w:hAnsi="Calibri"/>
          <w:noProof/>
          <w:sz w:val="22"/>
        </w:rPr>
        <w:t xml:space="preserve"> 2012;</w:t>
      </w:r>
      <w:r w:rsidRPr="00253316">
        <w:rPr>
          <w:rFonts w:ascii="Calibri" w:hAnsi="Calibri"/>
          <w:b/>
          <w:bCs/>
          <w:noProof/>
          <w:sz w:val="22"/>
        </w:rPr>
        <w:t>14</w:t>
      </w:r>
      <w:r w:rsidRPr="00253316">
        <w:rPr>
          <w:rFonts w:ascii="Calibri" w:hAnsi="Calibri"/>
          <w:noProof/>
          <w:sz w:val="22"/>
        </w:rPr>
        <w:t>:36–45.</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7 </w:t>
      </w:r>
      <w:r w:rsidRPr="00253316">
        <w:rPr>
          <w:rFonts w:ascii="Calibri" w:hAnsi="Calibri"/>
          <w:noProof/>
          <w:sz w:val="22"/>
        </w:rPr>
        <w:tab/>
        <w:t>NICE. Guide to the methods of technology appraisal. NICE methods guide. 2008;:80.</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8 </w:t>
      </w:r>
      <w:r w:rsidRPr="00253316">
        <w:rPr>
          <w:rFonts w:ascii="Calibri" w:hAnsi="Calibri"/>
          <w:noProof/>
          <w:sz w:val="22"/>
        </w:rPr>
        <w:tab/>
        <w:t>NICE. Rivaroxaban for the prevention of stroke and systemic embolism in people with atrial fibrillation. NICE technology appraisal guidance 256. 2012.http://www.nice.org.uk/nicemedia/live/13746/59295/59295.pdf (accessed 28 Sep2012).</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9 </w:t>
      </w:r>
      <w:r w:rsidRPr="00253316">
        <w:rPr>
          <w:rFonts w:ascii="Calibri" w:hAnsi="Calibri"/>
          <w:noProof/>
          <w:sz w:val="22"/>
        </w:rPr>
        <w:tab/>
        <w:t>NICE. Dabigatran etexilate for the prevention of stroke and systemic embolism in atrial fibrillation. NICE technology appraisal guidance 249. 2012.http://www.nice.org.uk/nicemedia/live/13677/58470/58470.pdf (accessed 28 Sep2012).</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10 </w:t>
      </w:r>
      <w:r w:rsidRPr="00253316">
        <w:rPr>
          <w:rFonts w:ascii="Calibri" w:hAnsi="Calibri"/>
          <w:noProof/>
          <w:sz w:val="22"/>
        </w:rPr>
        <w:tab/>
        <w:t xml:space="preserve">Simpson EL, Stevenson MD, Scope A, </w:t>
      </w:r>
      <w:r w:rsidRPr="00253316">
        <w:rPr>
          <w:rFonts w:ascii="Calibri" w:hAnsi="Calibri"/>
          <w:i/>
          <w:iCs/>
          <w:noProof/>
          <w:sz w:val="22"/>
        </w:rPr>
        <w:t>et al.</w:t>
      </w:r>
      <w:r w:rsidRPr="00253316">
        <w:rPr>
          <w:rFonts w:ascii="Calibri" w:hAnsi="Calibri"/>
          <w:noProof/>
          <w:sz w:val="22"/>
        </w:rPr>
        <w:t xml:space="preserve"> Echocardiography in newly diagnosed atrial fibrillation patients: a systematic review and economic evaluation. 2012. </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11 </w:t>
      </w:r>
      <w:r w:rsidRPr="00253316">
        <w:rPr>
          <w:rFonts w:ascii="Calibri" w:hAnsi="Calibri"/>
          <w:noProof/>
          <w:sz w:val="22"/>
        </w:rPr>
        <w:tab/>
        <w:t xml:space="preserve">PVS TM-STF on. Medical aspects of the persistent vegetative state: second of two parts. </w:t>
      </w:r>
      <w:r w:rsidRPr="00253316">
        <w:rPr>
          <w:rFonts w:ascii="Calibri" w:hAnsi="Calibri"/>
          <w:i/>
          <w:iCs/>
          <w:noProof/>
          <w:sz w:val="22"/>
        </w:rPr>
        <w:t>The New England Journal of Medicine</w:t>
      </w:r>
      <w:r w:rsidRPr="00253316">
        <w:rPr>
          <w:rFonts w:ascii="Calibri" w:hAnsi="Calibri"/>
          <w:noProof/>
          <w:sz w:val="22"/>
        </w:rPr>
        <w:t xml:space="preserve"> 1994;</w:t>
      </w:r>
      <w:r w:rsidRPr="00253316">
        <w:rPr>
          <w:rFonts w:ascii="Calibri" w:hAnsi="Calibri"/>
          <w:b/>
          <w:bCs/>
          <w:noProof/>
          <w:sz w:val="22"/>
        </w:rPr>
        <w:t>330</w:t>
      </w:r>
      <w:r w:rsidRPr="00253316">
        <w:rPr>
          <w:rFonts w:ascii="Calibri" w:hAnsi="Calibri"/>
          <w:noProof/>
          <w:sz w:val="22"/>
        </w:rPr>
        <w:t>.http://www.nejm.org/doi/full/10.1056/NEJM199406023302206</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12 </w:t>
      </w:r>
      <w:r w:rsidRPr="00253316">
        <w:rPr>
          <w:rFonts w:ascii="Calibri" w:hAnsi="Calibri"/>
          <w:noProof/>
          <w:sz w:val="22"/>
        </w:rPr>
        <w:tab/>
        <w:t xml:space="preserve">Eikelboom JW, Wallentin L, Connolly SJ, </w:t>
      </w:r>
      <w:r w:rsidRPr="00253316">
        <w:rPr>
          <w:rFonts w:ascii="Calibri" w:hAnsi="Calibri"/>
          <w:i/>
          <w:iCs/>
          <w:noProof/>
          <w:sz w:val="22"/>
        </w:rPr>
        <w:t>et al.</w:t>
      </w:r>
      <w:r w:rsidRPr="00253316">
        <w:rPr>
          <w:rFonts w:ascii="Calibri" w:hAnsi="Calibri"/>
          <w:noProof/>
          <w:sz w:val="22"/>
        </w:rPr>
        <w:t xml:space="preserve"> Risk of bleeding with 2 doses of dabigatran compared with warfarin in older and younger patients with atrial fibrillation: an analysis of </w:t>
      </w:r>
      <w:r w:rsidRPr="00253316">
        <w:rPr>
          <w:rFonts w:ascii="Calibri" w:hAnsi="Calibri"/>
          <w:noProof/>
          <w:sz w:val="22"/>
        </w:rPr>
        <w:lastRenderedPageBreak/>
        <w:t xml:space="preserve">the randomized evaluation of long-term anticoagulant therapy (RE-LY) trial. </w:t>
      </w:r>
      <w:r w:rsidRPr="00253316">
        <w:rPr>
          <w:rFonts w:ascii="Calibri" w:hAnsi="Calibri"/>
          <w:i/>
          <w:iCs/>
          <w:noProof/>
          <w:sz w:val="22"/>
        </w:rPr>
        <w:t>Circulation</w:t>
      </w:r>
      <w:r w:rsidRPr="00253316">
        <w:rPr>
          <w:rFonts w:ascii="Calibri" w:hAnsi="Calibri"/>
          <w:noProof/>
          <w:sz w:val="22"/>
        </w:rPr>
        <w:t xml:space="preserve"> 2011;</w:t>
      </w:r>
      <w:r w:rsidRPr="00253316">
        <w:rPr>
          <w:rFonts w:ascii="Calibri" w:hAnsi="Calibri"/>
          <w:b/>
          <w:bCs/>
          <w:noProof/>
          <w:sz w:val="22"/>
        </w:rPr>
        <w:t>123</w:t>
      </w:r>
      <w:r w:rsidRPr="00253316">
        <w:rPr>
          <w:rFonts w:ascii="Calibri" w:hAnsi="Calibri"/>
          <w:noProof/>
          <w:sz w:val="22"/>
        </w:rPr>
        <w:t>:2363–72.</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13 </w:t>
      </w:r>
      <w:r w:rsidRPr="00253316">
        <w:rPr>
          <w:rFonts w:ascii="Calibri" w:hAnsi="Calibri"/>
          <w:noProof/>
          <w:sz w:val="22"/>
        </w:rPr>
        <w:tab/>
        <w:t>NICE. Guide to the methods of technology appraisal. 2008.http://www.nice.org.uk/media/B52/A7/TAMethodsGuideUpdatedJune2008.pdf</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14 </w:t>
      </w:r>
      <w:r w:rsidRPr="00253316">
        <w:rPr>
          <w:rFonts w:ascii="Calibri" w:hAnsi="Calibri"/>
          <w:noProof/>
          <w:sz w:val="22"/>
        </w:rPr>
        <w:tab/>
        <w:t xml:space="preserve">Inglehart D. Simulating stable stochastic systems, V: Comparison of ratio estimators. </w:t>
      </w:r>
      <w:r w:rsidRPr="00253316">
        <w:rPr>
          <w:rFonts w:ascii="Calibri" w:hAnsi="Calibri"/>
          <w:i/>
          <w:iCs/>
          <w:noProof/>
          <w:sz w:val="22"/>
        </w:rPr>
        <w:t>Naval Research Logistics</w:t>
      </w:r>
      <w:r w:rsidRPr="00253316">
        <w:rPr>
          <w:rFonts w:ascii="Calibri" w:hAnsi="Calibri"/>
          <w:noProof/>
          <w:sz w:val="22"/>
        </w:rPr>
        <w:t xml:space="preserve"> 1975;</w:t>
      </w:r>
      <w:r w:rsidRPr="00253316">
        <w:rPr>
          <w:rFonts w:ascii="Calibri" w:hAnsi="Calibri"/>
          <w:b/>
          <w:bCs/>
          <w:noProof/>
          <w:sz w:val="22"/>
        </w:rPr>
        <w:t>22</w:t>
      </w:r>
      <w:r w:rsidRPr="00253316">
        <w:rPr>
          <w:rFonts w:ascii="Calibri" w:hAnsi="Calibri"/>
          <w:noProof/>
          <w:sz w:val="22"/>
        </w:rPr>
        <w:t>:553–65.</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15 </w:t>
      </w:r>
      <w:r w:rsidRPr="00253316">
        <w:rPr>
          <w:rFonts w:ascii="Calibri" w:hAnsi="Calibri"/>
          <w:noProof/>
          <w:sz w:val="22"/>
        </w:rPr>
        <w:tab/>
        <w:t xml:space="preserve">Lip GY, Nieuwlaat R, Pisters R, </w:t>
      </w:r>
      <w:r w:rsidRPr="00253316">
        <w:rPr>
          <w:rFonts w:ascii="Calibri" w:hAnsi="Calibri"/>
          <w:i/>
          <w:iCs/>
          <w:noProof/>
          <w:sz w:val="22"/>
        </w:rPr>
        <w:t>et al.</w:t>
      </w:r>
      <w:r w:rsidRPr="00253316">
        <w:rPr>
          <w:rFonts w:ascii="Calibri" w:hAnsi="Calibri"/>
          <w:noProof/>
          <w:sz w:val="22"/>
        </w:rPr>
        <w:t xml:space="preserve"> Refining clinical risk stratification for predicting stroke and thromboembolism in atrial fibrillation using a novel risk factor-based approach: the euro heart survey on atrial fibrillation. </w:t>
      </w:r>
      <w:r w:rsidRPr="00253316">
        <w:rPr>
          <w:rFonts w:ascii="Calibri" w:hAnsi="Calibri"/>
          <w:i/>
          <w:iCs/>
          <w:noProof/>
          <w:sz w:val="22"/>
        </w:rPr>
        <w:t>Chest</w:t>
      </w:r>
      <w:r w:rsidRPr="00253316">
        <w:rPr>
          <w:rFonts w:ascii="Calibri" w:hAnsi="Calibri"/>
          <w:noProof/>
          <w:sz w:val="22"/>
        </w:rPr>
        <w:t xml:space="preserve"> 2010;</w:t>
      </w:r>
      <w:r w:rsidRPr="00253316">
        <w:rPr>
          <w:rFonts w:ascii="Calibri" w:hAnsi="Calibri"/>
          <w:b/>
          <w:bCs/>
          <w:noProof/>
          <w:sz w:val="22"/>
        </w:rPr>
        <w:t>137</w:t>
      </w:r>
      <w:r w:rsidRPr="00253316">
        <w:rPr>
          <w:rFonts w:ascii="Calibri" w:hAnsi="Calibri"/>
          <w:noProof/>
          <w:sz w:val="22"/>
        </w:rPr>
        <w:t>:263–72.</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16 </w:t>
      </w:r>
      <w:r w:rsidRPr="00253316">
        <w:rPr>
          <w:rFonts w:ascii="Calibri" w:hAnsi="Calibri"/>
          <w:noProof/>
          <w:sz w:val="22"/>
        </w:rPr>
        <w:tab/>
        <w:t xml:space="preserve">Olesen JB, Lip GYH, Hansen ML, </w:t>
      </w:r>
      <w:r w:rsidRPr="00253316">
        <w:rPr>
          <w:rFonts w:ascii="Calibri" w:hAnsi="Calibri"/>
          <w:i/>
          <w:iCs/>
          <w:noProof/>
          <w:sz w:val="22"/>
        </w:rPr>
        <w:t>et al.</w:t>
      </w:r>
      <w:r w:rsidRPr="00253316">
        <w:rPr>
          <w:rFonts w:ascii="Calibri" w:hAnsi="Calibri"/>
          <w:noProof/>
          <w:sz w:val="22"/>
        </w:rPr>
        <w:t xml:space="preserve"> Validation of risk stratification schemes for predicting stroke and thromboembolism in patients with atrial fibrillation: nationwide cohort study. </w:t>
      </w:r>
      <w:r w:rsidRPr="00253316">
        <w:rPr>
          <w:rFonts w:ascii="Calibri" w:hAnsi="Calibri"/>
          <w:i/>
          <w:iCs/>
          <w:noProof/>
          <w:sz w:val="22"/>
        </w:rPr>
        <w:t>BMJ</w:t>
      </w:r>
      <w:r w:rsidRPr="00253316">
        <w:rPr>
          <w:rFonts w:ascii="Calibri" w:hAnsi="Calibri"/>
          <w:noProof/>
          <w:sz w:val="22"/>
        </w:rPr>
        <w:t xml:space="preserve"> 2011;</w:t>
      </w:r>
      <w:r w:rsidRPr="00253316">
        <w:rPr>
          <w:rFonts w:ascii="Calibri" w:hAnsi="Calibri"/>
          <w:b/>
          <w:bCs/>
          <w:noProof/>
          <w:sz w:val="22"/>
        </w:rPr>
        <w:t>342</w:t>
      </w:r>
      <w:r w:rsidRPr="00253316">
        <w:rPr>
          <w:rFonts w:ascii="Calibri" w:hAnsi="Calibri"/>
          <w:noProof/>
          <w:sz w:val="22"/>
        </w:rPr>
        <w:t>:d124–d124.</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17 </w:t>
      </w:r>
      <w:r w:rsidRPr="00253316">
        <w:rPr>
          <w:rFonts w:ascii="Calibri" w:hAnsi="Calibri"/>
          <w:noProof/>
          <w:sz w:val="22"/>
        </w:rPr>
        <w:tab/>
        <w:t>ONS. Interim Life Tables. 2011;</w:t>
      </w:r>
      <w:r w:rsidRPr="00253316">
        <w:rPr>
          <w:rFonts w:ascii="Calibri" w:hAnsi="Calibri"/>
          <w:b/>
          <w:bCs/>
          <w:noProof/>
          <w:sz w:val="22"/>
        </w:rPr>
        <w:t>2012</w:t>
      </w:r>
      <w:r w:rsidRPr="00253316">
        <w:rPr>
          <w:rFonts w:ascii="Calibri" w:hAnsi="Calibri"/>
          <w:noProof/>
          <w:sz w:val="22"/>
        </w:rPr>
        <w:t>.http://www.ons.gov.uk/ons/taxonomy/index.html?nscl=Interim+Life+Tables</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18 </w:t>
      </w:r>
      <w:r w:rsidRPr="00253316">
        <w:rPr>
          <w:rFonts w:ascii="Calibri" w:hAnsi="Calibri"/>
          <w:noProof/>
          <w:sz w:val="22"/>
        </w:rPr>
        <w:tab/>
        <w:t xml:space="preserve">Friberg L, Rosenqvist M, Lip GYH. Evaluation of risk stratification schemes for ischaemic stroke and bleeding in 182 678 patients with atrial fibrillation: the Swedish Atrial Fibrillation cohort study. </w:t>
      </w:r>
      <w:r w:rsidRPr="00253316">
        <w:rPr>
          <w:rFonts w:ascii="Calibri" w:hAnsi="Calibri"/>
          <w:i/>
          <w:iCs/>
          <w:noProof/>
          <w:sz w:val="22"/>
        </w:rPr>
        <w:t>European heart journal</w:t>
      </w:r>
      <w:r w:rsidRPr="00253316">
        <w:rPr>
          <w:rFonts w:ascii="Calibri" w:hAnsi="Calibri"/>
          <w:noProof/>
          <w:sz w:val="22"/>
        </w:rPr>
        <w:t xml:space="preserve"> Published Online First: 13 January 2012. doi:10.1093/eurheartj/ehr488</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19 </w:t>
      </w:r>
      <w:r w:rsidRPr="00253316">
        <w:rPr>
          <w:rFonts w:ascii="Calibri" w:hAnsi="Calibri"/>
          <w:noProof/>
          <w:sz w:val="22"/>
        </w:rPr>
        <w:tab/>
        <w:t xml:space="preserve">Connolly SJ, Ezekowitz MD, Yusuf S, </w:t>
      </w:r>
      <w:r w:rsidRPr="00253316">
        <w:rPr>
          <w:rFonts w:ascii="Calibri" w:hAnsi="Calibri"/>
          <w:i/>
          <w:iCs/>
          <w:noProof/>
          <w:sz w:val="22"/>
        </w:rPr>
        <w:t>et al.</w:t>
      </w:r>
      <w:r w:rsidRPr="00253316">
        <w:rPr>
          <w:rFonts w:ascii="Calibri" w:hAnsi="Calibri"/>
          <w:noProof/>
          <w:sz w:val="22"/>
        </w:rPr>
        <w:t xml:space="preserve"> Dabigatran versus warfarin in patients with atrial fibrillation. </w:t>
      </w:r>
      <w:r w:rsidRPr="00253316">
        <w:rPr>
          <w:rFonts w:ascii="Calibri" w:hAnsi="Calibri"/>
          <w:i/>
          <w:iCs/>
          <w:noProof/>
          <w:sz w:val="22"/>
        </w:rPr>
        <w:t>N Engl J Med</w:t>
      </w:r>
      <w:r w:rsidRPr="00253316">
        <w:rPr>
          <w:rFonts w:ascii="Calibri" w:hAnsi="Calibri"/>
          <w:noProof/>
          <w:sz w:val="22"/>
        </w:rPr>
        <w:t xml:space="preserve"> 2009;</w:t>
      </w:r>
      <w:r w:rsidRPr="00253316">
        <w:rPr>
          <w:rFonts w:ascii="Calibri" w:hAnsi="Calibri"/>
          <w:b/>
          <w:bCs/>
          <w:noProof/>
          <w:sz w:val="22"/>
        </w:rPr>
        <w:t>361</w:t>
      </w:r>
      <w:r w:rsidRPr="00253316">
        <w:rPr>
          <w:rFonts w:ascii="Calibri" w:hAnsi="Calibri"/>
          <w:noProof/>
          <w:sz w:val="22"/>
        </w:rPr>
        <w:t>:1139–51.</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20 </w:t>
      </w:r>
      <w:r w:rsidRPr="00253316">
        <w:rPr>
          <w:rFonts w:ascii="Calibri" w:hAnsi="Calibri"/>
          <w:noProof/>
          <w:sz w:val="22"/>
        </w:rPr>
        <w:tab/>
        <w:t xml:space="preserve">Lip GYH, Edwards SJ. Stroke prevention with aspirin, warfarin and ximelagatran in patients with non-valvular atrial fibrillation: a systematic review and meta-analysis. </w:t>
      </w:r>
      <w:r w:rsidRPr="00253316">
        <w:rPr>
          <w:rFonts w:ascii="Calibri" w:hAnsi="Calibri"/>
          <w:i/>
          <w:iCs/>
          <w:noProof/>
          <w:sz w:val="22"/>
        </w:rPr>
        <w:t>Thrombosis research</w:t>
      </w:r>
      <w:r w:rsidRPr="00253316">
        <w:rPr>
          <w:rFonts w:ascii="Calibri" w:hAnsi="Calibri"/>
          <w:noProof/>
          <w:sz w:val="22"/>
        </w:rPr>
        <w:t xml:space="preserve"> 2006;</w:t>
      </w:r>
      <w:r w:rsidRPr="00253316">
        <w:rPr>
          <w:rFonts w:ascii="Calibri" w:hAnsi="Calibri"/>
          <w:b/>
          <w:bCs/>
          <w:noProof/>
          <w:sz w:val="22"/>
        </w:rPr>
        <w:t>118</w:t>
      </w:r>
      <w:r w:rsidRPr="00253316">
        <w:rPr>
          <w:rFonts w:ascii="Calibri" w:hAnsi="Calibri"/>
          <w:noProof/>
          <w:sz w:val="22"/>
        </w:rPr>
        <w:t>:321–33.</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21 </w:t>
      </w:r>
      <w:r w:rsidRPr="00253316">
        <w:rPr>
          <w:rFonts w:ascii="Calibri" w:hAnsi="Calibri"/>
          <w:noProof/>
          <w:sz w:val="22"/>
        </w:rPr>
        <w:tab/>
        <w:t xml:space="preserve">Patel MR, Mahaffey KW, Garg J, </w:t>
      </w:r>
      <w:r w:rsidRPr="00253316">
        <w:rPr>
          <w:rFonts w:ascii="Calibri" w:hAnsi="Calibri"/>
          <w:i/>
          <w:iCs/>
          <w:noProof/>
          <w:sz w:val="22"/>
        </w:rPr>
        <w:t>et al.</w:t>
      </w:r>
      <w:r w:rsidRPr="00253316">
        <w:rPr>
          <w:rFonts w:ascii="Calibri" w:hAnsi="Calibri"/>
          <w:noProof/>
          <w:sz w:val="22"/>
        </w:rPr>
        <w:t xml:space="preserve"> Rivaroxaban versus Warfarin in Nonvalvular Atrial Fibrillation. </w:t>
      </w:r>
      <w:r w:rsidRPr="00253316">
        <w:rPr>
          <w:rFonts w:ascii="Calibri" w:hAnsi="Calibri"/>
          <w:i/>
          <w:iCs/>
          <w:noProof/>
          <w:sz w:val="22"/>
        </w:rPr>
        <w:t>New England Journal of Medicine</w:t>
      </w:r>
      <w:r w:rsidRPr="00253316">
        <w:rPr>
          <w:rFonts w:ascii="Calibri" w:hAnsi="Calibri"/>
          <w:noProof/>
          <w:sz w:val="22"/>
        </w:rPr>
        <w:t xml:space="preserve"> 2011;</w:t>
      </w:r>
      <w:r w:rsidRPr="00253316">
        <w:rPr>
          <w:rFonts w:ascii="Calibri" w:hAnsi="Calibri"/>
          <w:b/>
          <w:bCs/>
          <w:noProof/>
          <w:sz w:val="22"/>
        </w:rPr>
        <w:t>365</w:t>
      </w:r>
      <w:r w:rsidRPr="00253316">
        <w:rPr>
          <w:rFonts w:ascii="Calibri" w:hAnsi="Calibri"/>
          <w:noProof/>
          <w:sz w:val="22"/>
        </w:rPr>
        <w:t>:883–91.</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22 </w:t>
      </w:r>
      <w:r w:rsidRPr="00253316">
        <w:rPr>
          <w:rFonts w:ascii="Calibri" w:hAnsi="Calibri"/>
          <w:noProof/>
          <w:sz w:val="22"/>
        </w:rPr>
        <w:tab/>
        <w:t xml:space="preserve">Rivero-Arias O, Ouellet M, Gray A, </w:t>
      </w:r>
      <w:r w:rsidRPr="00253316">
        <w:rPr>
          <w:rFonts w:ascii="Calibri" w:hAnsi="Calibri"/>
          <w:i/>
          <w:iCs/>
          <w:noProof/>
          <w:sz w:val="22"/>
        </w:rPr>
        <w:t>et al.</w:t>
      </w:r>
      <w:r w:rsidRPr="00253316">
        <w:rPr>
          <w:rFonts w:ascii="Calibri" w:hAnsi="Calibri"/>
          <w:noProof/>
          <w:sz w:val="22"/>
        </w:rPr>
        <w:t xml:space="preserve"> Mapping the Modified Rankin Scale (mRS) Measurement into the Generic EuroQol (EQ-5D) Health Outcome. </w:t>
      </w:r>
      <w:r w:rsidRPr="00253316">
        <w:rPr>
          <w:rFonts w:ascii="Calibri" w:hAnsi="Calibri"/>
          <w:i/>
          <w:iCs/>
          <w:noProof/>
          <w:sz w:val="22"/>
        </w:rPr>
        <w:t>Medical Decision Making</w:t>
      </w:r>
      <w:r w:rsidRPr="00253316">
        <w:rPr>
          <w:rFonts w:ascii="Calibri" w:hAnsi="Calibri"/>
          <w:noProof/>
          <w:sz w:val="22"/>
        </w:rPr>
        <w:t xml:space="preserve"> 2010;</w:t>
      </w:r>
      <w:r w:rsidRPr="00253316">
        <w:rPr>
          <w:rFonts w:ascii="Calibri" w:hAnsi="Calibri"/>
          <w:b/>
          <w:bCs/>
          <w:noProof/>
          <w:sz w:val="22"/>
        </w:rPr>
        <w:t>30</w:t>
      </w:r>
      <w:r w:rsidRPr="00253316">
        <w:rPr>
          <w:rFonts w:ascii="Calibri" w:hAnsi="Calibri"/>
          <w:noProof/>
          <w:sz w:val="22"/>
        </w:rPr>
        <w:t>:341–54.</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23 </w:t>
      </w:r>
      <w:r w:rsidRPr="00253316">
        <w:rPr>
          <w:rFonts w:ascii="Calibri" w:hAnsi="Calibri"/>
          <w:noProof/>
          <w:sz w:val="22"/>
        </w:rPr>
        <w:tab/>
        <w:t xml:space="preserve">Simpson EL, Stevenson MD, Rawdin A, </w:t>
      </w:r>
      <w:r w:rsidRPr="00253316">
        <w:rPr>
          <w:rFonts w:ascii="Calibri" w:hAnsi="Calibri"/>
          <w:i/>
          <w:iCs/>
          <w:noProof/>
          <w:sz w:val="22"/>
        </w:rPr>
        <w:t>et al.</w:t>
      </w:r>
      <w:r w:rsidRPr="00253316">
        <w:rPr>
          <w:rFonts w:ascii="Calibri" w:hAnsi="Calibri"/>
          <w:noProof/>
          <w:sz w:val="22"/>
        </w:rPr>
        <w:t xml:space="preserve"> Thrombophilia testing in people with venous thromboembolism: systematic review and cost-effectiveness analysis. </w:t>
      </w:r>
      <w:r w:rsidRPr="00253316">
        <w:rPr>
          <w:rFonts w:ascii="Calibri" w:hAnsi="Calibri"/>
          <w:i/>
          <w:iCs/>
          <w:noProof/>
          <w:sz w:val="22"/>
        </w:rPr>
        <w:t>Health Technology Assessment</w:t>
      </w:r>
      <w:r w:rsidRPr="00253316">
        <w:rPr>
          <w:rFonts w:ascii="Calibri" w:hAnsi="Calibri"/>
          <w:noProof/>
          <w:sz w:val="22"/>
        </w:rPr>
        <w:t xml:space="preserve"> 2009;</w:t>
      </w:r>
      <w:r w:rsidRPr="00253316">
        <w:rPr>
          <w:rFonts w:ascii="Calibri" w:hAnsi="Calibri"/>
          <w:b/>
          <w:bCs/>
          <w:noProof/>
          <w:sz w:val="22"/>
        </w:rPr>
        <w:t>13</w:t>
      </w:r>
      <w:r w:rsidRPr="00253316">
        <w:rPr>
          <w:rFonts w:ascii="Calibri" w:hAnsi="Calibri"/>
          <w:noProof/>
          <w:sz w:val="22"/>
        </w:rPr>
        <w:t>. doi:10.3310/hta13020</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24 </w:t>
      </w:r>
      <w:r w:rsidRPr="00253316">
        <w:rPr>
          <w:rFonts w:ascii="Calibri" w:hAnsi="Calibri"/>
          <w:noProof/>
          <w:sz w:val="22"/>
        </w:rPr>
        <w:tab/>
        <w:t xml:space="preserve">Ara R, Brazier JE. Populating an economic model with health state utility values: moving toward better practice. </w:t>
      </w:r>
      <w:r w:rsidRPr="00253316">
        <w:rPr>
          <w:rFonts w:ascii="Calibri" w:hAnsi="Calibri"/>
          <w:i/>
          <w:iCs/>
          <w:noProof/>
          <w:sz w:val="22"/>
        </w:rPr>
        <w:t>Value in health : the journal of the International Society for Pharmacoeconomics and Outcomes Research</w:t>
      </w:r>
      <w:r w:rsidRPr="00253316">
        <w:rPr>
          <w:rFonts w:ascii="Calibri" w:hAnsi="Calibri"/>
          <w:noProof/>
          <w:sz w:val="22"/>
        </w:rPr>
        <w:t xml:space="preserve"> 2010;</w:t>
      </w:r>
      <w:r w:rsidRPr="00253316">
        <w:rPr>
          <w:rFonts w:ascii="Calibri" w:hAnsi="Calibri"/>
          <w:b/>
          <w:bCs/>
          <w:noProof/>
          <w:sz w:val="22"/>
        </w:rPr>
        <w:t>13</w:t>
      </w:r>
      <w:r w:rsidRPr="00253316">
        <w:rPr>
          <w:rFonts w:ascii="Calibri" w:hAnsi="Calibri"/>
          <w:noProof/>
          <w:sz w:val="22"/>
        </w:rPr>
        <w:t>:509–18.</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25 </w:t>
      </w:r>
      <w:r w:rsidRPr="00253316">
        <w:rPr>
          <w:rFonts w:ascii="Calibri" w:hAnsi="Calibri"/>
          <w:noProof/>
          <w:sz w:val="22"/>
        </w:rPr>
        <w:tab/>
        <w:t>NICE. Dabigatran etexilate for the prevention of stroke and systemic embolism in atrial fibrillation: Final appraisal determination. 2011;</w:t>
      </w:r>
      <w:r w:rsidRPr="00253316">
        <w:rPr>
          <w:rFonts w:ascii="Calibri" w:hAnsi="Calibri"/>
          <w:b/>
          <w:bCs/>
          <w:noProof/>
          <w:sz w:val="22"/>
        </w:rPr>
        <w:t>2012</w:t>
      </w:r>
      <w:r w:rsidRPr="00253316">
        <w:rPr>
          <w:rFonts w:ascii="Calibri" w:hAnsi="Calibri"/>
          <w:noProof/>
          <w:sz w:val="22"/>
        </w:rPr>
        <w:t>.http://www.nice.org.uk/nicemedia/live/12225/56899/56899.pdf</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lastRenderedPageBreak/>
        <w:t xml:space="preserve">26 </w:t>
      </w:r>
      <w:r w:rsidRPr="00253316">
        <w:rPr>
          <w:rFonts w:ascii="Calibri" w:hAnsi="Calibri"/>
          <w:noProof/>
          <w:sz w:val="22"/>
        </w:rPr>
        <w:tab/>
        <w:t>Group LND. A briefing paper on Dabigatran and Rivaroxaban: What we know so far... 2012;</w:t>
      </w:r>
      <w:r w:rsidRPr="00253316">
        <w:rPr>
          <w:rFonts w:ascii="Calibri" w:hAnsi="Calibri"/>
          <w:b/>
          <w:bCs/>
          <w:noProof/>
          <w:sz w:val="22"/>
        </w:rPr>
        <w:t>2012</w:t>
      </w:r>
      <w:r w:rsidRPr="00253316">
        <w:rPr>
          <w:rFonts w:ascii="Calibri" w:hAnsi="Calibri"/>
          <w:noProof/>
          <w:sz w:val="22"/>
        </w:rPr>
        <w:t>.http://www.nelm.nhs.uk/en/NeLM-Area/Evidence/Drug-Specific-Reviews/A-briefing-paper-on-dabigatran-and-rivaroxaban/</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27 </w:t>
      </w:r>
      <w:r w:rsidRPr="00253316">
        <w:rPr>
          <w:rFonts w:ascii="Calibri" w:hAnsi="Calibri"/>
          <w:noProof/>
          <w:sz w:val="22"/>
        </w:rPr>
        <w:tab/>
        <w:t>BNF. Warfarin. 2011;</w:t>
      </w:r>
      <w:r w:rsidRPr="00253316">
        <w:rPr>
          <w:rFonts w:ascii="Calibri" w:hAnsi="Calibri"/>
          <w:b/>
          <w:bCs/>
          <w:noProof/>
          <w:sz w:val="22"/>
        </w:rPr>
        <w:t>2012</w:t>
      </w:r>
      <w:r w:rsidRPr="00253316">
        <w:rPr>
          <w:rFonts w:ascii="Calibri" w:hAnsi="Calibri"/>
          <w:noProof/>
          <w:sz w:val="22"/>
        </w:rPr>
        <w:t>.https://mail.google.com/mail/u/1/#inbox/134f06255f3f63de</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28 </w:t>
      </w:r>
      <w:r w:rsidRPr="00253316">
        <w:rPr>
          <w:rFonts w:ascii="Calibri" w:hAnsi="Calibri"/>
          <w:noProof/>
          <w:sz w:val="22"/>
        </w:rPr>
        <w:tab/>
        <w:t>DoH. NHS Reference Costs 2009-2010. 2011;</w:t>
      </w:r>
      <w:r w:rsidRPr="00253316">
        <w:rPr>
          <w:rFonts w:ascii="Calibri" w:hAnsi="Calibri"/>
          <w:b/>
          <w:bCs/>
          <w:noProof/>
          <w:sz w:val="22"/>
        </w:rPr>
        <w:t>2012</w:t>
      </w:r>
      <w:r w:rsidRPr="00253316">
        <w:rPr>
          <w:rFonts w:ascii="Calibri" w:hAnsi="Calibri"/>
          <w:noProof/>
          <w:sz w:val="22"/>
        </w:rPr>
        <w:t>.http://www.dh.gov.uk/en/Publicationsandstatistics/Publications/PublicationsPolicyAndGuidance/DH_123459</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29 </w:t>
      </w:r>
      <w:r w:rsidRPr="00253316">
        <w:rPr>
          <w:rFonts w:ascii="Calibri" w:hAnsi="Calibri"/>
          <w:noProof/>
          <w:sz w:val="22"/>
        </w:rPr>
        <w:tab/>
        <w:t xml:space="preserve">Sandercock P, Berge E, Dennis M, </w:t>
      </w:r>
      <w:r w:rsidRPr="00253316">
        <w:rPr>
          <w:rFonts w:ascii="Calibri" w:hAnsi="Calibri"/>
          <w:i/>
          <w:iCs/>
          <w:noProof/>
          <w:sz w:val="22"/>
        </w:rPr>
        <w:t>et al.</w:t>
      </w:r>
      <w:r w:rsidRPr="00253316">
        <w:rPr>
          <w:rFonts w:ascii="Calibri" w:hAnsi="Calibri"/>
          <w:noProof/>
          <w:sz w:val="22"/>
        </w:rPr>
        <w:t xml:space="preserve"> A systematic review of the effectiveness, cost-effectiveness and barriers to implementation of thrombolytic and neuroprotective therapy for acute ischaemic stroke in the NHS. </w:t>
      </w:r>
      <w:r w:rsidRPr="00253316">
        <w:rPr>
          <w:rFonts w:ascii="Calibri" w:hAnsi="Calibri"/>
          <w:i/>
          <w:iCs/>
          <w:noProof/>
          <w:sz w:val="22"/>
        </w:rPr>
        <w:t>Health Technology Assessment</w:t>
      </w:r>
      <w:r w:rsidRPr="00253316">
        <w:rPr>
          <w:rFonts w:ascii="Calibri" w:hAnsi="Calibri"/>
          <w:noProof/>
          <w:sz w:val="22"/>
        </w:rPr>
        <w:t xml:space="preserve"> 2002;</w:t>
      </w:r>
      <w:r w:rsidRPr="00253316">
        <w:rPr>
          <w:rFonts w:ascii="Calibri" w:hAnsi="Calibri"/>
          <w:b/>
          <w:bCs/>
          <w:noProof/>
          <w:sz w:val="22"/>
        </w:rPr>
        <w:t>6</w:t>
      </w:r>
      <w:r w:rsidRPr="00253316">
        <w:rPr>
          <w:rFonts w:ascii="Calibri" w:hAnsi="Calibri"/>
          <w:noProof/>
          <w:sz w:val="22"/>
        </w:rPr>
        <w:t>.</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30 </w:t>
      </w:r>
      <w:r w:rsidRPr="00253316">
        <w:rPr>
          <w:rFonts w:ascii="Calibri" w:hAnsi="Calibri"/>
          <w:noProof/>
          <w:sz w:val="22"/>
        </w:rPr>
        <w:tab/>
        <w:t>NHS. National Stroke Strategy Impact Assessment. 2007;</w:t>
      </w:r>
      <w:r w:rsidRPr="00253316">
        <w:rPr>
          <w:rFonts w:ascii="Calibri" w:hAnsi="Calibri"/>
          <w:b/>
          <w:bCs/>
          <w:noProof/>
          <w:sz w:val="22"/>
        </w:rPr>
        <w:t>2012</w:t>
      </w:r>
      <w:r w:rsidRPr="00253316">
        <w:rPr>
          <w:rFonts w:ascii="Calibri" w:hAnsi="Calibri"/>
          <w:noProof/>
          <w:sz w:val="22"/>
        </w:rPr>
        <w:t>.http://www.dh.gov.uk/prod_consum_dh/groups/dh_digitalassets/documents/digitalasset/dh_081054.pdf</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31 </w:t>
      </w:r>
      <w:r w:rsidRPr="00253316">
        <w:rPr>
          <w:rFonts w:ascii="Calibri" w:hAnsi="Calibri"/>
          <w:noProof/>
          <w:sz w:val="22"/>
        </w:rPr>
        <w:tab/>
        <w:t xml:space="preserve">Curtis L. Unit Costs of Health and Social Care 2010. Kent: 2010. </w:t>
      </w:r>
    </w:p>
    <w:p w:rsidR="00834F71" w:rsidRPr="00532F44" w:rsidRDefault="002F05E5" w:rsidP="00253316">
      <w:pPr>
        <w:pStyle w:val="NormalWeb"/>
        <w:ind w:left="640" w:hanging="640"/>
        <w:divId w:val="818763781"/>
      </w:pPr>
      <w:r>
        <w:fldChar w:fldCharType="end"/>
      </w:r>
      <w:commentRangeEnd w:id="3"/>
      <w:r w:rsidR="008E6143">
        <w:rPr>
          <w:rStyle w:val="CommentReference"/>
          <w:rFonts w:eastAsia="Times New Roman"/>
        </w:rPr>
        <w:commentReference w:id="3"/>
      </w:r>
    </w:p>
    <w:p w:rsidR="008E6143" w:rsidRDefault="008E6143">
      <w:pPr>
        <w:spacing w:line="276" w:lineRule="auto"/>
        <w:jc w:val="left"/>
        <w:rPr>
          <w:rFonts w:ascii="Times New Roman" w:hAnsi="Times New Roman" w:cs="Times New Roman"/>
          <w:sz w:val="24"/>
          <w:szCs w:val="24"/>
          <w:lang w:val="en-GB" w:eastAsia="en-GB" w:bidi="ar-SA"/>
        </w:rPr>
        <w:sectPr w:rsidR="008E6143" w:rsidSect="008E6143">
          <w:pgSz w:w="11906" w:h="16838"/>
          <w:pgMar w:top="1440" w:right="1440" w:bottom="1440" w:left="1440" w:header="709" w:footer="709" w:gutter="0"/>
          <w:cols w:space="708"/>
          <w:docGrid w:linePitch="360"/>
        </w:sectPr>
      </w:pPr>
    </w:p>
    <w:p w:rsidR="00834F71" w:rsidRPr="00532F44" w:rsidRDefault="00834F71" w:rsidP="00834F71">
      <w:pPr>
        <w:divId w:val="1548566716"/>
      </w:pPr>
      <w:r w:rsidRPr="00532F44">
        <w:rPr>
          <w:noProof/>
          <w:lang w:val="en-GB" w:eastAsia="en-GB" w:bidi="ar-SA"/>
        </w:rPr>
        <w:lastRenderedPageBreak/>
        <w:drawing>
          <wp:inline distT="0" distB="0" distL="0" distR="0" wp14:anchorId="4C0D94BA" wp14:editId="400F7997">
            <wp:extent cx="8863330" cy="3696970"/>
            <wp:effectExtent l="19050" t="0" r="0" b="0"/>
            <wp:docPr id="2" name="Picture 5" descr="Conceptual Model of Matt's S8 Model v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Model of Matt's S8 Model v2.jpeg"/>
                    <pic:cNvPicPr/>
                  </pic:nvPicPr>
                  <pic:blipFill>
                    <a:blip r:embed="rId11" cstate="print"/>
                    <a:stretch>
                      <a:fillRect/>
                    </a:stretch>
                  </pic:blipFill>
                  <pic:spPr>
                    <a:xfrm>
                      <a:off x="0" y="0"/>
                      <a:ext cx="8863330" cy="3696970"/>
                    </a:xfrm>
                    <a:prstGeom prst="rect">
                      <a:avLst/>
                    </a:prstGeom>
                  </pic:spPr>
                </pic:pic>
              </a:graphicData>
            </a:graphic>
          </wp:inline>
        </w:drawing>
      </w:r>
    </w:p>
    <w:p w:rsidR="00834F71" w:rsidRPr="00532F44" w:rsidRDefault="00834F71" w:rsidP="00834F71">
      <w:pPr>
        <w:pStyle w:val="Caption"/>
        <w:divId w:val="1548566716"/>
        <w:rPr>
          <w:color w:val="auto"/>
        </w:rPr>
      </w:pPr>
      <w:bookmarkStart w:id="4" w:name="_Ref321241706"/>
      <w:r w:rsidRPr="00532F44">
        <w:rPr>
          <w:color w:val="auto"/>
        </w:rPr>
        <w:t xml:space="preserve">Figure </w:t>
      </w:r>
      <w:r w:rsidR="002F05E5" w:rsidRPr="00532F44">
        <w:rPr>
          <w:color w:val="auto"/>
        </w:rPr>
        <w:fldChar w:fldCharType="begin"/>
      </w:r>
      <w:r w:rsidR="00AC692E" w:rsidRPr="00532F44">
        <w:rPr>
          <w:color w:val="auto"/>
        </w:rPr>
        <w:instrText xml:space="preserve"> SEQ Figure \* ARABIC </w:instrText>
      </w:r>
      <w:r w:rsidR="002F05E5" w:rsidRPr="00532F44">
        <w:rPr>
          <w:color w:val="auto"/>
        </w:rPr>
        <w:fldChar w:fldCharType="separate"/>
      </w:r>
      <w:r w:rsidR="008D3B31">
        <w:rPr>
          <w:noProof/>
          <w:color w:val="auto"/>
        </w:rPr>
        <w:t>1</w:t>
      </w:r>
      <w:r w:rsidR="002F05E5" w:rsidRPr="00532F44">
        <w:rPr>
          <w:noProof/>
          <w:color w:val="auto"/>
        </w:rPr>
        <w:fldChar w:fldCharType="end"/>
      </w:r>
      <w:bookmarkEnd w:id="4"/>
      <w:r w:rsidRPr="00532F44">
        <w:rPr>
          <w:color w:val="auto"/>
        </w:rPr>
        <w:t xml:space="preserve"> Graphical representation of the mathematical model</w:t>
      </w:r>
    </w:p>
    <w:p w:rsidR="00834F71" w:rsidRPr="00532F44" w:rsidRDefault="00834F71" w:rsidP="00C42A71">
      <w:pPr>
        <w:pStyle w:val="NormalWeb"/>
        <w:ind w:left="640" w:hanging="640"/>
        <w:divId w:val="1548566716"/>
      </w:pPr>
    </w:p>
    <w:p w:rsidR="00834F71" w:rsidRPr="00532F44" w:rsidRDefault="00834F71" w:rsidP="00C42A71">
      <w:pPr>
        <w:pStyle w:val="NormalWeb"/>
        <w:ind w:left="640" w:hanging="640"/>
        <w:divId w:val="1548566716"/>
        <w:sectPr w:rsidR="00834F71" w:rsidRPr="00532F44" w:rsidSect="008E6143">
          <w:pgSz w:w="16838" w:h="11906" w:orient="landscape"/>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4077"/>
        <w:gridCol w:w="1721"/>
        <w:gridCol w:w="1722"/>
        <w:gridCol w:w="1722"/>
      </w:tblGrid>
      <w:tr w:rsidR="00183C66" w:rsidRPr="00532F44" w:rsidTr="00BC4AAE">
        <w:trPr>
          <w:divId w:val="1548566716"/>
        </w:trPr>
        <w:tc>
          <w:tcPr>
            <w:tcW w:w="4077" w:type="dxa"/>
          </w:tcPr>
          <w:p w:rsidR="00183C66" w:rsidRPr="00532F44" w:rsidRDefault="00183C66" w:rsidP="00920A0B">
            <w:pPr>
              <w:rPr>
                <w:b/>
              </w:rPr>
            </w:pPr>
            <w:r w:rsidRPr="00532F44">
              <w:rPr>
                <w:b/>
              </w:rPr>
              <w:lastRenderedPageBreak/>
              <w:t>CHADS</w:t>
            </w:r>
            <w:r w:rsidRPr="00532F44">
              <w:rPr>
                <w:b/>
                <w:vertAlign w:val="subscript"/>
              </w:rPr>
              <w:t>2</w:t>
            </w:r>
            <w:r w:rsidRPr="00532F44">
              <w:rPr>
                <w:b/>
              </w:rPr>
              <w:t xml:space="preserve"> score</w:t>
            </w:r>
          </w:p>
        </w:tc>
        <w:tc>
          <w:tcPr>
            <w:tcW w:w="1721" w:type="dxa"/>
          </w:tcPr>
          <w:p w:rsidR="00183C66" w:rsidRPr="00532F44" w:rsidRDefault="00183C66" w:rsidP="00620AA2">
            <w:pPr>
              <w:rPr>
                <w:b/>
              </w:rPr>
            </w:pPr>
            <w:r w:rsidRPr="00532F44">
              <w:rPr>
                <w:b/>
              </w:rPr>
              <w:t xml:space="preserve">Prescribe </w:t>
            </w:r>
            <w:proofErr w:type="spellStart"/>
            <w:r w:rsidR="00620AA2">
              <w:rPr>
                <w:b/>
              </w:rPr>
              <w:t>d</w:t>
            </w:r>
            <w:r w:rsidRPr="00532F44">
              <w:rPr>
                <w:b/>
              </w:rPr>
              <w:t>abigatran</w:t>
            </w:r>
            <w:proofErr w:type="spellEnd"/>
          </w:p>
        </w:tc>
        <w:tc>
          <w:tcPr>
            <w:tcW w:w="1722" w:type="dxa"/>
          </w:tcPr>
          <w:p w:rsidR="00183C66" w:rsidRPr="00532F44" w:rsidRDefault="00183C66" w:rsidP="00620AA2">
            <w:pPr>
              <w:rPr>
                <w:b/>
              </w:rPr>
            </w:pPr>
            <w:r w:rsidRPr="00532F44">
              <w:rPr>
                <w:b/>
              </w:rPr>
              <w:t xml:space="preserve">Prescribe </w:t>
            </w:r>
            <w:r w:rsidR="00620AA2">
              <w:rPr>
                <w:b/>
              </w:rPr>
              <w:t>w</w:t>
            </w:r>
            <w:r w:rsidRPr="00532F44">
              <w:rPr>
                <w:b/>
              </w:rPr>
              <w:t>arfarin</w:t>
            </w:r>
          </w:p>
        </w:tc>
        <w:tc>
          <w:tcPr>
            <w:tcW w:w="1722" w:type="dxa"/>
          </w:tcPr>
          <w:p w:rsidR="00183C66" w:rsidRPr="00532F44" w:rsidRDefault="00183C66" w:rsidP="00620AA2">
            <w:pPr>
              <w:rPr>
                <w:b/>
              </w:rPr>
            </w:pPr>
            <w:r w:rsidRPr="00532F44">
              <w:rPr>
                <w:b/>
              </w:rPr>
              <w:t xml:space="preserve">Prescribe </w:t>
            </w:r>
            <w:proofErr w:type="spellStart"/>
            <w:r w:rsidR="00620AA2">
              <w:rPr>
                <w:b/>
              </w:rPr>
              <w:t>r</w:t>
            </w:r>
            <w:r w:rsidRPr="00532F44">
              <w:rPr>
                <w:b/>
              </w:rPr>
              <w:t>ivaroxaban</w:t>
            </w:r>
            <w:proofErr w:type="spellEnd"/>
          </w:p>
        </w:tc>
      </w:tr>
      <w:tr w:rsidR="00183C66" w:rsidRPr="00532F44" w:rsidTr="00BC4AAE">
        <w:trPr>
          <w:divId w:val="1548566716"/>
        </w:trPr>
        <w:tc>
          <w:tcPr>
            <w:tcW w:w="4077" w:type="dxa"/>
          </w:tcPr>
          <w:p w:rsidR="00183C66" w:rsidRPr="00532F44" w:rsidRDefault="00183C66" w:rsidP="00920A0B">
            <w:r w:rsidRPr="00532F44">
              <w:t>0</w:t>
            </w:r>
          </w:p>
        </w:tc>
        <w:tc>
          <w:tcPr>
            <w:tcW w:w="1721" w:type="dxa"/>
          </w:tcPr>
          <w:p w:rsidR="00183C66" w:rsidRPr="00532F44" w:rsidRDefault="00183C66" w:rsidP="00920A0B">
            <w:r w:rsidRPr="00532F44">
              <w:t>No</w:t>
            </w:r>
          </w:p>
        </w:tc>
        <w:tc>
          <w:tcPr>
            <w:tcW w:w="1722" w:type="dxa"/>
          </w:tcPr>
          <w:p w:rsidR="00183C66" w:rsidRPr="00532F44" w:rsidRDefault="00183C66" w:rsidP="00920A0B">
            <w:r w:rsidRPr="00532F44">
              <w:t>No</w:t>
            </w:r>
          </w:p>
        </w:tc>
        <w:tc>
          <w:tcPr>
            <w:tcW w:w="1722" w:type="dxa"/>
          </w:tcPr>
          <w:p w:rsidR="00183C66" w:rsidRPr="00532F44" w:rsidRDefault="00183C66" w:rsidP="00920A0B">
            <w:r w:rsidRPr="00532F44">
              <w:t>No</w:t>
            </w:r>
          </w:p>
        </w:tc>
      </w:tr>
      <w:tr w:rsidR="00183C66" w:rsidRPr="00532F44" w:rsidTr="00BC4AAE">
        <w:trPr>
          <w:divId w:val="1548566716"/>
        </w:trPr>
        <w:tc>
          <w:tcPr>
            <w:tcW w:w="4077" w:type="dxa"/>
          </w:tcPr>
          <w:p w:rsidR="00183C66" w:rsidRPr="00532F44" w:rsidRDefault="00183C66" w:rsidP="00920A0B">
            <w:r w:rsidRPr="00532F44">
              <w:t>1</w:t>
            </w:r>
          </w:p>
        </w:tc>
        <w:tc>
          <w:tcPr>
            <w:tcW w:w="1721" w:type="dxa"/>
          </w:tcPr>
          <w:p w:rsidR="00183C66" w:rsidRPr="00532F44" w:rsidRDefault="00183C66" w:rsidP="00920A0B">
            <w:r w:rsidRPr="00532F44">
              <w:t>Yes (age 65 or over)</w:t>
            </w:r>
          </w:p>
        </w:tc>
        <w:tc>
          <w:tcPr>
            <w:tcW w:w="1722" w:type="dxa"/>
          </w:tcPr>
          <w:p w:rsidR="00183C66" w:rsidRPr="00532F44" w:rsidRDefault="00B13ECE" w:rsidP="00920A0B">
            <w:r>
              <w:t>Yes (or aspirin)</w:t>
            </w:r>
          </w:p>
        </w:tc>
        <w:tc>
          <w:tcPr>
            <w:tcW w:w="1722" w:type="dxa"/>
          </w:tcPr>
          <w:p w:rsidR="00183C66" w:rsidRPr="00532F44" w:rsidRDefault="00183C66" w:rsidP="00920A0B">
            <w:r w:rsidRPr="00532F44">
              <w:t>Yes</w:t>
            </w:r>
          </w:p>
        </w:tc>
      </w:tr>
      <w:tr w:rsidR="00183C66" w:rsidRPr="00532F44" w:rsidTr="00BC4AAE">
        <w:trPr>
          <w:divId w:val="1548566716"/>
          <w:trHeight w:val="251"/>
        </w:trPr>
        <w:tc>
          <w:tcPr>
            <w:tcW w:w="4077" w:type="dxa"/>
          </w:tcPr>
          <w:p w:rsidR="00183C66" w:rsidRPr="00532F44" w:rsidRDefault="00183C66" w:rsidP="00920A0B">
            <w:r w:rsidRPr="00532F44">
              <w:t>2 or more</w:t>
            </w:r>
          </w:p>
        </w:tc>
        <w:tc>
          <w:tcPr>
            <w:tcW w:w="1721" w:type="dxa"/>
          </w:tcPr>
          <w:p w:rsidR="00183C66" w:rsidRPr="00532F44" w:rsidRDefault="00183C66" w:rsidP="00920A0B">
            <w:r w:rsidRPr="00532F44">
              <w:t>Yes</w:t>
            </w:r>
          </w:p>
        </w:tc>
        <w:tc>
          <w:tcPr>
            <w:tcW w:w="1722" w:type="dxa"/>
          </w:tcPr>
          <w:p w:rsidR="00183C66" w:rsidRPr="00532F44" w:rsidRDefault="00183C66" w:rsidP="00920A0B">
            <w:r w:rsidRPr="00532F44">
              <w:t>Yes</w:t>
            </w:r>
          </w:p>
        </w:tc>
        <w:tc>
          <w:tcPr>
            <w:tcW w:w="1722" w:type="dxa"/>
          </w:tcPr>
          <w:p w:rsidR="00183C66" w:rsidRPr="00532F44" w:rsidRDefault="00183C66" w:rsidP="00920A0B">
            <w:pPr>
              <w:keepNext/>
            </w:pPr>
            <w:r w:rsidRPr="00532F44">
              <w:t>Yes</w:t>
            </w:r>
          </w:p>
        </w:tc>
      </w:tr>
      <w:tr w:rsidR="00183C66" w:rsidRPr="00532F44" w:rsidTr="00BC4AAE">
        <w:trPr>
          <w:divId w:val="1548566716"/>
          <w:trHeight w:val="217"/>
        </w:trPr>
        <w:tc>
          <w:tcPr>
            <w:tcW w:w="4077" w:type="dxa"/>
          </w:tcPr>
          <w:p w:rsidR="00183C66" w:rsidRPr="00532F44" w:rsidRDefault="00183C66" w:rsidP="00920A0B">
            <w:pPr>
              <w:rPr>
                <w:b/>
              </w:rPr>
            </w:pPr>
            <w:r w:rsidRPr="00532F44">
              <w:rPr>
                <w:b/>
              </w:rPr>
              <w:t>Cohorts simulated</w:t>
            </w:r>
          </w:p>
        </w:tc>
        <w:tc>
          <w:tcPr>
            <w:tcW w:w="1721" w:type="dxa"/>
          </w:tcPr>
          <w:p w:rsidR="00183C66" w:rsidRPr="00532F44" w:rsidRDefault="00E41165" w:rsidP="00620AA2">
            <w:pPr>
              <w:rPr>
                <w:b/>
              </w:rPr>
            </w:pPr>
            <w:r w:rsidRPr="00532F44">
              <w:rPr>
                <w:b/>
              </w:rPr>
              <w:t>Scenarios considered</w:t>
            </w:r>
            <w:r w:rsidR="00BC4AAE" w:rsidRPr="00532F44">
              <w:rPr>
                <w:b/>
              </w:rPr>
              <w:t xml:space="preserve"> for </w:t>
            </w:r>
            <w:proofErr w:type="spellStart"/>
            <w:r w:rsidR="00620AA2">
              <w:rPr>
                <w:b/>
              </w:rPr>
              <w:t>d</w:t>
            </w:r>
            <w:r w:rsidR="00BC4AAE" w:rsidRPr="00532F44">
              <w:rPr>
                <w:b/>
              </w:rPr>
              <w:t>abigatran</w:t>
            </w:r>
            <w:proofErr w:type="spellEnd"/>
          </w:p>
        </w:tc>
        <w:tc>
          <w:tcPr>
            <w:tcW w:w="1722" w:type="dxa"/>
          </w:tcPr>
          <w:p w:rsidR="00183C66" w:rsidRPr="00532F44" w:rsidRDefault="00C0617D" w:rsidP="00620AA2">
            <w:pPr>
              <w:rPr>
                <w:b/>
              </w:rPr>
            </w:pPr>
            <w:r w:rsidRPr="00532F44">
              <w:rPr>
                <w:b/>
              </w:rPr>
              <w:t>Scenarios considered</w:t>
            </w:r>
            <w:r w:rsidR="00BC4AAE" w:rsidRPr="00532F44">
              <w:rPr>
                <w:b/>
              </w:rPr>
              <w:t xml:space="preserve"> for </w:t>
            </w:r>
            <w:r w:rsidR="00620AA2">
              <w:rPr>
                <w:b/>
              </w:rPr>
              <w:t>w</w:t>
            </w:r>
            <w:r w:rsidR="00BC4AAE" w:rsidRPr="00532F44">
              <w:rPr>
                <w:b/>
              </w:rPr>
              <w:t>arfarin</w:t>
            </w:r>
          </w:p>
        </w:tc>
        <w:tc>
          <w:tcPr>
            <w:tcW w:w="1722" w:type="dxa"/>
          </w:tcPr>
          <w:p w:rsidR="00183C66" w:rsidRPr="00532F44" w:rsidRDefault="00C0617D" w:rsidP="00620AA2">
            <w:pPr>
              <w:keepNext/>
              <w:rPr>
                <w:b/>
              </w:rPr>
            </w:pPr>
            <w:r w:rsidRPr="00532F44">
              <w:rPr>
                <w:b/>
              </w:rPr>
              <w:t>Scenarios considered</w:t>
            </w:r>
            <w:r w:rsidR="00BC4AAE" w:rsidRPr="00532F44">
              <w:rPr>
                <w:b/>
              </w:rPr>
              <w:t xml:space="preserve"> for </w:t>
            </w:r>
            <w:proofErr w:type="spellStart"/>
            <w:r w:rsidR="00620AA2">
              <w:rPr>
                <w:b/>
              </w:rPr>
              <w:t>r</w:t>
            </w:r>
            <w:r w:rsidR="00BC4AAE" w:rsidRPr="00532F44">
              <w:rPr>
                <w:b/>
              </w:rPr>
              <w:t>ivaroxaban</w:t>
            </w:r>
            <w:proofErr w:type="spellEnd"/>
          </w:p>
        </w:tc>
      </w:tr>
      <w:tr w:rsidR="00183C66" w:rsidRPr="00532F44" w:rsidTr="00BC4AAE">
        <w:trPr>
          <w:divId w:val="1548566716"/>
          <w:trHeight w:val="201"/>
        </w:trPr>
        <w:tc>
          <w:tcPr>
            <w:tcW w:w="4077" w:type="dxa"/>
          </w:tcPr>
          <w:p w:rsidR="00183C66" w:rsidRPr="00532F44" w:rsidRDefault="00183C66" w:rsidP="00920A0B">
            <w:r w:rsidRPr="00532F44">
              <w:t>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67"/>
        </w:trPr>
        <w:tc>
          <w:tcPr>
            <w:tcW w:w="4077" w:type="dxa"/>
          </w:tcPr>
          <w:p w:rsidR="00183C66" w:rsidRPr="00532F44" w:rsidRDefault="00183C66" w:rsidP="00920A0B">
            <w:r w:rsidRPr="00532F44">
              <w:t>Females,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Females,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C0617D" w:rsidRPr="00532F44" w:rsidTr="003762FF">
        <w:trPr>
          <w:divId w:val="1548566716"/>
          <w:trHeight w:val="184"/>
        </w:trPr>
        <w:tc>
          <w:tcPr>
            <w:tcW w:w="9242" w:type="dxa"/>
            <w:gridSpan w:val="4"/>
            <w:tcBorders>
              <w:bottom w:val="single" w:sz="4" w:space="0" w:color="auto"/>
            </w:tcBorders>
          </w:tcPr>
          <w:p w:rsidR="009A3B70" w:rsidRPr="00532F44" w:rsidRDefault="009A3B70" w:rsidP="009A3B70">
            <w:pPr>
              <w:keepNext/>
            </w:pPr>
            <w:r w:rsidRPr="00532F44">
              <w:t xml:space="preserve">* </w:t>
            </w:r>
            <w:r w:rsidR="00C0617D" w:rsidRPr="00532F44">
              <w:t>Patient would automatically receive treatment.</w:t>
            </w:r>
          </w:p>
          <w:p w:rsidR="00C0617D" w:rsidRPr="00532F44" w:rsidRDefault="009A3B70" w:rsidP="009A3B70">
            <w:pPr>
              <w:keepNext/>
            </w:pPr>
            <w:r w:rsidRPr="00532F44">
              <w:rPr>
                <w:rFonts w:ascii="Cambria Math" w:hAnsi="Cambria Math"/>
              </w:rPr>
              <w:t xml:space="preserve">† </w:t>
            </w:r>
            <w:r w:rsidR="00C0617D" w:rsidRPr="00532F44">
              <w:t>OAC not permitted under NICE guidance</w:t>
            </w:r>
          </w:p>
        </w:tc>
      </w:tr>
    </w:tbl>
    <w:p w:rsidR="00834F71" w:rsidRPr="00532F44" w:rsidRDefault="00834F71" w:rsidP="00834F71">
      <w:pPr>
        <w:pStyle w:val="Caption"/>
        <w:divId w:val="1548566716"/>
        <w:rPr>
          <w:color w:val="auto"/>
        </w:rPr>
      </w:pPr>
      <w:bookmarkStart w:id="5" w:name="_Ref321227101"/>
      <w:r w:rsidRPr="00532F44">
        <w:rPr>
          <w:color w:val="auto"/>
        </w:rPr>
        <w:t xml:space="preserve">Table </w:t>
      </w:r>
      <w:r w:rsidR="002F05E5" w:rsidRPr="00532F44">
        <w:rPr>
          <w:color w:val="auto"/>
        </w:rPr>
        <w:fldChar w:fldCharType="begin"/>
      </w:r>
      <w:r w:rsidR="00AC692E" w:rsidRPr="00532F44">
        <w:rPr>
          <w:color w:val="auto"/>
        </w:rPr>
        <w:instrText xml:space="preserve"> SEQ Table \* ARABIC </w:instrText>
      </w:r>
      <w:r w:rsidR="002F05E5" w:rsidRPr="00532F44">
        <w:rPr>
          <w:color w:val="auto"/>
        </w:rPr>
        <w:fldChar w:fldCharType="separate"/>
      </w:r>
      <w:r w:rsidR="00FF7CB5">
        <w:rPr>
          <w:noProof/>
          <w:color w:val="auto"/>
        </w:rPr>
        <w:t>1</w:t>
      </w:r>
      <w:r w:rsidR="002F05E5" w:rsidRPr="00532F44">
        <w:rPr>
          <w:noProof/>
          <w:color w:val="auto"/>
        </w:rPr>
        <w:fldChar w:fldCharType="end"/>
      </w:r>
      <w:bookmarkEnd w:id="5"/>
      <w:r w:rsidRPr="00532F44">
        <w:rPr>
          <w:color w:val="auto"/>
        </w:rPr>
        <w:t xml:space="preserve"> </w:t>
      </w:r>
      <w:r w:rsidR="00BC4AAE" w:rsidRPr="00532F44">
        <w:rPr>
          <w:color w:val="auto"/>
        </w:rPr>
        <w:t xml:space="preserve">Simplified OAC indications by </w:t>
      </w:r>
      <w:proofErr w:type="gramStart"/>
      <w:r w:rsidR="00BC4AAE" w:rsidRPr="00532F44">
        <w:rPr>
          <w:color w:val="auto"/>
        </w:rPr>
        <w:t>OAC,</w:t>
      </w:r>
      <w:proofErr w:type="gramEnd"/>
      <w:r w:rsidR="00BC4AAE" w:rsidRPr="00532F44">
        <w:rPr>
          <w:color w:val="auto"/>
        </w:rPr>
        <w:t xml:space="preserve"> and patient cohorts run for each OAC</w:t>
      </w:r>
    </w:p>
    <w:p w:rsidR="003225C4" w:rsidRPr="00532F44" w:rsidRDefault="003225C4" w:rsidP="003225C4">
      <w:pPr>
        <w:divId w:val="1548566716"/>
        <w:rPr>
          <w:lang w:val="en-GB"/>
        </w:rPr>
        <w:sectPr w:rsidR="003225C4" w:rsidRPr="00532F44" w:rsidSect="009B762A">
          <w:pgSz w:w="11906" w:h="16838"/>
          <w:pgMar w:top="1440" w:right="1440" w:bottom="1440" w:left="1440" w:header="708" w:footer="708" w:gutter="0"/>
          <w:cols w:space="708"/>
          <w:docGrid w:linePitch="360"/>
        </w:sectPr>
      </w:pPr>
    </w:p>
    <w:p w:rsidR="003225C4" w:rsidRPr="00532F44" w:rsidRDefault="003225C4" w:rsidP="003225C4">
      <w:pPr>
        <w:divId w:val="1548566716"/>
        <w:rPr>
          <w:lang w:val="en-GB"/>
        </w:rPr>
      </w:pPr>
    </w:p>
    <w:tbl>
      <w:tblPr>
        <w:tblStyle w:val="TableGrid"/>
        <w:tblW w:w="0" w:type="auto"/>
        <w:tblLook w:val="04A0" w:firstRow="1" w:lastRow="0" w:firstColumn="1" w:lastColumn="0" w:noHBand="0" w:noVBand="1"/>
      </w:tblPr>
      <w:tblGrid>
        <w:gridCol w:w="1951"/>
        <w:gridCol w:w="3497"/>
        <w:gridCol w:w="4299"/>
        <w:gridCol w:w="3969"/>
      </w:tblGrid>
      <w:tr w:rsidR="003225C4" w:rsidRPr="00532F44" w:rsidTr="003225C4">
        <w:trPr>
          <w:divId w:val="1548566716"/>
        </w:trPr>
        <w:tc>
          <w:tcPr>
            <w:tcW w:w="1951" w:type="dxa"/>
            <w:tcBorders>
              <w:top w:val="nil"/>
              <w:left w:val="nil"/>
            </w:tcBorders>
          </w:tcPr>
          <w:p w:rsidR="00E5262E" w:rsidRPr="00532F44" w:rsidRDefault="00E5262E" w:rsidP="00920A0B"/>
        </w:tc>
        <w:tc>
          <w:tcPr>
            <w:tcW w:w="3497" w:type="dxa"/>
          </w:tcPr>
          <w:p w:rsidR="00E5262E" w:rsidRPr="00532F44" w:rsidRDefault="00E5262E" w:rsidP="00920A0B">
            <w:pPr>
              <w:rPr>
                <w:b/>
              </w:rPr>
            </w:pPr>
            <w:r w:rsidRPr="00532F44">
              <w:rPr>
                <w:b/>
              </w:rPr>
              <w:t>Category</w:t>
            </w:r>
          </w:p>
        </w:tc>
        <w:tc>
          <w:tcPr>
            <w:tcW w:w="4299" w:type="dxa"/>
          </w:tcPr>
          <w:p w:rsidR="00E5262E" w:rsidRPr="00532F44" w:rsidRDefault="00E5262E" w:rsidP="00920A0B">
            <w:pPr>
              <w:rPr>
                <w:b/>
              </w:rPr>
            </w:pPr>
            <w:r w:rsidRPr="00532F44">
              <w:rPr>
                <w:b/>
              </w:rPr>
              <w:t>Description</w:t>
            </w:r>
          </w:p>
        </w:tc>
        <w:tc>
          <w:tcPr>
            <w:tcW w:w="3969" w:type="dxa"/>
          </w:tcPr>
          <w:p w:rsidR="00E5262E" w:rsidRPr="00532F44" w:rsidRDefault="00E5262E" w:rsidP="00920A0B">
            <w:pPr>
              <w:rPr>
                <w:b/>
              </w:rPr>
            </w:pPr>
            <w:r w:rsidRPr="00532F44">
              <w:rPr>
                <w:b/>
              </w:rPr>
              <w:t>References</w:t>
            </w:r>
          </w:p>
        </w:tc>
      </w:tr>
      <w:tr w:rsidR="003225C4" w:rsidRPr="00532F44" w:rsidTr="003225C4">
        <w:trPr>
          <w:divId w:val="1548566716"/>
          <w:trHeight w:val="288"/>
        </w:trPr>
        <w:tc>
          <w:tcPr>
            <w:tcW w:w="1951" w:type="dxa"/>
            <w:vMerge w:val="restart"/>
          </w:tcPr>
          <w:p w:rsidR="00E5262E" w:rsidRPr="00532F44" w:rsidRDefault="00E5262E" w:rsidP="00920A0B">
            <w:pPr>
              <w:rPr>
                <w:b/>
              </w:rPr>
            </w:pPr>
            <w:r w:rsidRPr="00532F44">
              <w:rPr>
                <w:b/>
              </w:rPr>
              <w:t>Risks/Probabilities</w:t>
            </w:r>
          </w:p>
        </w:tc>
        <w:tc>
          <w:tcPr>
            <w:tcW w:w="3497" w:type="dxa"/>
          </w:tcPr>
          <w:p w:rsidR="00E5262E" w:rsidRPr="00532F44" w:rsidRDefault="00E5262E" w:rsidP="00920A0B">
            <w:r w:rsidRPr="00532F44">
              <w:t>Death from other causes</w:t>
            </w:r>
          </w:p>
        </w:tc>
        <w:tc>
          <w:tcPr>
            <w:tcW w:w="4299" w:type="dxa"/>
          </w:tcPr>
          <w:p w:rsidR="00E5262E" w:rsidRPr="00532F44" w:rsidRDefault="00E5262E" w:rsidP="00920A0B">
            <w:r w:rsidRPr="00532F44">
              <w:t>Nonparametric</w:t>
            </w:r>
          </w:p>
        </w:tc>
        <w:tc>
          <w:tcPr>
            <w:tcW w:w="3969" w:type="dxa"/>
          </w:tcPr>
          <w:p w:rsidR="00E5262E" w:rsidRPr="00532F44" w:rsidRDefault="00E5262E" w:rsidP="003225C4">
            <w:r w:rsidRPr="00532F44">
              <w:t xml:space="preserve">UK </w:t>
            </w:r>
            <w:proofErr w:type="spellStart"/>
            <w:r w:rsidRPr="00532F44">
              <w:t>Lifetables</w:t>
            </w:r>
            <w:proofErr w:type="spellEnd"/>
            <w:r w:rsidRPr="00532F44">
              <w:t xml:space="preserve">.  </w:t>
            </w:r>
            <w:r w:rsidR="002F05E5" w:rsidRPr="00532F44">
              <w:fldChar w:fldCharType="begin" w:fldLock="1"/>
            </w:r>
            <w:r w:rsidR="00253316">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"[17]" }, "properties" : { "noteIndex" : 0 }, "schema" : "https://github.com/citation-style-language/schema/raw/master/csl-citation.json" }</w:instrText>
            </w:r>
            <w:r w:rsidR="002F05E5" w:rsidRPr="00532F44">
              <w:fldChar w:fldCharType="separate"/>
            </w:r>
            <w:r w:rsidR="00354D59" w:rsidRPr="00354D59">
              <w:rPr>
                <w:noProof/>
              </w:rPr>
              <w:t>[17]</w:t>
            </w:r>
            <w:r w:rsidR="002F05E5" w:rsidRPr="00532F44">
              <w:fldChar w:fldCharType="end"/>
            </w:r>
          </w:p>
        </w:tc>
      </w:tr>
      <w:tr w:rsidR="003225C4" w:rsidRPr="00532F44" w:rsidTr="003225C4">
        <w:trPr>
          <w:divId w:val="1548566716"/>
          <w:trHeight w:val="964"/>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Sensitivity and Specificity of TTE in detecting LA ABN</w:t>
            </w:r>
          </w:p>
        </w:tc>
        <w:tc>
          <w:tcPr>
            <w:tcW w:w="4299" w:type="dxa"/>
          </w:tcPr>
          <w:p w:rsidR="00E5262E" w:rsidRPr="00532F44" w:rsidRDefault="00E5262E" w:rsidP="00920A0B">
            <w:r w:rsidRPr="00532F44">
              <w:t xml:space="preserve">Jointly estimated from </w:t>
            </w:r>
            <w:proofErr w:type="spellStart"/>
            <w:r w:rsidRPr="00532F44">
              <w:t>Dirichlet</w:t>
            </w:r>
            <w:proofErr w:type="spellEnd"/>
            <w:r w:rsidRPr="00532F44">
              <w:t xml:space="preserve"> distribution </w:t>
            </w:r>
          </w:p>
          <w:p w:rsidR="00E5262E" w:rsidRPr="00532F44" w:rsidRDefault="00E5262E" w:rsidP="00920A0B">
            <w:r w:rsidRPr="00532F44">
              <w:t xml:space="preserve">(FN, TP, TN, FP) = </w:t>
            </w:r>
          </w:p>
          <w:p w:rsidR="00E5262E" w:rsidRPr="00532F44" w:rsidRDefault="00E5262E" w:rsidP="00920A0B">
            <w:r w:rsidRPr="00532F44">
              <w:t>(5, 87, 83, 159)</w:t>
            </w:r>
          </w:p>
        </w:tc>
        <w:tc>
          <w:tcPr>
            <w:tcW w:w="3969" w:type="dxa"/>
          </w:tcPr>
          <w:p w:rsidR="00E5262E" w:rsidRPr="00532F44" w:rsidRDefault="00E5262E" w:rsidP="00920A0B">
            <w:r w:rsidRPr="00532F44">
              <w:t xml:space="preserve">Table 2 of  </w:t>
            </w:r>
            <w:proofErr w:type="spellStart"/>
            <w:r w:rsidRPr="00532F44">
              <w:t>Providencia</w:t>
            </w:r>
            <w:proofErr w:type="spellEnd"/>
            <w:r w:rsidRPr="00532F44">
              <w:t xml:space="preserve"> et al 2012 </w:t>
            </w:r>
            <w:r w:rsidR="002F05E5" w:rsidRPr="00532F44">
              <w:fldChar w:fldCharType="begin" w:fldLock="1"/>
            </w:r>
            <w:r w:rsidR="00253316">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p>
        </w:tc>
      </w:tr>
      <w:tr w:rsidR="003225C4" w:rsidRPr="00532F44" w:rsidTr="003225C4">
        <w:trPr>
          <w:divId w:val="1548566716"/>
          <w:trHeight w:val="107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Proportion of patients with LA ABN</w:t>
            </w:r>
          </w:p>
        </w:tc>
        <w:tc>
          <w:tcPr>
            <w:tcW w:w="4299" w:type="dxa"/>
          </w:tcPr>
          <w:p w:rsidR="00E5262E" w:rsidRPr="00532F44" w:rsidRDefault="00E5262E" w:rsidP="00920A0B">
            <w:r w:rsidRPr="00532F44">
              <w:t>Beta(2.5, 22.5) for CHADS</w:t>
            </w:r>
            <w:r w:rsidRPr="00532F44">
              <w:rPr>
                <w:vertAlign w:val="subscript"/>
              </w:rPr>
              <w:t>2</w:t>
            </w:r>
          </w:p>
          <w:p w:rsidR="00E5262E" w:rsidRPr="00532F44" w:rsidRDefault="00E5262E" w:rsidP="00920A0B">
            <w:pPr>
              <w:jc w:val="left"/>
            </w:pPr>
            <w:r w:rsidRPr="00532F44">
              <w:t>Beta(0.5, 11.5) for CHA</w:t>
            </w:r>
            <w:r w:rsidRPr="00532F44">
              <w:rPr>
                <w:vertAlign w:val="subscript"/>
              </w:rPr>
              <w:t>2</w:t>
            </w:r>
            <w:r w:rsidRPr="00532F44">
              <w:t>DS</w:t>
            </w:r>
            <w:r w:rsidRPr="00532F44">
              <w:rPr>
                <w:vertAlign w:val="subscript"/>
              </w:rPr>
              <w:t>2</w:t>
            </w:r>
            <w:r w:rsidRPr="00532F44">
              <w:t xml:space="preserve">-VASc </w:t>
            </w:r>
          </w:p>
          <w:p w:rsidR="00E5262E" w:rsidRPr="00532F44" w:rsidRDefault="00E5262E" w:rsidP="00920A0B">
            <w:pPr>
              <w:jc w:val="left"/>
            </w:pPr>
            <w:r w:rsidRPr="00532F44">
              <w:t>(Both with prior of 0.5 added to both cell counts.)</w:t>
            </w:r>
          </w:p>
        </w:tc>
        <w:tc>
          <w:tcPr>
            <w:tcW w:w="3969" w:type="dxa"/>
          </w:tcPr>
          <w:p w:rsidR="00E5262E" w:rsidRPr="00532F44" w:rsidRDefault="00E5262E" w:rsidP="00920A0B">
            <w:r w:rsidRPr="00532F44">
              <w:t xml:space="preserve">Table 2 of </w:t>
            </w:r>
            <w:proofErr w:type="spellStart"/>
            <w:r w:rsidRPr="00532F44">
              <w:t>Providencia</w:t>
            </w:r>
            <w:proofErr w:type="spellEnd"/>
            <w:r w:rsidRPr="00532F44">
              <w:t xml:space="preserve"> et al 2012 </w:t>
            </w:r>
            <w:r w:rsidR="002F05E5" w:rsidRPr="00532F44">
              <w:fldChar w:fldCharType="begin" w:fldLock="1"/>
            </w:r>
            <w:r w:rsidR="00253316">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p>
        </w:tc>
      </w:tr>
      <w:tr w:rsidR="003225C4" w:rsidRPr="00532F44" w:rsidTr="003225C4">
        <w:trPr>
          <w:divId w:val="1548566716"/>
          <w:trHeight w:val="25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Annual stroke risk by CHADS</w:t>
            </w:r>
            <w:r w:rsidRPr="00532F44">
              <w:rPr>
                <w:vertAlign w:val="subscript"/>
              </w:rPr>
              <w:t>2</w:t>
            </w:r>
            <w:r w:rsidRPr="00532F44">
              <w:t xml:space="preserve"> score</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920A0B">
            <w:proofErr w:type="spellStart"/>
            <w:r w:rsidRPr="00532F44">
              <w:t>Friberg</w:t>
            </w:r>
            <w:proofErr w:type="spellEnd"/>
            <w:r w:rsidRPr="00532F44">
              <w:t xml:space="preserve"> 2012</w:t>
            </w:r>
            <w:r w:rsidR="002F05E5" w:rsidRPr="00532F44">
              <w:fldChar w:fldCharType="begin" w:fldLock="1"/>
            </w:r>
            <w:r w:rsidR="00253316">
              <w:instrText>ADDIN CSL_CITATION { "citationItems" : [ { "id" : "ITEM-1", "itemData" : { "DOI" : "10.1093/eurheartj/ehr488", "abstract" : "AimsThe impact of some risk factors for stroke and bleeding, and the value of stroke and bleeding risk scores, in atrial fibrillation (AF), has been debated, as clinical trial cohorts have not adequately tested these. Our objective was to investigate risk factors for stroke and bleeding in AF, and application of the new CHA(2)DS(2)-VASc and HAS-BLED schemes for stroke and bleeding risk assessments, respectively.Methods and resultsWe used the Swedish Atrial Fibrillation cohort study, a nationwide cohort study of 182 678 subjects with a diagnosis of AF at any Swedish hospital between 1 July 2005 and 31 December 2008, who were prospectively followed for an average of 1.5 years (260 000 years at risk). With the use of the National Swedish Drug Registry, all patients who used an oral anticoagulant anytime during follow-up were identified. Most of the analyses were made on a subset of 90 490 patients who never used anticoagulants. Risk factors for stroke, the composite thromboembolism endpoint (stroke, TIA, or systemic embolism), and bleeding, and the performance of published stroke and bleeding risk stratification schemes were investigated. On multivariable analysis, significant associations were found between the following 'new' risk factors and thromboembolic events; peripheral artery disease [hazard ratio (HR) 1.22 (95% CI 1.12-1.32)], 'vascular disease' [HR 1.14 (1.06-1.23)], prior myocardial infarction [HR 1.09 (1.03-1.15)], and female gender [HR 1.17 (1.11-1.22)]. Previous embolic events, intracranial haemorrhage (ICH), hypertension, diabetes, and renal failure were other independent predictors of the composite thromboembolism endpoint, while thyroid disease (or hyperthyroidism) was not an independent stroke risk factor. C-statistics for the composite thromboembolic endpoint with the CHADS(2) and CHA(2)DS(2)-VASc schemes were 0.66 (0.65-0.66) and 0.67 (0.67-0.68), respectively. On multivariable analysis, age, prior ischaemic stroke or thromboembolism, prior major bleeding events, and hypertension were significant predictors of ICH and major bleeding. Heart failure, diabetes, renal failure, liver disease, anaemia or platelet/coagulation defect, alcohol abuse, and cancer were other significant predictors for major bleeding, but not ICH. The ability for predicting ICH and major bleeding with both bleeding risk schemes (HEMORR(2)HAGES, HAS-BLED) were similar, with c-statistics of \u223c0.6.ConclusionSeveral independent risk factors (prior ICH, myocardial infarc\u2026", "author" : [ { "dropping-particle" : "", "family" : "Friberg", "given" : "Leif", "non-dropping-particle" : "", "parse-names" : false, "suffix" : "" }, { "dropping-particle" : "", "family" : "Rosenqvist", "given" : "M\u00e5rten", "non-dropping-particle" : "", "parse-names" : false, "suffix" : "" }, { "dropping-particle" : "", "family" : "Lip", "given" : "Gregory Y H", "non-dropping-particle" : "", "parse-names" : false, "suffix" : "" } ], "container-title" : "European heart journal", "id" : "ITEM-1", "issued" : { "date-parts" : [ [ "2012", "1", "13" ] ] }, "title" : "Evaluation of risk stratification schemes for ischaemic stroke and bleeding in 182 678 patients with atrial fibrillation: the Swedish Atrial Fibrillation cohort study.", "type" : "article-journal" }, "uris" : [ "http://www.mendeley.com/documents/?uuid=b760e15a-6020-47dc-be51-b4e110be21f8" ] } ], "mendeley" : { "previouslyFormattedCitation" : "[18]" }, "properties" : { "noteIndex" : 0 }, "schema" : "https://github.com/citation-style-language/schema/raw/master/csl-citation.json" }</w:instrText>
            </w:r>
            <w:r w:rsidR="002F05E5" w:rsidRPr="00532F44">
              <w:fldChar w:fldCharType="separate"/>
            </w:r>
            <w:r w:rsidR="00354D59" w:rsidRPr="00354D59">
              <w:rPr>
                <w:noProof/>
              </w:rPr>
              <w:t>[18]</w:t>
            </w:r>
            <w:r w:rsidR="002F05E5" w:rsidRPr="00532F44">
              <w:fldChar w:fldCharType="end"/>
            </w:r>
          </w:p>
        </w:tc>
      </w:tr>
      <w:tr w:rsidR="003225C4" w:rsidRPr="00532F44" w:rsidTr="003225C4">
        <w:trPr>
          <w:divId w:val="1548566716"/>
          <w:trHeight w:val="28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stroke risk in those with LA ABN </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3225C4">
            <w:r w:rsidRPr="00532F44">
              <w:t xml:space="preserve">Connolly et al 2009 </w:t>
            </w:r>
            <w:r w:rsidR="002F05E5" w:rsidRPr="00532F44">
              <w:fldChar w:fldCharType="begin" w:fldLock="1"/>
            </w:r>
            <w:r w:rsidR="00253316">
              <w:instrText>ADDIN CSL_CITATION { "citationItems" : [ { "id" : "ITEM-1", "itemData" : { "DOI" : "NEJMoa0905561 [pii]\n10.1056/NEJMoa0905561", "ISBN" : "1533-4406 (Electronic)\n0028-4793 (Linking)", "abstract" : "BACKGROUND: Warfarin reduces the risk of stroke in patients with atrial fibrillation but increases the risk of hemorrhage and is difficult to use. Dabigatran is a new oral direct thrombin inhibitor. METHODS: In this noninferiority trial, we randomly assigned 18,113 patients who had atrial fibrillation and a risk of stroke to receive, in a blinded fashion, fixed doses of dabigatran--110 mg or 150 mg twice daily--or, in an unblinded fashion, adjusted-dose warfarin. The median duration of the follow-up period was 2.0 years. The primary outcome was stroke or systemic embolism. RESULTS: Rates of the primary outcome were 1.69% per year in the warfarin group, as compared with 1.53% per year in the group that received 110 mg of dabigatran (relative risk with dabigatran, 0.91; 95% confidence interval [CI], 0.74 to 1.11; P&lt;0.001 for noninferiority) and 1.11% per year in the group that received 150 mg of dabigatran (relative risk, 0.66; 95% CI, 0.53 to 0.82; P&lt;0.001 for superiority). The rate of major bleeding was 3.36% per year in the warfarin group, as compared with 2.71% per year in the group receiving 110 mg of dabigatran (P=0.003) and 3.11% per year in the group receiving 150 mg of dabigatran (P=0.31). The rate of hemorrhagic stroke was 0.38% per year in the warfarin group, as compared with 0.12% per year with 110 mg of dabigatran (P&lt;0.001) and 0.10% per year with 150 mg of dabigatran (P&lt;0.001). The mortality rate was 4.13% per year in the warfarin group, as compared with 3.75% per year with 110 mg of dabigatran (P=0.13) and 3.64% per year with 150 mg of dabigatran (P=0.051). CONCLUSIONS: In patients with atrial fibrillation, dabigatran given at a dose of 110 mg was associated with rates of stroke and systemic embolism that were similar to those associated with warfarin, as well as lower rates of major hemorrhage. Dabigatran administered at a dose of 150 mg, as compared with warfarin, was associated with lower rates of stroke and systemic embolism but similar rates of major hemorrhage. (ClinicalTrials.gov number, NCT00262600.)", "author" : [ { "dropping-particle" : "", "family" : "Connolly", "given" : "S J", "non-dropping-particle" : "", "parse-names" : false, "suffix" : "" }, { "dropping-particle" : "", "family" : "Ezekowitz", "given" : "M D", "non-dropping-particle" : "", "parse-names" : false, "suffix" : "" }, { "dropping-particle" : "", "family" : "Yusuf", "given" : "S", "non-dropping-particle" : "", "parse-names" : false, "suffix" : "" }, { "dropping-particle" : "", "family" : "Eikelboom", "given" : "J", "non-dropping-particle" : "", "parse-names" : false, "suffix" : "" }, { "dropping-particle" : "", "family" : "Oldgren", "given" : "J", "non-dropping-particle" : "", "parse-names" : false, "suffix" : "" }, { "dropping-particle" : "", "family" : "Parekh", "given" : "A", "non-dropping-particle" : "", "parse-names" : false, "suffix" : "" }, { "dropping-particle" : "", "family" : "Pogue", "given" : "J", "non-dropping-particle" : "", "parse-names" : false, "suffix" : "" }, { "dropping-particle" : "", "family" : "Reilly", "given" : "P A", "non-dropping-particle" : "", "parse-names" : false, "suffix" : "" }, { "dropping-particle" : "", "family" : "Themeles", "given" : "E", "non-dropping-particle" : "", "parse-names" : false, "suffix" : "" }, { "dropping-particle" : "", "family" : "Varrone", "given" : "J", "non-dropping-particle" : "", "parse-names" : false, "suffix" : "" }, { "dropping-particle" : "", "family" : "Wang", "given" : "S", "non-dropping-particle" : "", "parse-names" : false, "suffix" : "" }, { "dropping-particle" : "", "family" : "Alings", "given" : "M", "non-dropping-particle" : "", "parse-names" : false, "suffix" : "" }, { "dropping-particle" : "", "family" : "Xavier", "given" : "D", "non-dropping-particle" : "", "parse-names" : false, "suffix" : "" }, { "dropping-particle" : "", "family" : "Zhu", "given" : "J", "non-dropping-particle" : "", "parse-names" : false, "suffix" : "" }, { "dropping-particle" : "", "family" : "Diaz", "given" : "R", "non-dropping-particle" : "", "parse-names" : false, "suffix" : "" }, { "dropping-particle" : "", "family" : "Lewis", "given" : "B S", "non-dropping-particle" : "", "parse-names" : false, "suffix" : "" }, { "dropping-particle" : "", "family" : "Darius", "given" : "H", "non-dropping-particle" : "", "parse-names" : false, "suffix" : "" }, { "dropping-particle" : "", "family" : "Diener", "given" : "H C", "non-dropping-particle" : "", "parse-names" : false, "suffix" : "" }, { "dropping-particle" : "", "family" : "Joyner", "given" : "C D", "non-dropping-particle" : "", "parse-names" : false, "suffix" : "" }, { "dropping-particle" : "", "family" : "Wallentin", "given" : "L", "non-dropping-particle" : "", "parse-names" : false, "suffix" : "" } ], "container-title" : "N Engl J Med", "edition" : "2009/09/01", "id" : "ITEM-1", "issue" : "12", "issued" : { "date-parts" : [ [ "2009" ] ] }, "note" : "Connolly, Stuart J\nEzekowitz, Michael D\nYusuf, Salim\nEikelboom, John\nOldgren, Jonas\nParekh, Amit\nPogue, Janice\nReilly, Paul A\nThemeles, Ellison\nVarrone, Jeanne\nWang, Susan\nAlings, Marco\nXavier, Denis\nZhu, Jun\nDiaz, Rafael\nLewis, Basil S\nDarius, Harald\nDiener, Hans-Christoph\nJoyner, Campbell D\nWallentin, Lars\nRE-LY Steering Committee and Investigators\nComparative Study\nMulticenter Study\nRandomized Controlled Trial\nResearch Support, Non-U.S. Gov't\nUnited States\nThe New England journal of medicine\nN Engl J Med. 2009 Sep 17;361(12):1139-51. Epub 2009 Aug 30.", "page" : "1139-1151", "title" : "Dabigatran versus warfarin in patients with atrial fibrillation", "type" : "article-journal", "volume" : "361" }, "uris" : [ "http://www.mendeley.com/documents/?uuid=b15534d5-dfe1-42ed-8f1a-7ade251f010e" ] } ], "mendeley" : { "previouslyFormattedCitation" : "[19]" }, "properties" : { "noteIndex" : 0 }, "schema" : "https://github.com/citation-style-language/schema/raw/master/csl-citation.json" }</w:instrText>
            </w:r>
            <w:r w:rsidR="002F05E5" w:rsidRPr="00532F44">
              <w:fldChar w:fldCharType="separate"/>
            </w:r>
            <w:r w:rsidR="00354D59" w:rsidRPr="00354D59">
              <w:rPr>
                <w:noProof/>
              </w:rPr>
              <w:t>[19]</w:t>
            </w:r>
            <w:r w:rsidR="002F05E5" w:rsidRPr="00532F44">
              <w:fldChar w:fldCharType="end"/>
            </w:r>
          </w:p>
        </w:tc>
      </w:tr>
      <w:tr w:rsidR="003225C4" w:rsidRPr="00532F44" w:rsidTr="003225C4">
        <w:trPr>
          <w:divId w:val="1548566716"/>
          <w:trHeight w:val="131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Relative risk (RR) of stroke in patients receiving </w:t>
            </w:r>
            <w:proofErr w:type="spellStart"/>
            <w:r w:rsidRPr="00532F44">
              <w:t>dabigatran</w:t>
            </w:r>
            <w:proofErr w:type="spellEnd"/>
          </w:p>
        </w:tc>
        <w:tc>
          <w:tcPr>
            <w:tcW w:w="4299" w:type="dxa"/>
          </w:tcPr>
          <w:p w:rsidR="00E5262E" w:rsidRPr="00532F44" w:rsidRDefault="00E5262E" w:rsidP="00920A0B">
            <w:pPr>
              <w:jc w:val="left"/>
            </w:pPr>
            <w:r w:rsidRPr="00532F44">
              <w:t>Indirect comparison simulation approach</w:t>
            </w:r>
          </w:p>
        </w:tc>
        <w:tc>
          <w:tcPr>
            <w:tcW w:w="3969" w:type="dxa"/>
          </w:tcPr>
          <w:p w:rsidR="00E5262E" w:rsidRPr="00532F44" w:rsidRDefault="00E5262E" w:rsidP="00920A0B">
            <w:r w:rsidRPr="00532F44">
              <w:t xml:space="preserve">Lip et al 2006 for RR of warfarin compared with placebo </w:t>
            </w:r>
            <w:r w:rsidR="002F05E5" w:rsidRPr="00532F44">
              <w:fldChar w:fldCharType="begin" w:fldLock="1"/>
            </w:r>
            <w:r w:rsidR="00253316">
              <w:instrText>ADDIN CSL_CITATION { "citationItems" : [ { "id" : "ITEM-1", "itemData" : { "DOI" : "10.1016/j.thromres.2005.08.007",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"[20]" }, "properties" : { "noteIndex" : 0 }, "schema" : "https://github.com/citation-style-language/schema/raw/master/csl-citation.json" }</w:instrText>
            </w:r>
            <w:r w:rsidR="002F05E5" w:rsidRPr="00532F44">
              <w:fldChar w:fldCharType="separate"/>
            </w:r>
            <w:r w:rsidR="00354D59" w:rsidRPr="00354D59">
              <w:rPr>
                <w:noProof/>
              </w:rPr>
              <w:t>[20]</w:t>
            </w:r>
            <w:r w:rsidR="002F05E5" w:rsidRPr="00532F44">
              <w:fldChar w:fldCharType="end"/>
            </w:r>
          </w:p>
          <w:p w:rsidR="00E5262E" w:rsidRPr="00532F44" w:rsidRDefault="00E5262E" w:rsidP="003225C4">
            <w:proofErr w:type="spellStart"/>
            <w:r w:rsidRPr="00532F44">
              <w:t>Eikelboom</w:t>
            </w:r>
            <w:proofErr w:type="spellEnd"/>
            <w:r w:rsidRPr="00532F44">
              <w:t xml:space="preserve"> et al 2011 for RR of </w:t>
            </w:r>
            <w:proofErr w:type="spellStart"/>
            <w:r w:rsidRPr="00532F44">
              <w:t>dabigatran</w:t>
            </w:r>
            <w:proofErr w:type="spellEnd"/>
            <w:r w:rsidRPr="00532F44">
              <w:t xml:space="preserve"> compared with warfarin</w:t>
            </w:r>
            <w:r w:rsidR="002F05E5" w:rsidRPr="00532F44">
              <w:fldChar w:fldCharType="begin" w:fldLock="1"/>
            </w:r>
            <w:r w:rsidR="00253316">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002F05E5" w:rsidRPr="00532F44">
              <w:fldChar w:fldCharType="separate"/>
            </w:r>
            <w:r w:rsidR="00354D59" w:rsidRPr="00354D59">
              <w:rPr>
                <w:noProof/>
              </w:rPr>
              <w:t>[12]</w:t>
            </w:r>
            <w:r w:rsidR="002F05E5" w:rsidRPr="00532F44">
              <w:fldChar w:fldCharType="end"/>
            </w:r>
          </w:p>
        </w:tc>
      </w:tr>
      <w:tr w:rsidR="003225C4" w:rsidRPr="00532F44" w:rsidTr="003225C4">
        <w:trPr>
          <w:divId w:val="1548566716"/>
          <w:trHeight w:val="710"/>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major bleeding risk for patients receiving </w:t>
            </w:r>
            <w:proofErr w:type="spellStart"/>
            <w:r w:rsidRPr="00532F44">
              <w:t>dabigatran</w:t>
            </w:r>
            <w:proofErr w:type="spellEnd"/>
          </w:p>
        </w:tc>
        <w:tc>
          <w:tcPr>
            <w:tcW w:w="4299" w:type="dxa"/>
          </w:tcPr>
          <w:p w:rsidR="00E5262E" w:rsidRPr="00532F44" w:rsidRDefault="00E5262E" w:rsidP="00920A0B">
            <w:pPr>
              <w:jc w:val="left"/>
            </w:pPr>
            <w:r w:rsidRPr="00532F44">
              <w:t>St</w:t>
            </w:r>
            <w:r w:rsidR="003762FF">
              <w:t>r</w:t>
            </w:r>
            <w:r w:rsidRPr="00532F44">
              <w:t>atified by age. Credible interval calculated using simulation approach</w:t>
            </w:r>
          </w:p>
        </w:tc>
        <w:tc>
          <w:tcPr>
            <w:tcW w:w="3969" w:type="dxa"/>
          </w:tcPr>
          <w:p w:rsidR="00E5262E" w:rsidRPr="00532F44" w:rsidRDefault="00E5262E" w:rsidP="003225C4">
            <w:proofErr w:type="spellStart"/>
            <w:r w:rsidRPr="00532F44">
              <w:t>Eikelboom</w:t>
            </w:r>
            <w:proofErr w:type="spellEnd"/>
            <w:r w:rsidRPr="00532F44">
              <w:t xml:space="preserve"> et al 2011</w:t>
            </w:r>
            <w:r w:rsidR="003225C4" w:rsidRPr="00532F44">
              <w:t xml:space="preserve"> </w:t>
            </w:r>
            <w:r w:rsidR="002F05E5" w:rsidRPr="00532F44">
              <w:fldChar w:fldCharType="begin" w:fldLock="1"/>
            </w:r>
            <w:r w:rsidR="00253316">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002F05E5" w:rsidRPr="00532F44">
              <w:fldChar w:fldCharType="separate"/>
            </w:r>
            <w:r w:rsidR="00354D59" w:rsidRPr="00354D59">
              <w:rPr>
                <w:noProof/>
              </w:rPr>
              <w:t>[12]</w:t>
            </w:r>
            <w:r w:rsidR="002F05E5" w:rsidRPr="00532F44">
              <w:fldChar w:fldCharType="end"/>
            </w:r>
          </w:p>
        </w:tc>
      </w:tr>
      <w:tr w:rsidR="00ED28B9" w:rsidRPr="00532F44" w:rsidTr="003225C4">
        <w:trPr>
          <w:divId w:val="1548566716"/>
          <w:trHeight w:val="679"/>
        </w:trPr>
        <w:tc>
          <w:tcPr>
            <w:tcW w:w="1951" w:type="dxa"/>
            <w:vMerge/>
          </w:tcPr>
          <w:p w:rsidR="00ED28B9" w:rsidRPr="00532F44" w:rsidRDefault="00ED28B9" w:rsidP="00920A0B">
            <w:pPr>
              <w:rPr>
                <w:b/>
              </w:rPr>
            </w:pPr>
          </w:p>
        </w:tc>
        <w:tc>
          <w:tcPr>
            <w:tcW w:w="3497" w:type="dxa"/>
          </w:tcPr>
          <w:p w:rsidR="00ED28B9" w:rsidRPr="00532F44" w:rsidRDefault="00ED28B9" w:rsidP="00920A0B">
            <w:r>
              <w:t>Relative risk (RR) of stroke in patients receiving warfarin</w:t>
            </w:r>
          </w:p>
        </w:tc>
        <w:tc>
          <w:tcPr>
            <w:tcW w:w="4299" w:type="dxa"/>
          </w:tcPr>
          <w:p w:rsidR="00ED28B9" w:rsidRPr="00532F44" w:rsidRDefault="00F82325" w:rsidP="00920A0B">
            <w:pPr>
              <w:jc w:val="left"/>
            </w:pPr>
            <w:r w:rsidRPr="00532F44">
              <w:t>RR of warfarin compared with placebo</w:t>
            </w:r>
          </w:p>
        </w:tc>
        <w:tc>
          <w:tcPr>
            <w:tcW w:w="3969" w:type="dxa"/>
          </w:tcPr>
          <w:p w:rsidR="00ED28B9" w:rsidRPr="00532F44" w:rsidRDefault="00F82325" w:rsidP="00F82325">
            <w:r w:rsidRPr="00532F44">
              <w:t xml:space="preserve">Lip et al 2006 </w:t>
            </w:r>
            <w:r w:rsidRPr="00532F44">
              <w:fldChar w:fldCharType="begin" w:fldLock="1"/>
            </w:r>
            <w:r w:rsidR="00253316">
              <w:instrText>ADDIN CSL_CITATION { "citationItems" : [ { "id" : "ITEM-1", "itemData" : { "DOI" : "10.1016/j.thromres.2005.08.007",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"[20]" }, "properties" : { "noteIndex" : 0 }, "schema" : "https://github.com/citation-style-language/schema/raw/master/csl-citation.json" }</w:instrText>
            </w:r>
            <w:r w:rsidRPr="00532F44">
              <w:fldChar w:fldCharType="separate"/>
            </w:r>
            <w:r w:rsidRPr="00354D59">
              <w:rPr>
                <w:noProof/>
              </w:rPr>
              <w:t>[20]</w:t>
            </w:r>
            <w:r w:rsidRPr="00532F44">
              <w:fldChar w:fldCharType="end"/>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Pr="00532F44" w:rsidRDefault="00F82325" w:rsidP="00920A0B">
            <w:r>
              <w:t>Annual major bleeding risk for patients receiving warfarin</w:t>
            </w:r>
          </w:p>
        </w:tc>
        <w:tc>
          <w:tcPr>
            <w:tcW w:w="4299" w:type="dxa"/>
          </w:tcPr>
          <w:p w:rsidR="00F82325" w:rsidRPr="00532F44" w:rsidRDefault="00F82325" w:rsidP="00FF7CB5">
            <w:pPr>
              <w:jc w:val="left"/>
            </w:pPr>
            <w:r w:rsidRPr="00532F44">
              <w:t>St</w:t>
            </w:r>
            <w:r>
              <w:t>r</w:t>
            </w:r>
            <w:r w:rsidRPr="00532F44">
              <w:t>atified by age. Credible interval calculated using simulation approach</w:t>
            </w:r>
          </w:p>
        </w:tc>
        <w:tc>
          <w:tcPr>
            <w:tcW w:w="3969" w:type="dxa"/>
          </w:tcPr>
          <w:p w:rsidR="00F82325" w:rsidRPr="00532F44" w:rsidRDefault="00F82325" w:rsidP="00FF7CB5">
            <w:proofErr w:type="spellStart"/>
            <w:r w:rsidRPr="00532F44">
              <w:t>Eikelboom</w:t>
            </w:r>
            <w:proofErr w:type="spellEnd"/>
            <w:r w:rsidRPr="00532F44">
              <w:t xml:space="preserve"> et al 2011 </w:t>
            </w:r>
            <w:r w:rsidRPr="00532F44">
              <w:fldChar w:fldCharType="begin" w:fldLock="1"/>
            </w:r>
            <w:r w:rsidR="00253316">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Pr="00532F44">
              <w:fldChar w:fldCharType="separate"/>
            </w:r>
            <w:r w:rsidRPr="00354D59">
              <w:rPr>
                <w:noProof/>
              </w:rPr>
              <w:t>[12]</w:t>
            </w:r>
            <w:r w:rsidRPr="00532F44">
              <w:fldChar w:fldCharType="end"/>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Default="00F82325" w:rsidP="00920A0B">
            <w:r>
              <w:t xml:space="preserve">Relative risk (RR) of stroke in patients receiving </w:t>
            </w:r>
            <w:proofErr w:type="spellStart"/>
            <w:r>
              <w:t>rivaroxaban</w:t>
            </w:r>
            <w:proofErr w:type="spellEnd"/>
          </w:p>
        </w:tc>
        <w:tc>
          <w:tcPr>
            <w:tcW w:w="4299" w:type="dxa"/>
          </w:tcPr>
          <w:p w:rsidR="00F82325" w:rsidRPr="00532F44" w:rsidRDefault="00F82325" w:rsidP="00FF7CB5">
            <w:pPr>
              <w:jc w:val="left"/>
            </w:pPr>
            <w:r w:rsidRPr="00532F44">
              <w:t>Indirect comparison simulation approach</w:t>
            </w:r>
          </w:p>
        </w:tc>
        <w:tc>
          <w:tcPr>
            <w:tcW w:w="3969" w:type="dxa"/>
          </w:tcPr>
          <w:p w:rsidR="00F82325" w:rsidRPr="00532F44" w:rsidRDefault="00F82325" w:rsidP="00F82325">
            <w:r w:rsidRPr="00532F44">
              <w:t xml:space="preserve">Lip et al 2006 for RR of warfarin compared with placebo </w:t>
            </w:r>
            <w:r w:rsidRPr="00532F44">
              <w:fldChar w:fldCharType="begin" w:fldLock="1"/>
            </w:r>
            <w:r w:rsidR="00253316">
              <w:instrText>ADDIN CSL_CITATION { "citationItems" : [ { "id" : "ITEM-1", "itemData" : { "DOI" : "10.1016/j.thromres.2005.08.007",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"[20]" }, "properties" : { "noteIndex" : 0 }, "schema" : "https://github.com/citation-style-language/schema/raw/master/csl-citation.json" }</w:instrText>
            </w:r>
            <w:r w:rsidRPr="00532F44">
              <w:fldChar w:fldCharType="separate"/>
            </w:r>
            <w:r w:rsidRPr="00354D59">
              <w:rPr>
                <w:noProof/>
              </w:rPr>
              <w:t>[20]</w:t>
            </w:r>
            <w:r w:rsidRPr="00532F44">
              <w:fldChar w:fldCharType="end"/>
            </w:r>
          </w:p>
          <w:p w:rsidR="00F82325" w:rsidRDefault="00F82325" w:rsidP="00FF7CB5"/>
          <w:p w:rsidR="00F82325" w:rsidRPr="00532F44" w:rsidRDefault="00F82325" w:rsidP="00FF7CB5">
            <w:r>
              <w:t xml:space="preserve">Patel et al 2011 for RR of </w:t>
            </w:r>
            <w:proofErr w:type="spellStart"/>
            <w:r>
              <w:t>rivaroxaban</w:t>
            </w:r>
            <w:proofErr w:type="spellEnd"/>
            <w:r>
              <w:t xml:space="preserve"> compared with warfarin </w:t>
            </w:r>
            <w:r>
              <w:fldChar w:fldCharType="begin" w:fldLock="1"/>
            </w:r>
            <w:r w:rsidR="00253316">
              <w:instrText>ADDIN CSL_CITATION { "citationItems" : [ { "id" : "ITEM-1", "itemData" : { "DOI" : "doi:10.1056/NEJMoa1009638", "author" : [ { "dropping-particle" : "", "family" : "Patel", "given" : "Manesh R", "non-dropping-particle" : "", "parse-names" : false, "suffix" : "" }, { "dropping-particle" : "", "family" : "Mahaffey", "given" : "Kenneth W", "non-dropping-particle" : "", "parse-names" : false, "suffix" : "" }, { "dropping-particle" : "", "family" : "Garg", "given" : "Jyotsna", "non-dropping-particle" : "", "parse-names" : false, "suffix" : "" }, { "dropping-particle" : "", "family" : "Pan", "given" : "Guohua", "non-dropping-particle" : "", "parse-names" : false, "suffix" : "" }, { "dropping-particle" : "", "family" : "Singer", "given" : "Daniel E", "non-dropping-particle" : "", "parse-names" : false, "suffix" : "" }, { "dropping-particle" : "", "family" : "Hacke", "given" : "Werner", "non-dropping-particle" : "", "parse-names" : false, "suffix" : "" }, { "dropping-particle" : "", "family" : "Breithardt", "given" : "G\u00fcnter", "non-dropping-particle" : "", "parse-names" : false, "suffix" : "" }, { "dropping-particle" : "", "family" : "Halperin", "given" : "Jonathan L", "non-dropping-particle" : "", "parse-names" : false, "suffix" : "" }, { "dropping-particle" : "", "family" : "Hankey", "given" : "Graeme J", "non-dropping-particle" : "", "parse-names" : false, "suffix" : "" }, { "dropping-particle" : "", "family" : "Piccini", "given" : "Jonathan P", "non-dropping-particle" : "", "parse-names" : false, "suffix" : "" }, { "dropping-particle" : "", "family" : "Becker", "given" : "Richard C", "non-dropping-particle" : "", "parse-names" : false, "suffix" : "" }, { "dropping-particle" : "", "family" : "Nessel", "given" : "Christopher C", "non-dropping-particle" : "", "parse-names" : false, "suffix" : "" }, { "dropping-particle" : "", "family" : "Paolini", "given" : "John F", "non-dropping-particle" : "", "parse-names" : false, "suffix" : "" }, { "dropping-particle" : "", "family" : "Berkowitz", "given" : "Scott D", "non-dropping-particle" : "", "parse-names" : false, "suffix" : "" }, { "dropping-particle" : "", "family" : "Fox", "given" : "Keith A A", "non-dropping-particle" : "", "parse-names" : false, "suffix" : "" }, { "dropping-particle" : "", "family" : "Califf", "given" : "Robert M", "non-dropping-particle" : "", "parse-names" : false, "suffix" : "" } ], "container-title" : "New England Journal of Medicine", "id" : "ITEM-1", "issue" : "10", "issued" : { "date-parts" : [ [ "2011" ] ] }, "page" : "883-891", "title" : "Rivaroxaban versus Warfarin in Nonvalvular Atrial Fibrillation", "type" : "article-journal", "volume" : "365" }, "uris" : [ "http://www.mendeley.com/documents/?uuid=2bccc0b9-1986-4e0c-9e56-45269b395a6b" ] } ], "mendeley" : { "previouslyFormattedCitation" : "[21]" }, "properties" : { "noteIndex" : 0 }, "schema" : "https://github.com/citation-style-language/schema/raw/master/csl-citation.json" }</w:instrText>
            </w:r>
            <w:r>
              <w:fldChar w:fldCharType="separate"/>
            </w:r>
            <w:r w:rsidRPr="00F82325">
              <w:rPr>
                <w:noProof/>
              </w:rPr>
              <w:t>[21]</w:t>
            </w:r>
            <w:r>
              <w:fldChar w:fldCharType="end"/>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Default="00F82325" w:rsidP="00920A0B">
            <w:r>
              <w:t xml:space="preserve">Annual major bleeding risk for patients receiving </w:t>
            </w:r>
            <w:proofErr w:type="spellStart"/>
            <w:r>
              <w:t>rivaroxaban</w:t>
            </w:r>
            <w:proofErr w:type="spellEnd"/>
          </w:p>
        </w:tc>
        <w:tc>
          <w:tcPr>
            <w:tcW w:w="4299" w:type="dxa"/>
          </w:tcPr>
          <w:p w:rsidR="00F82325" w:rsidRPr="00532F44" w:rsidRDefault="00F82325" w:rsidP="00FF7CB5">
            <w:pPr>
              <w:jc w:val="left"/>
            </w:pPr>
          </w:p>
        </w:tc>
        <w:tc>
          <w:tcPr>
            <w:tcW w:w="3969" w:type="dxa"/>
          </w:tcPr>
          <w:p w:rsidR="00F82325" w:rsidRPr="00532F44" w:rsidRDefault="00F82325" w:rsidP="00FF7CB5">
            <w:r>
              <w:t>Patel et al 2011</w:t>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Pr="00532F44" w:rsidRDefault="00F82325" w:rsidP="00920A0B">
            <w:r w:rsidRPr="00532F44">
              <w:t>Outcome following stroke</w:t>
            </w:r>
          </w:p>
        </w:tc>
        <w:tc>
          <w:tcPr>
            <w:tcW w:w="4299" w:type="dxa"/>
          </w:tcPr>
          <w:p w:rsidR="00F82325" w:rsidRPr="00532F44" w:rsidRDefault="00F82325" w:rsidP="00920A0B">
            <w:pPr>
              <w:jc w:val="left"/>
            </w:pPr>
            <w:r w:rsidRPr="00532F44">
              <w:t>Simulation &amp; mapping based approach</w:t>
            </w:r>
          </w:p>
        </w:tc>
        <w:tc>
          <w:tcPr>
            <w:tcW w:w="3969" w:type="dxa"/>
          </w:tcPr>
          <w:p w:rsidR="00F82325" w:rsidRPr="00532F44" w:rsidRDefault="00F82325" w:rsidP="003225C4">
            <w:r w:rsidRPr="00532F44">
              <w:t xml:space="preserve">Method described in report using results published in </w:t>
            </w:r>
            <w:proofErr w:type="spellStart"/>
            <w:r w:rsidRPr="00532F44">
              <w:t>Rivero</w:t>
            </w:r>
            <w:proofErr w:type="spellEnd"/>
            <w:r w:rsidRPr="00532F44">
              <w:t xml:space="preserve">-Arias et al 2010 </w:t>
            </w:r>
            <w:r w:rsidRPr="00532F44">
              <w:fldChar w:fldCharType="begin" w:fldLock="1"/>
            </w:r>
            <w:r w:rsidR="00253316">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"[22]" }, "properties" : { "noteIndex" : 0 }, "schema" : "https://github.com/citation-style-language/schema/raw/master/csl-citation.json" }</w:instrText>
            </w:r>
            <w:r w:rsidRPr="00532F44">
              <w:fldChar w:fldCharType="separate"/>
            </w:r>
            <w:r w:rsidRPr="00F82325">
              <w:rPr>
                <w:noProof/>
              </w:rPr>
              <w:t>[22]</w:t>
            </w:r>
            <w:r w:rsidRPr="00532F44">
              <w:fldChar w:fldCharType="end"/>
            </w:r>
            <w:r w:rsidRPr="00532F44">
              <w:t xml:space="preserve"> </w:t>
            </w:r>
          </w:p>
        </w:tc>
      </w:tr>
      <w:tr w:rsidR="00F82325" w:rsidRPr="00532F44" w:rsidTr="003225C4">
        <w:trPr>
          <w:divId w:val="1548566716"/>
          <w:trHeight w:val="109"/>
        </w:trPr>
        <w:tc>
          <w:tcPr>
            <w:tcW w:w="1951" w:type="dxa"/>
            <w:vMerge/>
          </w:tcPr>
          <w:p w:rsidR="00F82325" w:rsidRPr="00532F44" w:rsidRDefault="00F82325" w:rsidP="00920A0B">
            <w:pPr>
              <w:rPr>
                <w:b/>
              </w:rPr>
            </w:pPr>
          </w:p>
        </w:tc>
        <w:tc>
          <w:tcPr>
            <w:tcW w:w="3497" w:type="dxa"/>
          </w:tcPr>
          <w:p w:rsidR="00F82325" w:rsidRPr="00532F44" w:rsidRDefault="00F82325" w:rsidP="00920A0B">
            <w:r w:rsidRPr="00532F44">
              <w:t>Outcome following a major bleeding event</w:t>
            </w:r>
          </w:p>
        </w:tc>
        <w:tc>
          <w:tcPr>
            <w:tcW w:w="4299" w:type="dxa"/>
          </w:tcPr>
          <w:p w:rsidR="00F82325" w:rsidRPr="00532F44" w:rsidRDefault="00F82325" w:rsidP="00920A0B">
            <w:pPr>
              <w:jc w:val="left"/>
            </w:pPr>
            <w:r w:rsidRPr="00532F44">
              <w:t>Previous estimates</w:t>
            </w:r>
          </w:p>
        </w:tc>
        <w:tc>
          <w:tcPr>
            <w:tcW w:w="3969" w:type="dxa"/>
          </w:tcPr>
          <w:p w:rsidR="00F82325" w:rsidRPr="00532F44" w:rsidRDefault="00F82325" w:rsidP="00920A0B">
            <w:r w:rsidRPr="00532F44">
              <w:t xml:space="preserve"> Simpson et al 2010 </w:t>
            </w:r>
            <w:r w:rsidRPr="00532F44">
              <w:fldChar w:fldCharType="begin" w:fldLock="1"/>
            </w:r>
            <w:r w:rsidR="00253316">
              <w:instrText>ADDIN CSL_CITATION { "citationItems" : [ { "id" : "ITEM-1", "itemData" : { "DOI" : "10.3310/hta13020", "author" : [ { "dropping-particle" : "", "family" : "Simpson", "given" : "E L", "non-dropping-particle" : "", "parse-names" : false, "suffix" : "" }, { "dropping-particle" : "", "family" : "Stevenson", "given" : "M D", "non-dropping-particle" : "", "parse-names" : false, "suffix" : "" }, { "dropping-particle" : "", "family" : "Rawdin", "given" : "A", "non-dropping-particle" : "", "parse-names" : false, "suffix" : "" }, { "dropping-particle" : "", "family" : "Papaioannou", "given" : "D", "non-dropping-particle" : "", "parse-names" : false, "suffix" : "" } ], "container-title" : "Health Technology Assessment", "id" : "ITEM-1", "issue" : "2", "issued" : { "date-parts" : [ [ "2009" ] ] }, "title" : "Thrombophilia testing in people with venous thromboembolism: systematic review and cost-effectiveness analysis", "type" : "article-journal", "volume" : "13" }, "uris" : [ "http://www.mendeley.com/documents/?uuid=dbac3526-14ee-4ea7-9960-f60763d63120" ] } ], "mendeley" : { "previouslyFormattedCitation" : "[23]" }, "properties" : { "noteIndex" : 0 }, "schema" : "https://github.com/citation-style-language/schema/raw/master/csl-citation.json" }</w:instrText>
            </w:r>
            <w:r w:rsidRPr="00532F44">
              <w:fldChar w:fldCharType="separate"/>
            </w:r>
            <w:r w:rsidRPr="00F82325">
              <w:rPr>
                <w:noProof/>
              </w:rPr>
              <w:t>[23]</w:t>
            </w:r>
            <w:r w:rsidRPr="00532F44">
              <w:fldChar w:fldCharType="end"/>
            </w:r>
          </w:p>
        </w:tc>
      </w:tr>
      <w:tr w:rsidR="00F82325" w:rsidRPr="00532F44" w:rsidTr="003225C4">
        <w:trPr>
          <w:divId w:val="1548566716"/>
          <w:trHeight w:val="612"/>
        </w:trPr>
        <w:tc>
          <w:tcPr>
            <w:tcW w:w="1951" w:type="dxa"/>
            <w:vMerge w:val="restart"/>
          </w:tcPr>
          <w:p w:rsidR="00F82325" w:rsidRPr="00532F44" w:rsidRDefault="00F82325" w:rsidP="00920A0B">
            <w:pPr>
              <w:rPr>
                <w:b/>
              </w:rPr>
            </w:pPr>
            <w:r w:rsidRPr="00532F44">
              <w:rPr>
                <w:b/>
              </w:rPr>
              <w:t>Utilities</w:t>
            </w:r>
          </w:p>
        </w:tc>
        <w:tc>
          <w:tcPr>
            <w:tcW w:w="3497" w:type="dxa"/>
          </w:tcPr>
          <w:p w:rsidR="00F82325" w:rsidRPr="00532F44" w:rsidRDefault="00F82325" w:rsidP="00920A0B">
            <w:r w:rsidRPr="00532F44">
              <w:t>Baseline utilities by age and gender</w:t>
            </w:r>
          </w:p>
        </w:tc>
        <w:tc>
          <w:tcPr>
            <w:tcW w:w="4299" w:type="dxa"/>
          </w:tcPr>
          <w:p w:rsidR="00F82325" w:rsidRPr="00532F44" w:rsidRDefault="00F82325" w:rsidP="00920A0B">
            <w:r w:rsidRPr="00532F44">
              <w:t>Regression based approach</w:t>
            </w:r>
          </w:p>
        </w:tc>
        <w:tc>
          <w:tcPr>
            <w:tcW w:w="3969" w:type="dxa"/>
          </w:tcPr>
          <w:p w:rsidR="00F82325" w:rsidRPr="00532F44" w:rsidRDefault="00F82325" w:rsidP="00920A0B">
            <w:proofErr w:type="spellStart"/>
            <w:r w:rsidRPr="00532F44">
              <w:t>Ara</w:t>
            </w:r>
            <w:proofErr w:type="spellEnd"/>
            <w:r w:rsidRPr="00532F44">
              <w:t xml:space="preserve"> et al 2010 </w:t>
            </w:r>
            <w:r w:rsidRPr="00532F44">
              <w:fldChar w:fldCharType="begin" w:fldLock="1"/>
            </w:r>
            <w:r w:rsidR="00253316">
              <w:instrText>ADDIN CSL_CITATION { "citationItems" : [ { "id" : "ITEM-1", "itemData" : { "DOI" : "10.1111/j.1524-4733.2010.00700.x", "abstract" : "The methods used to estimate health-state utility values (HSUV) for multiple health conditions can produce very different values. Economic results generated using baselines of perfect health are not comparable with those generated using baselines adjusted to reflect the HSUVs associated with the health condition. Despite this, there is no guidance on the preferred techniques and little research describing the effect on cost per quality adjusted life-year (QALY) results when using the different methods.", "author" : [ { "dropping-particle" : "", "family" : "Ara", "given" : "Roberta", "non-dropping-particle" : "", "parse-names" : false, "suffix" : "" }, { "dropping-particle" : "", "family" : "Brazier", "given" : "John E", "non-dropping-particle" : "", "parse-names" : false, "suffix" : "" } ], "container-title" : "Value in health : the journal of the International Society for Pharmacoeconomics and Outcomes Research", "id" : "ITEM-1", "issue" : "5", "issued" : { "date-parts" : [ [ "2010", "8" ] ] }, "page" : "509-18", "title" : "Populating an economic model with health state utility values: moving toward better practice.", "type" : "article-journal", "volume" : "13" }, "uris" : [ "http://www.mendeley.com/documents/?uuid=bfe4d3b7-823a-4c85-b21f-49ab22620108" ] } ], "mendeley" : { "previouslyFormattedCitation" : "[24]" }, "properties" : { "noteIndex" : 0 }, "schema" : "https://github.com/citation-style-language/schema/raw/master/csl-citation.json" }</w:instrText>
            </w:r>
            <w:r w:rsidRPr="00532F44">
              <w:fldChar w:fldCharType="separate"/>
            </w:r>
            <w:r w:rsidRPr="00F82325">
              <w:rPr>
                <w:noProof/>
              </w:rPr>
              <w:t>[24]</w:t>
            </w:r>
            <w:r w:rsidRPr="00532F44">
              <w:fldChar w:fldCharType="end"/>
            </w:r>
          </w:p>
          <w:p w:rsidR="00F82325" w:rsidRPr="00532F44" w:rsidRDefault="00F82325" w:rsidP="00920A0B"/>
        </w:tc>
      </w:tr>
      <w:tr w:rsidR="00F82325" w:rsidRPr="00532F44" w:rsidTr="003225C4">
        <w:trPr>
          <w:divId w:val="1548566716"/>
          <w:trHeight w:val="122"/>
        </w:trPr>
        <w:tc>
          <w:tcPr>
            <w:tcW w:w="1951" w:type="dxa"/>
            <w:vMerge/>
          </w:tcPr>
          <w:p w:rsidR="00F82325" w:rsidRPr="00532F44" w:rsidRDefault="00F82325" w:rsidP="00920A0B"/>
        </w:tc>
        <w:tc>
          <w:tcPr>
            <w:tcW w:w="3497" w:type="dxa"/>
          </w:tcPr>
          <w:p w:rsidR="00F82325" w:rsidRPr="00532F44" w:rsidRDefault="00F82325" w:rsidP="00920A0B">
            <w:r w:rsidRPr="00532F44">
              <w:t>Utility multiplier following stroke, utility multiplier following major non-fatal intracranial bleed</w:t>
            </w:r>
          </w:p>
        </w:tc>
        <w:tc>
          <w:tcPr>
            <w:tcW w:w="4299" w:type="dxa"/>
          </w:tcPr>
          <w:p w:rsidR="00F82325" w:rsidRPr="00532F44" w:rsidRDefault="00F82325" w:rsidP="00920A0B">
            <w:pPr>
              <w:jc w:val="left"/>
            </w:pPr>
            <w:r w:rsidRPr="00532F44">
              <w:t>Simulation &amp; mapping based approach</w:t>
            </w:r>
          </w:p>
        </w:tc>
        <w:tc>
          <w:tcPr>
            <w:tcW w:w="3969" w:type="dxa"/>
          </w:tcPr>
          <w:p w:rsidR="00F82325" w:rsidRPr="00532F44" w:rsidRDefault="00F82325" w:rsidP="00920A0B">
            <w:r w:rsidRPr="00532F44">
              <w:t xml:space="preserve">Method described in report results published in </w:t>
            </w:r>
          </w:p>
          <w:p w:rsidR="00F82325" w:rsidRPr="00532F44" w:rsidRDefault="00F82325" w:rsidP="00920A0B">
            <w:proofErr w:type="spellStart"/>
            <w:r w:rsidRPr="00532F44">
              <w:t>Rivero</w:t>
            </w:r>
            <w:proofErr w:type="spellEnd"/>
            <w:r w:rsidRPr="00532F44">
              <w:t xml:space="preserve">-Arias et al 2010 </w:t>
            </w:r>
            <w:r w:rsidRPr="00532F44">
              <w:fldChar w:fldCharType="begin" w:fldLock="1"/>
            </w:r>
            <w:r w:rsidR="00253316">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"[22]" }, "properties" : { "noteIndex" : 0 }, "schema" : "https://github.com/citation-style-language/schema/raw/master/csl-citation.json" }</w:instrText>
            </w:r>
            <w:r w:rsidRPr="00532F44">
              <w:fldChar w:fldCharType="separate"/>
            </w:r>
            <w:r w:rsidRPr="00F82325">
              <w:rPr>
                <w:noProof/>
              </w:rPr>
              <w:t>[22]</w:t>
            </w:r>
            <w:r w:rsidRPr="00532F44">
              <w:fldChar w:fldCharType="end"/>
            </w:r>
          </w:p>
        </w:tc>
      </w:tr>
      <w:tr w:rsidR="00F82325" w:rsidRPr="00532F44" w:rsidTr="003225C4">
        <w:trPr>
          <w:divId w:val="1548566716"/>
          <w:trHeight w:val="304"/>
        </w:trPr>
        <w:tc>
          <w:tcPr>
            <w:tcW w:w="1951" w:type="dxa"/>
            <w:vMerge w:val="restart"/>
          </w:tcPr>
          <w:p w:rsidR="00F82325" w:rsidRPr="00532F44" w:rsidRDefault="00F82325" w:rsidP="00920A0B">
            <w:pPr>
              <w:rPr>
                <w:b/>
              </w:rPr>
            </w:pPr>
            <w:r w:rsidRPr="00532F44">
              <w:rPr>
                <w:b/>
              </w:rPr>
              <w:t>Costs</w:t>
            </w:r>
          </w:p>
        </w:tc>
        <w:tc>
          <w:tcPr>
            <w:tcW w:w="3497" w:type="dxa"/>
          </w:tcPr>
          <w:p w:rsidR="00F82325" w:rsidRPr="00532F44" w:rsidRDefault="00F82325" w:rsidP="00920A0B">
            <w:r w:rsidRPr="00532F44">
              <w:t xml:space="preserve">Annual cost of </w:t>
            </w:r>
            <w:proofErr w:type="spellStart"/>
            <w:r w:rsidRPr="00532F44">
              <w:t>dabigatran</w:t>
            </w:r>
            <w:proofErr w:type="spellEnd"/>
          </w:p>
        </w:tc>
        <w:tc>
          <w:tcPr>
            <w:tcW w:w="4299" w:type="dxa"/>
          </w:tcPr>
          <w:p w:rsidR="00F82325" w:rsidRPr="00532F44" w:rsidRDefault="00F82325" w:rsidP="00621BC9">
            <w:r w:rsidRPr="00532F44">
              <w:t>£</w:t>
            </w:r>
            <w:r>
              <w:t>920</w:t>
            </w:r>
            <w:r w:rsidRPr="00532F44">
              <w:t>.</w:t>
            </w:r>
            <w:r>
              <w:t>43</w:t>
            </w:r>
          </w:p>
        </w:tc>
        <w:tc>
          <w:tcPr>
            <w:tcW w:w="3969" w:type="dxa"/>
          </w:tcPr>
          <w:p w:rsidR="00F82325" w:rsidRPr="00532F44" w:rsidRDefault="00F82325" w:rsidP="003225C4">
            <w:r w:rsidRPr="00532F44">
              <w:t xml:space="preserve">NICE FAD, 2011   </w:t>
            </w:r>
            <w:r w:rsidRPr="00532F44">
              <w:fldChar w:fldCharType="begin" w:fldLock="1"/>
            </w:r>
            <w:r w:rsidR="00253316">
              <w:instrText>ADDIN CSL_CITATION { "citationItems" : [ { "id" : "ITEM-1", "itemData" : { "author" : [ { "dropping-particle" : "", "family" : "NICE", "given" : "", "non-dropping-particle" : "", "parse-names" : false, "suffix" : "" } ], "id" : "ITEM-1", "issue" : "12 January", "issued" : { "date-parts" : [ [ "2011" ] ] }, "title" : "Dabigatran etexilate for the prevention of stroke and systemic embolism in atrial fibrillation: Final appraisal determination", "type" : "article", "volume" : "2012" }, "uris" : [ "http://www.mendeley.com/documents/?uuid=6d827589-3505-4467-8e9e-7bf24f2e9e81" ] } ], "mendeley" : { "previouslyFormattedCitation" : "[25]" }, "properties" : { "noteIndex" : 0 }, "schema" : "https://github.com/citation-style-language/schema/raw/master/csl-citation.json" }</w:instrText>
            </w:r>
            <w:r w:rsidRPr="00532F44">
              <w:fldChar w:fldCharType="separate"/>
            </w:r>
            <w:r w:rsidRPr="00F82325">
              <w:rPr>
                <w:noProof/>
              </w:rPr>
              <w:t>[25]</w:t>
            </w:r>
            <w:r w:rsidRPr="00532F44">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Pr="00532F44" w:rsidRDefault="00F82325" w:rsidP="00920A0B">
            <w:r>
              <w:t xml:space="preserve">Annual cost of </w:t>
            </w:r>
            <w:proofErr w:type="spellStart"/>
            <w:r>
              <w:t>rivaroxaban</w:t>
            </w:r>
            <w:proofErr w:type="spellEnd"/>
          </w:p>
        </w:tc>
        <w:tc>
          <w:tcPr>
            <w:tcW w:w="4299" w:type="dxa"/>
          </w:tcPr>
          <w:p w:rsidR="00F82325" w:rsidRPr="00532F44" w:rsidRDefault="00F82325" w:rsidP="00920A0B">
            <w:r>
              <w:t>£767</w:t>
            </w:r>
          </w:p>
        </w:tc>
        <w:tc>
          <w:tcPr>
            <w:tcW w:w="3969" w:type="dxa"/>
          </w:tcPr>
          <w:p w:rsidR="00F82325" w:rsidRPr="00532F44" w:rsidRDefault="00F82325" w:rsidP="003225C4">
            <w:r>
              <w:t xml:space="preserve">London New Drugs Group </w:t>
            </w:r>
            <w:r>
              <w:fldChar w:fldCharType="begin" w:fldLock="1"/>
            </w:r>
            <w:r w:rsidR="00253316">
              <w:instrText>ADDIN CSL_CITATION { "citationItems" : [ { "id" : "ITEM-1", "itemData" : { "author" : [ { "dropping-particle" : "", "family" : "Group", "given" : "London New Drugs", "non-dropping-particle" : "", "parse-names" : false, "suffix" : "" } ], "id" : "ITEM-1", "issue" : "2 February", "issued" : { "date-parts" : [ [ "2012" ] ] }, "publisher" : "UKMI", "publisher-place" : "London", "title" : "A briefing paper on Dabigatran and Rivaroxaban: What we know so far...", "type" : "article", "volume" : "2012" }, "uris" : [ "http://www.mendeley.com/documents/?uuid=6da80716-8a4b-4d44-aaf3-c1d24ea8c9b8" ] } ], "mendeley" : { "previouslyFormattedCitation" : "[26]" }, "properties" : { "noteIndex" : 0 }, "schema" : "https://github.com/citation-style-language/schema/raw/master/csl-citation.json" }</w:instrText>
            </w:r>
            <w:r>
              <w:fldChar w:fldCharType="separate"/>
            </w:r>
            <w:r w:rsidRPr="00F82325">
              <w:rPr>
                <w:noProof/>
              </w:rPr>
              <w:t>[26]</w:t>
            </w:r>
            <w:r>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Default="00F82325" w:rsidP="00920A0B">
            <w:r>
              <w:t>Annual cost of warfarin</w:t>
            </w:r>
          </w:p>
        </w:tc>
        <w:tc>
          <w:tcPr>
            <w:tcW w:w="4299" w:type="dxa"/>
          </w:tcPr>
          <w:p w:rsidR="00F82325" w:rsidRDefault="00F82325" w:rsidP="00920A0B">
            <w:r>
              <w:t>£252 to £259 including monitoring costs</w:t>
            </w:r>
          </w:p>
        </w:tc>
        <w:tc>
          <w:tcPr>
            <w:tcW w:w="3969" w:type="dxa"/>
          </w:tcPr>
          <w:p w:rsidR="00F82325" w:rsidRPr="00532F44" w:rsidRDefault="00F82325" w:rsidP="003225C4">
            <w:r>
              <w:t xml:space="preserve">BNF </w:t>
            </w:r>
            <w:r>
              <w:fldChar w:fldCharType="begin" w:fldLock="1"/>
            </w:r>
            <w:r w:rsidR="00253316">
              <w:instrText>ADDIN CSL_CITATION { "citationItems" : [ { "id" : "ITEM-1", "itemData" : { "author" : [ { "dropping-particle" : "", "family" : "BNF", "given" : "", "non-dropping-particle" : "", "parse-names" : false, "suffix" : "" } ], "id" : "ITEM-1", "issue" : "18 January", "issued" : { "date-parts" : [ [ "2011" ] ] }, "note" : "Tablets, warfarin sodium 500 micrograms (white), net price 28-tab pack = \u00a31.67; 1 mg (brown), 28-tab pack = 86p; 3 mg (blue), 28-tab pack = 86p; 5 mg (pink), 28-tab pack = 92p. Label: 10, anticoagulant card\nBrands include Marevan\u00ae\nOral suspension, warfarin sodium 5 mg/5 mL, net price 150 mL = \u00a390.00. Label: 10, anticoagulant card", "title" : "Warfarin", "type" : "article", "volume" : "2012" }, "uris" : [ "http://www.mendeley.com/documents/?uuid=cec702a9-a87f-424a-b46c-3f39d2e26706" ] } ], "mendeley" : { "previouslyFormattedCitation" : "[27]" }, "properties" : { "noteIndex" : 0 }, "schema" : "https://github.com/citation-style-language/schema/raw/master/csl-citation.json" }</w:instrText>
            </w:r>
            <w:r>
              <w:fldChar w:fldCharType="separate"/>
            </w:r>
            <w:r w:rsidRPr="00F82325">
              <w:rPr>
                <w:noProof/>
              </w:rPr>
              <w:t>[27]</w:t>
            </w:r>
            <w:r>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Pr="00621BC9" w:rsidRDefault="00F82325" w:rsidP="00B13ECE">
            <w:r w:rsidRPr="00621BC9">
              <w:t>Cost of TTE</w:t>
            </w:r>
          </w:p>
        </w:tc>
        <w:tc>
          <w:tcPr>
            <w:tcW w:w="4299" w:type="dxa"/>
          </w:tcPr>
          <w:p w:rsidR="00F82325" w:rsidRPr="00532F44" w:rsidRDefault="00F82325" w:rsidP="00B13ECE">
            <w:r w:rsidRPr="00532F44">
              <w:t>£66</w:t>
            </w:r>
          </w:p>
        </w:tc>
        <w:tc>
          <w:tcPr>
            <w:tcW w:w="3969" w:type="dxa"/>
          </w:tcPr>
          <w:p w:rsidR="00F82325" w:rsidRPr="00532F44" w:rsidRDefault="00F82325" w:rsidP="00B13ECE">
            <w:r w:rsidRPr="00532F44">
              <w:t xml:space="preserve">NHS Reference Costs </w:t>
            </w:r>
            <w:r>
              <w:fldChar w:fldCharType="begin" w:fldLock="1"/>
            </w:r>
            <w:r w:rsidR="00253316">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"[28]" }, "properties" : { "noteIndex" : 0 }, "schema" : "https://github.com/citation-style-language/schema/raw/master/csl-citation.json" }</w:instrText>
            </w:r>
            <w:r>
              <w:fldChar w:fldCharType="separate"/>
            </w:r>
            <w:r w:rsidRPr="00F82325">
              <w:rPr>
                <w:noProof/>
              </w:rPr>
              <w:t>[28]</w:t>
            </w:r>
            <w:r>
              <w:fldChar w:fldCharType="end"/>
            </w:r>
          </w:p>
        </w:tc>
      </w:tr>
      <w:tr w:rsidR="00F82325" w:rsidRPr="00532F44" w:rsidTr="003225C4">
        <w:trPr>
          <w:divId w:val="1548566716"/>
          <w:trHeight w:val="399"/>
        </w:trPr>
        <w:tc>
          <w:tcPr>
            <w:tcW w:w="1951" w:type="dxa"/>
            <w:vMerge/>
          </w:tcPr>
          <w:p w:rsidR="00F82325" w:rsidRPr="00532F44" w:rsidRDefault="00F82325" w:rsidP="00920A0B"/>
        </w:tc>
        <w:tc>
          <w:tcPr>
            <w:tcW w:w="3497" w:type="dxa"/>
          </w:tcPr>
          <w:p w:rsidR="00F82325" w:rsidRPr="00532F44" w:rsidRDefault="00F82325" w:rsidP="00920A0B">
            <w:r w:rsidRPr="00532F44">
              <w:t>Cost of death due to stroke</w:t>
            </w:r>
          </w:p>
        </w:tc>
        <w:tc>
          <w:tcPr>
            <w:tcW w:w="4299" w:type="dxa"/>
          </w:tcPr>
          <w:p w:rsidR="00F82325" w:rsidRPr="00532F44" w:rsidRDefault="00F82325" w:rsidP="00920A0B">
            <w:r w:rsidRPr="00532F44">
              <w:t xml:space="preserve">£7,019 (95% </w:t>
            </w:r>
            <w:proofErr w:type="spellStart"/>
            <w:r w:rsidRPr="00532F44">
              <w:t>CrI</w:t>
            </w:r>
            <w:proofErr w:type="spellEnd"/>
            <w:r w:rsidRPr="00532F44">
              <w:t xml:space="preserve"> £6,975 to £7,064)</w:t>
            </w:r>
          </w:p>
        </w:tc>
        <w:tc>
          <w:tcPr>
            <w:tcW w:w="3969" w:type="dxa"/>
          </w:tcPr>
          <w:p w:rsidR="00F82325" w:rsidRPr="00532F44" w:rsidRDefault="00F82325" w:rsidP="003225C4">
            <w:proofErr w:type="spellStart"/>
            <w:r w:rsidRPr="00532F44">
              <w:t>Sandercock</w:t>
            </w:r>
            <w:proofErr w:type="spellEnd"/>
            <w:r w:rsidRPr="00532F44">
              <w:t xml:space="preserve"> et al 2002 </w:t>
            </w:r>
            <w:r w:rsidRPr="00532F44">
              <w:fldChar w:fldCharType="begin" w:fldLock="1"/>
            </w:r>
            <w:r w:rsidR="00253316">
              <w:instrText>ADDIN CSL_CITATION { "citationItems" : [ { "id" : "ITEM-1", "itemData" : { "author" : [ { "dropping-particle" : "", "family" : "Sandercock", "given" : "P", "non-dropping-particle" : "", "parse-names" : false, "suffix" : "" }, { "dropping-particle" : "", "family" : "Berge", "given" : "E", "non-dropping-particle" : "", "parse-names" : false, "suffix" : "" }, { "dropping-particle" : "", "family" : "Dennis", "given" : "M", "non-dropping-particle" : "", "parse-names" : false, "suffix" : "" }, { "dropping-particle" : "", "family" : "Forbes", "given" : "J", "non-dropping-particle" : "", "parse-names" : false, "suffix" : "" }, { "dropping-particle" : "", "family" : "Hand", "given" : "P", "non-dropping-particle" : "", "parse-names" : false, "suffix" : "" }, { "dropping-particle" : "", "family" : "Kwan", "given" : "J", "non-dropping-particle" : "", "parse-names" : false, "suffix" : "" }, { "dropping-particle" : "", "family" : "Lewis", "given" : "S", "non-dropping-particle" : "", "parse-names" : false, "suffix" : "" }, { "dropping-particle" : "", "family" : "Lindley", "given" : "R", "non-dropping-particle" : "", "parse-names" : false, "suffix" : "" }, { "dropping-particle" : "", "family" : "Neilson", "given" : "A", "non-dropping-particle" : "", "parse-names" : false, "suffix" : "" }, { "dropping-particle" : "", "family" : "Thomas", "given" : "B", "non-dropping-particle" : "", "parse-names" : false, "suffix" : "" }, { "dropping-particle" : "", "family" : "Wardlaw", "given" : "J", "non-dropping-particle" : "", "parse-names" : false, "suffix" : "" } ], "container-title" : "Health Technology Assessment", "id" : "ITEM-1", "issue" : "26", "issued" : { "date-parts" : [ [ "2002" ] ] }, "title" : "A systematic review of the effectiveness, cost-effectiveness and barriers to implementation of thrombolytic and neuroprotective therapy for acute ischaemic stroke in the NHS", "type" : "article-journal", "volume" : "6" }, "uris" : [ "http://www.mendeley.com/documents/?uuid=bd4d8f3a-ea79-42f8-98dd-23e6f4f46cb5" ] } ], "mendeley" : { "previouslyFormattedCitation" : "[29]" }, "properties" : { "noteIndex" : 0 }, "schema" : "https://github.com/citation-style-language/schema/raw/master/csl-citation.json" }</w:instrText>
            </w:r>
            <w:r w:rsidRPr="00532F44">
              <w:fldChar w:fldCharType="separate"/>
            </w:r>
            <w:r w:rsidRPr="00F82325">
              <w:rPr>
                <w:noProof/>
              </w:rPr>
              <w:t>[29]</w:t>
            </w:r>
            <w:r w:rsidRPr="00532F44">
              <w:fldChar w:fldCharType="end"/>
            </w:r>
          </w:p>
        </w:tc>
      </w:tr>
      <w:tr w:rsidR="00F82325" w:rsidRPr="00532F44" w:rsidTr="003225C4">
        <w:trPr>
          <w:divId w:val="1548566716"/>
          <w:trHeight w:val="1128"/>
        </w:trPr>
        <w:tc>
          <w:tcPr>
            <w:tcW w:w="1951" w:type="dxa"/>
            <w:vMerge/>
          </w:tcPr>
          <w:p w:rsidR="00F82325" w:rsidRPr="00532F44" w:rsidRDefault="00F82325" w:rsidP="00920A0B"/>
        </w:tc>
        <w:tc>
          <w:tcPr>
            <w:tcW w:w="3497" w:type="dxa"/>
          </w:tcPr>
          <w:p w:rsidR="00F82325" w:rsidRPr="00532F44" w:rsidRDefault="00F82325" w:rsidP="00920A0B">
            <w:r w:rsidRPr="00532F44">
              <w:t>Costs in stroke survivors</w:t>
            </w:r>
          </w:p>
        </w:tc>
        <w:tc>
          <w:tcPr>
            <w:tcW w:w="4299" w:type="dxa"/>
          </w:tcPr>
          <w:p w:rsidR="00F82325" w:rsidRPr="00532F44" w:rsidRDefault="00F82325" w:rsidP="00920A0B">
            <w:r w:rsidRPr="00532F44">
              <w:t>Various. Differing according to dependent and independent states. Subdivided into ongoing and continuing costs</w:t>
            </w:r>
          </w:p>
        </w:tc>
        <w:tc>
          <w:tcPr>
            <w:tcW w:w="3969" w:type="dxa"/>
          </w:tcPr>
          <w:p w:rsidR="00F82325" w:rsidRPr="00532F44" w:rsidRDefault="00F82325" w:rsidP="00920A0B">
            <w:r w:rsidRPr="00532F44">
              <w:t xml:space="preserve">NHS Reference Costs </w:t>
            </w:r>
            <w:r w:rsidRPr="00532F44">
              <w:fldChar w:fldCharType="begin" w:fldLock="1"/>
            </w:r>
            <w:r w:rsidR="00253316">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"[28]" }, "properties" : { "noteIndex" : 0 }, "schema" : "https://github.com/citation-style-language/schema/raw/master/csl-citation.json" }</w:instrText>
            </w:r>
            <w:r w:rsidRPr="00532F44">
              <w:fldChar w:fldCharType="separate"/>
            </w:r>
            <w:r w:rsidRPr="00F82325">
              <w:rPr>
                <w:noProof/>
              </w:rPr>
              <w:t>[28]</w:t>
            </w:r>
            <w:r w:rsidRPr="00532F44">
              <w:fldChar w:fldCharType="end"/>
            </w:r>
          </w:p>
          <w:p w:rsidR="00F82325" w:rsidRPr="00532F44" w:rsidRDefault="00F82325" w:rsidP="00920A0B">
            <w:r w:rsidRPr="00532F44">
              <w:t xml:space="preserve">NHS Stroke Strategy Impact Assessment  </w:t>
            </w:r>
            <w:r w:rsidRPr="00532F44">
              <w:fldChar w:fldCharType="begin" w:fldLock="1"/>
            </w:r>
            <w:r w:rsidR="00253316">
              <w:instrText>ADDIN CSL_CITATION { "citationItems" : [ { "id" : "ITEM-1", "itemData" : { "author" : [ { "dropping-particle" : "", "family" : "NHS", "given" : "", "non-dropping-particle" : "", "parse-names" : false, "suffix" : "" } ], "id" : "ITEM-1", "issue" : "13 January", "issued" : { "date-parts" : [ [ "2007" ] ] }, "title" : "National Stroke Strategy Impact Assessment", "type" : "article", "volume" : "2012" }, "uris" : [ "http://www.mendeley.com/documents/?uuid=a0421089-5288-4a8d-a7a4-42744d167907" ] } ], "mendeley" : { "previouslyFormattedCitation" : "[30]" }, "properties" : { "noteIndex" : 0 }, "schema" : "https://github.com/citation-style-language/schema/raw/master/csl-citation.json" }</w:instrText>
            </w:r>
            <w:r w:rsidRPr="00532F44">
              <w:fldChar w:fldCharType="separate"/>
            </w:r>
            <w:r w:rsidRPr="00F82325">
              <w:rPr>
                <w:noProof/>
              </w:rPr>
              <w:t>[30]</w:t>
            </w:r>
            <w:r w:rsidRPr="00532F44">
              <w:fldChar w:fldCharType="end"/>
            </w:r>
          </w:p>
          <w:p w:rsidR="00F82325" w:rsidRPr="00532F44" w:rsidRDefault="00F82325" w:rsidP="003225C4">
            <w:r w:rsidRPr="00532F44">
              <w:t xml:space="preserve">Unit Costs of Health and Social Care 2010 </w:t>
            </w:r>
            <w:r w:rsidRPr="00532F44">
              <w:fldChar w:fldCharType="begin" w:fldLock="1"/>
            </w:r>
            <w:r w:rsidR="00253316">
              <w:instrText>ADDIN CSL_CITATION { "citationItems" : [ { "id" : "ITEM-1", "itemData" : { "author" : [ { "dropping-particle" : "", "family" : "Curtis", "given" : "L", "non-dropping-particle" : "", "parse-names" : false, "suffix" : "" } ], "id" : "ITEM-1", "issued" : { "date-parts" : [ [ "2010" ] ] }, "page" : "257", "publisher-place" : "Kent", "title" : "Unit Costs of Health and Social Care 2010", "type" : "report" }, "uris" : [ "http://www.mendeley.com/documents/?uuid=83ce0d2a-1f8f-4642-908d-f6d610aa3940" ] } ], "mendeley" : { "previouslyFormattedCitation" : "[31]" }, "properties" : { "noteIndex" : 0 }, "schema" : "https://github.com/citation-style-language/schema/raw/master/csl-citation.json" }</w:instrText>
            </w:r>
            <w:r w:rsidRPr="00532F44">
              <w:fldChar w:fldCharType="separate"/>
            </w:r>
            <w:r w:rsidRPr="00F82325">
              <w:rPr>
                <w:noProof/>
              </w:rPr>
              <w:t>[31]</w:t>
            </w:r>
            <w:r w:rsidRPr="00532F44">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Pr="00532F44" w:rsidRDefault="00F82325" w:rsidP="00920A0B">
            <w:r w:rsidRPr="00532F44">
              <w:t>Costs of fatal bleed</w:t>
            </w:r>
          </w:p>
        </w:tc>
        <w:tc>
          <w:tcPr>
            <w:tcW w:w="8268" w:type="dxa"/>
            <w:gridSpan w:val="2"/>
          </w:tcPr>
          <w:p w:rsidR="00F82325" w:rsidRPr="00532F44" w:rsidRDefault="00F82325" w:rsidP="00920A0B">
            <w:r w:rsidRPr="00532F44">
              <w:t>Assumed identical to costs of death due to stroke</w:t>
            </w:r>
          </w:p>
        </w:tc>
      </w:tr>
      <w:tr w:rsidR="00F82325" w:rsidRPr="00532F44" w:rsidTr="003225C4">
        <w:trPr>
          <w:divId w:val="1548566716"/>
          <w:trHeight w:val="122"/>
        </w:trPr>
        <w:tc>
          <w:tcPr>
            <w:tcW w:w="1951" w:type="dxa"/>
            <w:vMerge/>
          </w:tcPr>
          <w:p w:rsidR="00F82325" w:rsidRPr="00532F44" w:rsidRDefault="00F82325" w:rsidP="00920A0B"/>
        </w:tc>
        <w:tc>
          <w:tcPr>
            <w:tcW w:w="3497" w:type="dxa"/>
          </w:tcPr>
          <w:p w:rsidR="00F82325" w:rsidRPr="00532F44" w:rsidRDefault="00F82325" w:rsidP="00920A0B">
            <w:r w:rsidRPr="00532F44">
              <w:t>Costs of nonfatal bleed</w:t>
            </w:r>
          </w:p>
        </w:tc>
        <w:tc>
          <w:tcPr>
            <w:tcW w:w="4299" w:type="dxa"/>
          </w:tcPr>
          <w:p w:rsidR="00F82325" w:rsidRPr="00532F44" w:rsidRDefault="00F82325" w:rsidP="00920A0B">
            <w:r w:rsidRPr="00532F44">
              <w:t>Various</w:t>
            </w:r>
          </w:p>
          <w:p w:rsidR="00F82325" w:rsidRPr="00532F44" w:rsidRDefault="00F82325" w:rsidP="00920A0B">
            <w:pPr>
              <w:jc w:val="left"/>
            </w:pPr>
            <w:r w:rsidRPr="00532F44">
              <w:lastRenderedPageBreak/>
              <w:t>Depends on whether bleed is gastrointestinal or intracranial. If intracranial, depends on severity of resulting disability</w:t>
            </w:r>
          </w:p>
        </w:tc>
        <w:tc>
          <w:tcPr>
            <w:tcW w:w="3969" w:type="dxa"/>
          </w:tcPr>
          <w:p w:rsidR="00F82325" w:rsidRPr="00532F44" w:rsidRDefault="00F82325" w:rsidP="00920A0B">
            <w:pPr>
              <w:keepNext/>
            </w:pPr>
            <w:r w:rsidRPr="00532F44">
              <w:lastRenderedPageBreak/>
              <w:t xml:space="preserve">NHS Reference Costs </w:t>
            </w:r>
            <w:r w:rsidRPr="00532F44">
              <w:fldChar w:fldCharType="begin" w:fldLock="1"/>
            </w:r>
            <w:r w:rsidR="00253316">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"[28]" }, "properties" : { "noteIndex" : 0 }, "schema" : "https://github.com/citation-style-language/schema/raw/master/csl-citation.json" }</w:instrText>
            </w:r>
            <w:r w:rsidRPr="00532F44">
              <w:fldChar w:fldCharType="separate"/>
            </w:r>
            <w:r w:rsidRPr="00F82325">
              <w:rPr>
                <w:noProof/>
              </w:rPr>
              <w:t>[28]</w:t>
            </w:r>
            <w:r w:rsidRPr="00532F44">
              <w:fldChar w:fldCharType="end"/>
            </w:r>
          </w:p>
          <w:p w:rsidR="00F82325" w:rsidRPr="00532F44" w:rsidRDefault="00F82325" w:rsidP="00920A0B">
            <w:pPr>
              <w:keepNext/>
            </w:pPr>
          </w:p>
        </w:tc>
      </w:tr>
    </w:tbl>
    <w:p w:rsidR="00834F71" w:rsidRPr="00532F44" w:rsidRDefault="00834F71" w:rsidP="00834F71">
      <w:pPr>
        <w:pStyle w:val="Caption"/>
        <w:divId w:val="1548566716"/>
        <w:rPr>
          <w:color w:val="auto"/>
        </w:rPr>
      </w:pPr>
      <w:bookmarkStart w:id="6" w:name="_Ref321401422"/>
      <w:r w:rsidRPr="00532F44">
        <w:rPr>
          <w:color w:val="auto"/>
        </w:rPr>
        <w:lastRenderedPageBreak/>
        <w:t xml:space="preserve">Table </w:t>
      </w:r>
      <w:r w:rsidR="002F05E5" w:rsidRPr="00532F44">
        <w:rPr>
          <w:color w:val="auto"/>
        </w:rPr>
        <w:fldChar w:fldCharType="begin"/>
      </w:r>
      <w:r w:rsidR="00AC692E" w:rsidRPr="00532F44">
        <w:rPr>
          <w:color w:val="auto"/>
        </w:rPr>
        <w:instrText xml:space="preserve"> SEQ Table \* ARABIC </w:instrText>
      </w:r>
      <w:r w:rsidR="002F05E5" w:rsidRPr="00532F44">
        <w:rPr>
          <w:color w:val="auto"/>
        </w:rPr>
        <w:fldChar w:fldCharType="separate"/>
      </w:r>
      <w:r w:rsidR="008D3B31">
        <w:rPr>
          <w:noProof/>
          <w:color w:val="auto"/>
        </w:rPr>
        <w:t>2</w:t>
      </w:r>
      <w:r w:rsidR="002F05E5" w:rsidRPr="00532F44">
        <w:rPr>
          <w:noProof/>
          <w:color w:val="auto"/>
        </w:rPr>
        <w:fldChar w:fldCharType="end"/>
      </w:r>
      <w:bookmarkEnd w:id="6"/>
      <w:r w:rsidRPr="00532F44">
        <w:rPr>
          <w:color w:val="auto"/>
        </w:rPr>
        <w:t xml:space="preserve"> Parameters used in model</w:t>
      </w:r>
    </w:p>
    <w:p w:rsidR="00E5262E" w:rsidRPr="00532F44" w:rsidRDefault="00E5262E" w:rsidP="00E5262E">
      <w:pPr>
        <w:divId w:val="1548566716"/>
        <w:rPr>
          <w:lang w:val="en-GB"/>
        </w:rPr>
      </w:pPr>
    </w:p>
    <w:p w:rsidR="0055657D" w:rsidRPr="00532F44" w:rsidRDefault="0055657D">
      <w:pPr>
        <w:spacing w:line="276" w:lineRule="auto"/>
        <w:jc w:val="left"/>
        <w:rPr>
          <w:lang w:val="en-GB"/>
        </w:rPr>
      </w:pPr>
      <w:r w:rsidRPr="00532F44">
        <w:rPr>
          <w:lang w:val="en-GB"/>
        </w:rPr>
        <w:br w:type="page"/>
      </w:r>
    </w:p>
    <w:tbl>
      <w:tblPr>
        <w:tblStyle w:val="TableGrid"/>
        <w:tblW w:w="9885" w:type="dxa"/>
        <w:tblLayout w:type="fixed"/>
        <w:tblLook w:val="04A0" w:firstRow="1" w:lastRow="0" w:firstColumn="1" w:lastColumn="0" w:noHBand="0" w:noVBand="1"/>
      </w:tblPr>
      <w:tblGrid>
        <w:gridCol w:w="301"/>
        <w:gridCol w:w="1506"/>
        <w:gridCol w:w="1134"/>
        <w:gridCol w:w="993"/>
        <w:gridCol w:w="850"/>
        <w:gridCol w:w="851"/>
        <w:gridCol w:w="1274"/>
        <w:gridCol w:w="1417"/>
        <w:gridCol w:w="718"/>
        <w:gridCol w:w="841"/>
      </w:tblGrid>
      <w:tr w:rsidR="0055657D" w:rsidRPr="00D561D8" w:rsidTr="0055657D">
        <w:trPr>
          <w:divId w:val="1548566716"/>
        </w:trPr>
        <w:tc>
          <w:tcPr>
            <w:tcW w:w="301" w:type="dxa"/>
            <w:vMerge w:val="restart"/>
            <w:tcBorders>
              <w:top w:val="nil"/>
              <w:left w:val="nil"/>
              <w:right w:val="single" w:sz="4" w:space="0" w:color="auto"/>
            </w:tcBorders>
          </w:tcPr>
          <w:p w:rsidR="0055657D" w:rsidRPr="00D561D8" w:rsidRDefault="0055657D" w:rsidP="00920A0B">
            <w:pPr>
              <w:rPr>
                <w:rFonts w:ascii="Times New Roman" w:eastAsia="Times New Roman" w:hAnsi="Times New Roman"/>
                <w:color w:val="FF0000"/>
              </w:rPr>
            </w:pPr>
          </w:p>
        </w:tc>
        <w:tc>
          <w:tcPr>
            <w:tcW w:w="1506" w:type="dxa"/>
            <w:vMerge w:val="restart"/>
            <w:tcBorders>
              <w:top w:val="single" w:sz="4" w:space="0" w:color="auto"/>
              <w:left w:val="single" w:sz="4" w:space="0" w:color="auto"/>
              <w:right w:val="single" w:sz="4" w:space="0" w:color="auto"/>
            </w:tcBorders>
          </w:tcPr>
          <w:p w:rsidR="0055657D" w:rsidRPr="00D561D8" w:rsidRDefault="0055657D" w:rsidP="00920A0B">
            <w:pPr>
              <w:rPr>
                <w:rFonts w:ascii="Times New Roman" w:eastAsia="Times New Roman" w:hAnsi="Times New Roman"/>
                <w:color w:val="FF0000"/>
              </w:rPr>
            </w:pPr>
            <w:r w:rsidRPr="00D561D8">
              <w:rPr>
                <w:color w:val="FF0000"/>
              </w:rPr>
              <w:t>Strategy</w:t>
            </w:r>
          </w:p>
        </w:tc>
        <w:tc>
          <w:tcPr>
            <w:tcW w:w="1134" w:type="dxa"/>
            <w:tcBorders>
              <w:top w:val="single" w:sz="4" w:space="0" w:color="auto"/>
              <w:left w:val="single" w:sz="4" w:space="0" w:color="auto"/>
              <w:bottom w:val="single" w:sz="4" w:space="0" w:color="auto"/>
              <w:right w:val="single" w:sz="4" w:space="0" w:color="auto"/>
            </w:tcBorders>
          </w:tcPr>
          <w:p w:rsidR="0055657D" w:rsidRPr="00D561D8" w:rsidRDefault="0055657D" w:rsidP="00920A0B">
            <w:pPr>
              <w:rPr>
                <w:rFonts w:ascii="Times New Roman" w:eastAsia="Times New Roman" w:hAnsi="Times New Roman"/>
                <w:color w:val="FF0000"/>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55657D" w:rsidRPr="00D561D8" w:rsidRDefault="0055657D" w:rsidP="00920A0B">
            <w:pPr>
              <w:jc w:val="center"/>
              <w:rPr>
                <w:rFonts w:ascii="Times New Roman" w:eastAsia="Times New Roman" w:hAnsi="Times New Roman"/>
                <w:color w:val="FF0000"/>
              </w:rPr>
            </w:pPr>
            <w:r w:rsidRPr="00D561D8">
              <w:rPr>
                <w:color w:val="FF0000"/>
              </w:rP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55657D" w:rsidRPr="00D561D8" w:rsidRDefault="0055657D" w:rsidP="00920A0B">
            <w:pPr>
              <w:jc w:val="center"/>
              <w:rPr>
                <w:rFonts w:ascii="Times New Roman" w:eastAsia="Times New Roman" w:hAnsi="Times New Roman"/>
                <w:color w:val="FF0000"/>
              </w:rPr>
            </w:pPr>
            <w:r w:rsidRPr="00D561D8">
              <w:rPr>
                <w:color w:val="FF0000"/>
              </w:rPr>
              <w:t>Average Number of Events</w:t>
            </w:r>
          </w:p>
        </w:tc>
      </w:tr>
      <w:tr w:rsidR="0055657D" w:rsidRPr="00D561D8" w:rsidTr="0055657D">
        <w:trPr>
          <w:divId w:val="1548566716"/>
        </w:trPr>
        <w:tc>
          <w:tcPr>
            <w:tcW w:w="301" w:type="dxa"/>
            <w:vMerge/>
            <w:tcBorders>
              <w:left w:val="nil"/>
              <w:bottom w:val="single" w:sz="4" w:space="0" w:color="auto"/>
              <w:right w:val="single" w:sz="4" w:space="0" w:color="auto"/>
            </w:tcBorders>
            <w:hideMark/>
          </w:tcPr>
          <w:p w:rsidR="0055657D" w:rsidRPr="00D561D8" w:rsidRDefault="0055657D" w:rsidP="00920A0B">
            <w:pPr>
              <w:rPr>
                <w:rFonts w:ascii="Times New Roman" w:eastAsia="Times New Roman" w:hAnsi="Times New Roman"/>
                <w:color w:val="FF0000"/>
              </w:rPr>
            </w:pPr>
          </w:p>
        </w:tc>
        <w:tc>
          <w:tcPr>
            <w:tcW w:w="1506" w:type="dxa"/>
            <w:vMerge/>
            <w:tcBorders>
              <w:left w:val="single" w:sz="4" w:space="0" w:color="auto"/>
              <w:bottom w:val="single" w:sz="4" w:space="0" w:color="auto"/>
              <w:right w:val="single" w:sz="4" w:space="0" w:color="auto"/>
            </w:tcBorders>
          </w:tcPr>
          <w:p w:rsidR="0055657D" w:rsidRPr="00D561D8" w:rsidRDefault="0055657D" w:rsidP="00920A0B">
            <w:pPr>
              <w:rPr>
                <w:rFonts w:ascii="Times New Roman" w:eastAsia="Times New Roman" w:hAnsi="Times New Roman"/>
                <w:color w:val="FF0000"/>
              </w:rPr>
            </w:pPr>
          </w:p>
        </w:tc>
        <w:tc>
          <w:tcPr>
            <w:tcW w:w="1134" w:type="dxa"/>
            <w:tcBorders>
              <w:top w:val="single" w:sz="4" w:space="0" w:color="auto"/>
              <w:left w:val="single" w:sz="4" w:space="0" w:color="auto"/>
              <w:bottom w:val="single" w:sz="4" w:space="0" w:color="auto"/>
              <w:right w:val="single" w:sz="4" w:space="0" w:color="auto"/>
            </w:tcBorders>
            <w:hideMark/>
          </w:tcPr>
          <w:p w:rsidR="0055657D" w:rsidRPr="00D561D8" w:rsidRDefault="0055657D" w:rsidP="00920A0B">
            <w:pPr>
              <w:rPr>
                <w:rFonts w:ascii="Times New Roman" w:eastAsia="Times New Roman" w:hAnsi="Times New Roman"/>
                <w:color w:val="FF0000"/>
              </w:rPr>
            </w:pPr>
            <w:r w:rsidRPr="00D561D8">
              <w:rPr>
                <w:color w:val="FF0000"/>
              </w:rPr>
              <w:t>Life Years</w:t>
            </w:r>
          </w:p>
        </w:tc>
        <w:tc>
          <w:tcPr>
            <w:tcW w:w="993" w:type="dxa"/>
            <w:tcBorders>
              <w:top w:val="single" w:sz="4" w:space="0" w:color="auto"/>
              <w:left w:val="single" w:sz="4" w:space="0" w:color="auto"/>
              <w:bottom w:val="single" w:sz="4" w:space="0" w:color="auto"/>
              <w:right w:val="single" w:sz="4" w:space="0" w:color="auto"/>
            </w:tcBorders>
            <w:hideMark/>
          </w:tcPr>
          <w:p w:rsidR="0055657D" w:rsidRPr="00D561D8" w:rsidRDefault="0055657D" w:rsidP="00920A0B">
            <w:pPr>
              <w:rPr>
                <w:rFonts w:ascii="Times New Roman" w:eastAsia="Times New Roman" w:hAnsi="Times New Roman"/>
                <w:color w:val="FF0000"/>
              </w:rPr>
            </w:pPr>
            <w:r w:rsidRPr="00D561D8">
              <w:rPr>
                <w:color w:val="FF0000"/>
              </w:rPr>
              <w:t>Stroke</w:t>
            </w:r>
          </w:p>
        </w:tc>
        <w:tc>
          <w:tcPr>
            <w:tcW w:w="850" w:type="dxa"/>
            <w:tcBorders>
              <w:top w:val="single" w:sz="4" w:space="0" w:color="auto"/>
              <w:left w:val="single" w:sz="4" w:space="0" w:color="auto"/>
              <w:bottom w:val="single" w:sz="4" w:space="0" w:color="auto"/>
              <w:right w:val="single" w:sz="4" w:space="0" w:color="auto"/>
            </w:tcBorders>
            <w:hideMark/>
          </w:tcPr>
          <w:p w:rsidR="0055657D" w:rsidRPr="00D561D8" w:rsidRDefault="0055657D" w:rsidP="00920A0B">
            <w:pPr>
              <w:rPr>
                <w:rFonts w:ascii="Times New Roman" w:eastAsia="Times New Roman" w:hAnsi="Times New Roman"/>
                <w:color w:val="FF0000"/>
              </w:rPr>
            </w:pPr>
            <w:r w:rsidRPr="00D561D8">
              <w:rPr>
                <w:color w:val="FF0000"/>
              </w:rPr>
              <w:t>Bleed</w:t>
            </w:r>
          </w:p>
        </w:tc>
        <w:tc>
          <w:tcPr>
            <w:tcW w:w="851" w:type="dxa"/>
            <w:tcBorders>
              <w:top w:val="single" w:sz="4" w:space="0" w:color="auto"/>
              <w:left w:val="single" w:sz="4" w:space="0" w:color="auto"/>
              <w:bottom w:val="single" w:sz="4" w:space="0" w:color="auto"/>
              <w:right w:val="single" w:sz="4" w:space="0" w:color="auto"/>
            </w:tcBorders>
            <w:hideMark/>
          </w:tcPr>
          <w:p w:rsidR="0055657D" w:rsidRPr="00D561D8" w:rsidRDefault="0055657D" w:rsidP="00920A0B">
            <w:pPr>
              <w:rPr>
                <w:rFonts w:ascii="Times New Roman" w:eastAsia="Times New Roman" w:hAnsi="Times New Roman"/>
                <w:color w:val="FF0000"/>
              </w:rPr>
            </w:pPr>
            <w:r w:rsidRPr="00D561D8">
              <w:rPr>
                <w:color w:val="FF0000"/>
              </w:rPr>
              <w:t>Other</w:t>
            </w:r>
          </w:p>
        </w:tc>
        <w:tc>
          <w:tcPr>
            <w:tcW w:w="1274" w:type="dxa"/>
            <w:tcBorders>
              <w:top w:val="single" w:sz="4" w:space="0" w:color="auto"/>
              <w:left w:val="single" w:sz="4" w:space="0" w:color="auto"/>
              <w:bottom w:val="single" w:sz="4" w:space="0" w:color="auto"/>
              <w:right w:val="single" w:sz="4" w:space="0" w:color="auto"/>
            </w:tcBorders>
            <w:hideMark/>
          </w:tcPr>
          <w:p w:rsidR="0055657D" w:rsidRPr="00D561D8" w:rsidRDefault="0055657D" w:rsidP="00920A0B">
            <w:pPr>
              <w:rPr>
                <w:rFonts w:ascii="Times New Roman" w:eastAsia="Times New Roman" w:hAnsi="Times New Roman"/>
                <w:color w:val="FF0000"/>
              </w:rPr>
            </w:pPr>
            <w:r w:rsidRPr="00D561D8">
              <w:rPr>
                <w:color w:val="FF0000"/>
              </w:rP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55657D" w:rsidRPr="00D561D8" w:rsidRDefault="0055657D" w:rsidP="00920A0B">
            <w:pPr>
              <w:rPr>
                <w:rFonts w:ascii="Times New Roman" w:eastAsia="Times New Roman" w:hAnsi="Times New Roman"/>
                <w:color w:val="FF0000"/>
              </w:rPr>
            </w:pPr>
            <w:r w:rsidRPr="00D561D8">
              <w:rPr>
                <w:color w:val="FF0000"/>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55657D" w:rsidRPr="00D561D8" w:rsidRDefault="0055657D" w:rsidP="00920A0B">
            <w:pPr>
              <w:rPr>
                <w:rFonts w:ascii="Times New Roman" w:eastAsia="Times New Roman" w:hAnsi="Times New Roman"/>
                <w:color w:val="FF0000"/>
              </w:rPr>
            </w:pPr>
            <w:r w:rsidRPr="00D561D8">
              <w:rPr>
                <w:color w:val="FF0000"/>
              </w:rPr>
              <w:t>ICH</w:t>
            </w:r>
          </w:p>
        </w:tc>
        <w:tc>
          <w:tcPr>
            <w:tcW w:w="841" w:type="dxa"/>
            <w:tcBorders>
              <w:top w:val="single" w:sz="4" w:space="0" w:color="auto"/>
              <w:left w:val="single" w:sz="4" w:space="0" w:color="auto"/>
              <w:bottom w:val="single" w:sz="4" w:space="0" w:color="auto"/>
              <w:right w:val="single" w:sz="4" w:space="0" w:color="auto"/>
            </w:tcBorders>
            <w:hideMark/>
          </w:tcPr>
          <w:p w:rsidR="0055657D" w:rsidRPr="00D561D8" w:rsidRDefault="0055657D" w:rsidP="00920A0B">
            <w:pPr>
              <w:rPr>
                <w:rFonts w:ascii="Times New Roman" w:eastAsia="Times New Roman" w:hAnsi="Times New Roman"/>
                <w:color w:val="FF0000"/>
              </w:rPr>
            </w:pPr>
            <w:r w:rsidRPr="00D561D8">
              <w:rPr>
                <w:color w:val="FF0000"/>
              </w:rPr>
              <w:t>NICH</w:t>
            </w:r>
          </w:p>
        </w:tc>
      </w:tr>
      <w:tr w:rsidR="0055657D" w:rsidRPr="00D561D8" w:rsidTr="0055657D">
        <w:trPr>
          <w:divId w:val="1548566716"/>
        </w:trPr>
        <w:tc>
          <w:tcPr>
            <w:tcW w:w="301" w:type="dxa"/>
            <w:vMerge w:val="restart"/>
            <w:tcBorders>
              <w:top w:val="single" w:sz="4" w:space="0" w:color="auto"/>
              <w:left w:val="single" w:sz="4" w:space="0" w:color="auto"/>
              <w:right w:val="single" w:sz="4" w:space="0" w:color="auto"/>
            </w:tcBorders>
            <w:textDirection w:val="btLr"/>
            <w:hideMark/>
          </w:tcPr>
          <w:p w:rsidR="0055657D" w:rsidRPr="00D561D8" w:rsidRDefault="006C3CB6" w:rsidP="0055657D">
            <w:pPr>
              <w:ind w:left="29" w:right="113"/>
              <w:rPr>
                <w:rFonts w:ascii="Times New Roman" w:eastAsia="Times New Roman" w:hAnsi="Times New Roman"/>
                <w:color w:val="FF0000"/>
              </w:rPr>
            </w:pPr>
            <w:r w:rsidRPr="00D561D8">
              <w:rPr>
                <w:rFonts w:ascii="Times New Roman" w:eastAsia="Times New Roman" w:hAnsi="Times New Roman"/>
                <w:color w:val="FF0000"/>
              </w:rPr>
              <w:t>warfarin</w:t>
            </w:r>
          </w:p>
        </w:tc>
        <w:tc>
          <w:tcPr>
            <w:tcW w:w="1506" w:type="dxa"/>
            <w:tcBorders>
              <w:top w:val="single" w:sz="4" w:space="0" w:color="auto"/>
              <w:left w:val="single" w:sz="4" w:space="0" w:color="auto"/>
              <w:bottom w:val="single" w:sz="4" w:space="0" w:color="auto"/>
              <w:right w:val="single" w:sz="4" w:space="0" w:color="auto"/>
            </w:tcBorders>
          </w:tcPr>
          <w:p w:rsidR="0055657D" w:rsidRPr="00D561D8" w:rsidRDefault="0055657D" w:rsidP="00920A0B">
            <w:pPr>
              <w:rPr>
                <w:rFonts w:ascii="Times New Roman" w:eastAsia="Times New Roman" w:hAnsi="Times New Roman"/>
                <w:color w:val="FF0000"/>
              </w:rPr>
            </w:pPr>
            <w:r w:rsidRPr="00D561D8">
              <w:rPr>
                <w:color w:val="FF0000"/>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55657D" w:rsidRPr="00D561D8" w:rsidRDefault="0055657D" w:rsidP="00920A0B">
            <w:pPr>
              <w:jc w:val="right"/>
              <w:rPr>
                <w:rFonts w:ascii="Times New Roman" w:eastAsia="Times New Roman" w:hAnsi="Times New Roman"/>
                <w:color w:val="FF0000"/>
              </w:rPr>
            </w:pPr>
            <w:r w:rsidRPr="00D561D8">
              <w:rPr>
                <w:color w:val="FF0000"/>
              </w:rPr>
              <w:t>28.840</w:t>
            </w:r>
          </w:p>
        </w:tc>
        <w:tc>
          <w:tcPr>
            <w:tcW w:w="993" w:type="dxa"/>
            <w:tcBorders>
              <w:top w:val="single" w:sz="4" w:space="0" w:color="auto"/>
              <w:left w:val="single" w:sz="4" w:space="0" w:color="auto"/>
              <w:bottom w:val="single" w:sz="4" w:space="0" w:color="auto"/>
              <w:right w:val="single" w:sz="4" w:space="0" w:color="auto"/>
            </w:tcBorders>
            <w:vAlign w:val="bottom"/>
            <w:hideMark/>
          </w:tcPr>
          <w:p w:rsidR="0055657D" w:rsidRPr="00D561D8" w:rsidRDefault="0055657D" w:rsidP="00920A0B">
            <w:pPr>
              <w:jc w:val="right"/>
              <w:rPr>
                <w:rFonts w:ascii="Times New Roman" w:eastAsia="Times New Roman" w:hAnsi="Times New Roman"/>
                <w:color w:val="FF0000"/>
              </w:rPr>
            </w:pPr>
            <w:r w:rsidRPr="00D561D8">
              <w:rPr>
                <w:color w:val="FF0000"/>
              </w:rPr>
              <w:t>11.7</w:t>
            </w:r>
          </w:p>
        </w:tc>
        <w:tc>
          <w:tcPr>
            <w:tcW w:w="850" w:type="dxa"/>
            <w:tcBorders>
              <w:top w:val="single" w:sz="4" w:space="0" w:color="auto"/>
              <w:left w:val="single" w:sz="4" w:space="0" w:color="auto"/>
              <w:bottom w:val="single" w:sz="4" w:space="0" w:color="auto"/>
              <w:right w:val="single" w:sz="4" w:space="0" w:color="auto"/>
            </w:tcBorders>
            <w:vAlign w:val="bottom"/>
            <w:hideMark/>
          </w:tcPr>
          <w:p w:rsidR="0055657D" w:rsidRPr="00D561D8" w:rsidRDefault="0055657D" w:rsidP="00920A0B">
            <w:pPr>
              <w:jc w:val="right"/>
              <w:rPr>
                <w:rFonts w:ascii="Times New Roman" w:eastAsia="Times New Roman" w:hAnsi="Times New Roman"/>
                <w:color w:val="FF0000"/>
              </w:rPr>
            </w:pPr>
            <w:r w:rsidRPr="00D561D8">
              <w:rPr>
                <w:color w:val="FF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55657D" w:rsidRPr="00D561D8" w:rsidRDefault="0055657D" w:rsidP="00920A0B">
            <w:pPr>
              <w:jc w:val="right"/>
              <w:rPr>
                <w:rFonts w:ascii="Times New Roman" w:eastAsia="Times New Roman" w:hAnsi="Times New Roman"/>
                <w:color w:val="FF0000"/>
              </w:rPr>
            </w:pPr>
            <w:r w:rsidRPr="00D561D8">
              <w:rPr>
                <w:color w:val="FF0000"/>
              </w:rPr>
              <w:t>87.1</w:t>
            </w:r>
          </w:p>
        </w:tc>
        <w:tc>
          <w:tcPr>
            <w:tcW w:w="1274" w:type="dxa"/>
            <w:tcBorders>
              <w:top w:val="single" w:sz="4" w:space="0" w:color="auto"/>
              <w:left w:val="single" w:sz="4" w:space="0" w:color="auto"/>
              <w:bottom w:val="single" w:sz="4" w:space="0" w:color="auto"/>
              <w:right w:val="single" w:sz="4" w:space="0" w:color="auto"/>
            </w:tcBorders>
            <w:vAlign w:val="bottom"/>
            <w:hideMark/>
          </w:tcPr>
          <w:p w:rsidR="0055657D" w:rsidRPr="00D561D8" w:rsidRDefault="0055657D" w:rsidP="00920A0B">
            <w:pPr>
              <w:jc w:val="right"/>
              <w:rPr>
                <w:rFonts w:ascii="Times New Roman" w:eastAsia="Times New Roman" w:hAnsi="Times New Roman"/>
                <w:color w:val="FF0000"/>
              </w:rPr>
            </w:pPr>
            <w:r w:rsidRPr="00D561D8">
              <w:rPr>
                <w:color w:val="FF0000"/>
              </w:rPr>
              <w:t>0.120</w:t>
            </w:r>
          </w:p>
        </w:tc>
        <w:tc>
          <w:tcPr>
            <w:tcW w:w="1417" w:type="dxa"/>
            <w:tcBorders>
              <w:top w:val="single" w:sz="4" w:space="0" w:color="auto"/>
              <w:left w:val="single" w:sz="4" w:space="0" w:color="auto"/>
              <w:bottom w:val="single" w:sz="4" w:space="0" w:color="auto"/>
              <w:right w:val="single" w:sz="4" w:space="0" w:color="auto"/>
            </w:tcBorders>
            <w:vAlign w:val="bottom"/>
            <w:hideMark/>
          </w:tcPr>
          <w:p w:rsidR="0055657D" w:rsidRPr="00D561D8" w:rsidRDefault="0055657D" w:rsidP="00920A0B">
            <w:pPr>
              <w:jc w:val="right"/>
              <w:rPr>
                <w:rFonts w:ascii="Times New Roman" w:eastAsia="Times New Roman" w:hAnsi="Times New Roman"/>
                <w:color w:val="FF0000"/>
              </w:rPr>
            </w:pPr>
            <w:r w:rsidRPr="00D561D8">
              <w:rPr>
                <w:color w:val="FF0000"/>
              </w:rPr>
              <w:t>0.242</w:t>
            </w:r>
          </w:p>
        </w:tc>
        <w:tc>
          <w:tcPr>
            <w:tcW w:w="718" w:type="dxa"/>
            <w:tcBorders>
              <w:top w:val="single" w:sz="4" w:space="0" w:color="auto"/>
              <w:left w:val="single" w:sz="4" w:space="0" w:color="auto"/>
              <w:bottom w:val="single" w:sz="4" w:space="0" w:color="auto"/>
              <w:right w:val="single" w:sz="4" w:space="0" w:color="auto"/>
            </w:tcBorders>
            <w:vAlign w:val="bottom"/>
            <w:hideMark/>
          </w:tcPr>
          <w:p w:rsidR="0055657D" w:rsidRPr="00D561D8" w:rsidRDefault="0055657D" w:rsidP="00920A0B">
            <w:pPr>
              <w:jc w:val="right"/>
              <w:rPr>
                <w:rFonts w:ascii="Times New Roman" w:eastAsia="Times New Roman" w:hAnsi="Times New Roman"/>
                <w:color w:val="FF0000"/>
              </w:rPr>
            </w:pPr>
            <w:r w:rsidRPr="00D561D8">
              <w:rPr>
                <w:color w:val="FF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55657D" w:rsidRPr="00D561D8" w:rsidRDefault="0055657D" w:rsidP="00920A0B">
            <w:pPr>
              <w:jc w:val="right"/>
              <w:rPr>
                <w:rFonts w:ascii="Times New Roman" w:eastAsia="Times New Roman" w:hAnsi="Times New Roman"/>
                <w:color w:val="FF0000"/>
              </w:rPr>
            </w:pPr>
            <w:r w:rsidRPr="00D561D8">
              <w:rPr>
                <w:color w:val="FF0000"/>
              </w:rPr>
              <w:t>0.075</w:t>
            </w:r>
          </w:p>
        </w:tc>
      </w:tr>
      <w:tr w:rsidR="0055657D" w:rsidRPr="00D561D8" w:rsidTr="0055657D">
        <w:trPr>
          <w:divId w:val="1548566716"/>
          <w:trHeight w:val="988"/>
        </w:trPr>
        <w:tc>
          <w:tcPr>
            <w:tcW w:w="301" w:type="dxa"/>
            <w:vMerge/>
            <w:tcBorders>
              <w:left w:val="single" w:sz="4" w:space="0" w:color="auto"/>
              <w:bottom w:val="single" w:sz="4" w:space="0" w:color="auto"/>
              <w:right w:val="single" w:sz="4" w:space="0" w:color="auto"/>
            </w:tcBorders>
            <w:hideMark/>
          </w:tcPr>
          <w:p w:rsidR="0055657D" w:rsidRPr="00D561D8" w:rsidRDefault="0055657D" w:rsidP="00920A0B">
            <w:pPr>
              <w:rPr>
                <w:rFonts w:ascii="Times New Roman" w:eastAsia="Times New Roman" w:hAnsi="Times New Roman"/>
                <w:color w:val="FF0000"/>
              </w:rPr>
            </w:pPr>
          </w:p>
        </w:tc>
        <w:tc>
          <w:tcPr>
            <w:tcW w:w="1506" w:type="dxa"/>
            <w:tcBorders>
              <w:top w:val="single" w:sz="4" w:space="0" w:color="auto"/>
              <w:left w:val="single" w:sz="4" w:space="0" w:color="auto"/>
              <w:bottom w:val="single" w:sz="4" w:space="0" w:color="auto"/>
              <w:right w:val="single" w:sz="4" w:space="0" w:color="auto"/>
            </w:tcBorders>
          </w:tcPr>
          <w:p w:rsidR="0055657D" w:rsidRPr="00D561D8" w:rsidRDefault="0055657D" w:rsidP="00920A0B">
            <w:pPr>
              <w:rPr>
                <w:rFonts w:ascii="Times New Roman" w:eastAsia="Times New Roman" w:hAnsi="Times New Roman"/>
                <w:color w:val="FF0000"/>
              </w:rPr>
            </w:pPr>
            <w:r w:rsidRPr="00D561D8">
              <w:rPr>
                <w:color w:val="FF0000"/>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55657D" w:rsidRPr="00D561D8" w:rsidRDefault="0055657D" w:rsidP="00920A0B">
            <w:pPr>
              <w:jc w:val="right"/>
              <w:rPr>
                <w:rFonts w:ascii="Times New Roman" w:eastAsia="Times New Roman" w:hAnsi="Times New Roman"/>
                <w:color w:val="FF0000"/>
              </w:rPr>
            </w:pPr>
            <w:r w:rsidRPr="00D561D8">
              <w:rPr>
                <w:color w:val="FF0000"/>
              </w:rPr>
              <w:t>28.928</w:t>
            </w:r>
          </w:p>
        </w:tc>
        <w:tc>
          <w:tcPr>
            <w:tcW w:w="993" w:type="dxa"/>
            <w:tcBorders>
              <w:top w:val="single" w:sz="4" w:space="0" w:color="auto"/>
              <w:left w:val="single" w:sz="4" w:space="0" w:color="auto"/>
              <w:bottom w:val="single" w:sz="4" w:space="0" w:color="auto"/>
              <w:right w:val="single" w:sz="4" w:space="0" w:color="auto"/>
            </w:tcBorders>
            <w:vAlign w:val="bottom"/>
            <w:hideMark/>
          </w:tcPr>
          <w:p w:rsidR="0055657D" w:rsidRPr="00D561D8" w:rsidRDefault="0055657D" w:rsidP="00920A0B">
            <w:pPr>
              <w:jc w:val="right"/>
              <w:rPr>
                <w:rFonts w:ascii="Times New Roman" w:eastAsia="Times New Roman" w:hAnsi="Times New Roman"/>
                <w:color w:val="FF0000"/>
              </w:rPr>
            </w:pPr>
            <w:r w:rsidRPr="00D561D8">
              <w:rPr>
                <w:color w:val="FF0000"/>
              </w:rPr>
              <w:t>10.8</w:t>
            </w:r>
          </w:p>
        </w:tc>
        <w:tc>
          <w:tcPr>
            <w:tcW w:w="850" w:type="dxa"/>
            <w:tcBorders>
              <w:top w:val="single" w:sz="4" w:space="0" w:color="auto"/>
              <w:left w:val="single" w:sz="4" w:space="0" w:color="auto"/>
              <w:bottom w:val="single" w:sz="4" w:space="0" w:color="auto"/>
              <w:right w:val="single" w:sz="4" w:space="0" w:color="auto"/>
            </w:tcBorders>
            <w:vAlign w:val="bottom"/>
            <w:hideMark/>
          </w:tcPr>
          <w:p w:rsidR="0055657D" w:rsidRPr="00D561D8" w:rsidRDefault="0055657D" w:rsidP="00920A0B">
            <w:pPr>
              <w:jc w:val="right"/>
              <w:rPr>
                <w:rFonts w:ascii="Times New Roman" w:eastAsia="Times New Roman" w:hAnsi="Times New Roman"/>
                <w:color w:val="FF0000"/>
              </w:rPr>
            </w:pPr>
            <w:r w:rsidRPr="00D561D8">
              <w:rPr>
                <w:color w:val="FF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55657D" w:rsidRPr="00D561D8" w:rsidRDefault="0055657D" w:rsidP="00920A0B">
            <w:pPr>
              <w:jc w:val="right"/>
              <w:rPr>
                <w:rFonts w:ascii="Times New Roman" w:eastAsia="Times New Roman" w:hAnsi="Times New Roman"/>
                <w:color w:val="FF0000"/>
              </w:rPr>
            </w:pPr>
            <w:r w:rsidRPr="00D561D8">
              <w:rPr>
                <w:color w:val="FF0000"/>
              </w:rPr>
              <w:t>87.4</w:t>
            </w:r>
          </w:p>
        </w:tc>
        <w:tc>
          <w:tcPr>
            <w:tcW w:w="1274" w:type="dxa"/>
            <w:tcBorders>
              <w:top w:val="single" w:sz="4" w:space="0" w:color="auto"/>
              <w:left w:val="single" w:sz="4" w:space="0" w:color="auto"/>
              <w:bottom w:val="single" w:sz="4" w:space="0" w:color="auto"/>
              <w:right w:val="single" w:sz="4" w:space="0" w:color="auto"/>
            </w:tcBorders>
            <w:vAlign w:val="bottom"/>
            <w:hideMark/>
          </w:tcPr>
          <w:p w:rsidR="0055657D" w:rsidRPr="00D561D8" w:rsidRDefault="0055657D" w:rsidP="00920A0B">
            <w:pPr>
              <w:jc w:val="right"/>
              <w:rPr>
                <w:rFonts w:ascii="Times New Roman" w:eastAsia="Times New Roman" w:hAnsi="Times New Roman"/>
                <w:color w:val="FF0000"/>
              </w:rPr>
            </w:pPr>
            <w:r w:rsidRPr="00D561D8">
              <w:rPr>
                <w:color w:val="FF0000"/>
              </w:rPr>
              <w:t>0.111</w:t>
            </w:r>
          </w:p>
        </w:tc>
        <w:tc>
          <w:tcPr>
            <w:tcW w:w="1417" w:type="dxa"/>
            <w:tcBorders>
              <w:top w:val="single" w:sz="4" w:space="0" w:color="auto"/>
              <w:left w:val="single" w:sz="4" w:space="0" w:color="auto"/>
              <w:bottom w:val="single" w:sz="4" w:space="0" w:color="auto"/>
              <w:right w:val="single" w:sz="4" w:space="0" w:color="auto"/>
            </w:tcBorders>
            <w:vAlign w:val="bottom"/>
            <w:hideMark/>
          </w:tcPr>
          <w:p w:rsidR="0055657D" w:rsidRPr="00D561D8" w:rsidRDefault="0055657D" w:rsidP="00920A0B">
            <w:pPr>
              <w:jc w:val="right"/>
              <w:rPr>
                <w:rFonts w:ascii="Times New Roman" w:eastAsia="Times New Roman" w:hAnsi="Times New Roman"/>
                <w:color w:val="FF0000"/>
              </w:rPr>
            </w:pPr>
            <w:r w:rsidRPr="00D561D8">
              <w:rPr>
                <w:color w:val="FF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55657D" w:rsidRPr="00D561D8" w:rsidRDefault="0055657D" w:rsidP="00920A0B">
            <w:pPr>
              <w:jc w:val="right"/>
              <w:rPr>
                <w:rFonts w:ascii="Times New Roman" w:eastAsia="Times New Roman" w:hAnsi="Times New Roman"/>
                <w:color w:val="FF0000"/>
              </w:rPr>
            </w:pPr>
            <w:r w:rsidRPr="00D561D8">
              <w:rPr>
                <w:color w:val="FF0000"/>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55657D" w:rsidRPr="00D561D8" w:rsidRDefault="0055657D" w:rsidP="00920A0B">
            <w:pPr>
              <w:jc w:val="right"/>
              <w:rPr>
                <w:rFonts w:ascii="Times New Roman" w:eastAsia="Times New Roman" w:hAnsi="Times New Roman"/>
                <w:color w:val="FF0000"/>
              </w:rPr>
            </w:pPr>
            <w:r w:rsidRPr="00D561D8">
              <w:rPr>
                <w:color w:val="FF0000"/>
              </w:rPr>
              <w:t>0.112</w:t>
            </w:r>
          </w:p>
        </w:tc>
      </w:tr>
      <w:tr w:rsidR="0055657D" w:rsidRPr="00D561D8" w:rsidTr="0055657D">
        <w:trPr>
          <w:divId w:val="1548566716"/>
          <w:trHeight w:val="234"/>
        </w:trPr>
        <w:tc>
          <w:tcPr>
            <w:tcW w:w="301" w:type="dxa"/>
            <w:vMerge w:val="restart"/>
            <w:tcBorders>
              <w:left w:val="single" w:sz="4" w:space="0" w:color="auto"/>
              <w:right w:val="single" w:sz="4" w:space="0" w:color="auto"/>
            </w:tcBorders>
            <w:textDirection w:val="btLr"/>
          </w:tcPr>
          <w:p w:rsidR="0055657D" w:rsidRPr="00D561D8" w:rsidRDefault="006C3CB6" w:rsidP="0055657D">
            <w:pPr>
              <w:spacing w:line="276" w:lineRule="auto"/>
              <w:ind w:left="113" w:right="113"/>
              <w:jc w:val="left"/>
              <w:rPr>
                <w:rFonts w:ascii="Times New Roman" w:eastAsia="Times New Roman" w:hAnsi="Times New Roman"/>
                <w:color w:val="FF0000"/>
              </w:rPr>
            </w:pPr>
            <w:proofErr w:type="spellStart"/>
            <w:r w:rsidRPr="00D561D8">
              <w:rPr>
                <w:rFonts w:ascii="Times New Roman" w:eastAsia="Times New Roman" w:hAnsi="Times New Roman"/>
                <w:color w:val="FF0000"/>
              </w:rPr>
              <w:t>rivaraxoaban</w:t>
            </w:r>
            <w:proofErr w:type="spellEnd"/>
          </w:p>
        </w:tc>
        <w:tc>
          <w:tcPr>
            <w:tcW w:w="1506" w:type="dxa"/>
            <w:tcBorders>
              <w:top w:val="single" w:sz="4" w:space="0" w:color="auto"/>
              <w:left w:val="single" w:sz="4" w:space="0" w:color="auto"/>
              <w:bottom w:val="single" w:sz="4" w:space="0" w:color="auto"/>
              <w:right w:val="single" w:sz="4" w:space="0" w:color="auto"/>
            </w:tcBorders>
          </w:tcPr>
          <w:p w:rsidR="0055657D" w:rsidRPr="00D561D8" w:rsidRDefault="0055657D" w:rsidP="00920A0B">
            <w:pPr>
              <w:rPr>
                <w:color w:val="FF0000"/>
              </w:rPr>
            </w:pPr>
            <w:r w:rsidRPr="00D561D8">
              <w:rPr>
                <w:color w:val="FF0000"/>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tcPr>
          <w:p w:rsidR="0055657D" w:rsidRPr="00D561D8" w:rsidRDefault="006C3CB6" w:rsidP="00920A0B">
            <w:pPr>
              <w:jc w:val="right"/>
              <w:rPr>
                <w:color w:val="FF0000"/>
              </w:rPr>
            </w:pPr>
            <w:r w:rsidRPr="00D561D8">
              <w:rPr>
                <w:color w:val="FF0000"/>
              </w:rPr>
              <w:t>28.861</w:t>
            </w:r>
          </w:p>
        </w:tc>
        <w:tc>
          <w:tcPr>
            <w:tcW w:w="993" w:type="dxa"/>
            <w:tcBorders>
              <w:top w:val="single" w:sz="4" w:space="0" w:color="auto"/>
              <w:left w:val="single" w:sz="4" w:space="0" w:color="auto"/>
              <w:bottom w:val="single" w:sz="4" w:space="0" w:color="auto"/>
              <w:right w:val="single" w:sz="4" w:space="0" w:color="auto"/>
            </w:tcBorders>
            <w:vAlign w:val="bottom"/>
          </w:tcPr>
          <w:p w:rsidR="0055657D" w:rsidRPr="00D561D8" w:rsidRDefault="006C3CB6" w:rsidP="00920A0B">
            <w:pPr>
              <w:jc w:val="right"/>
              <w:rPr>
                <w:color w:val="FF0000"/>
              </w:rPr>
            </w:pPr>
            <w:r w:rsidRPr="00D561D8">
              <w:rPr>
                <w:color w:val="FF0000"/>
              </w:rPr>
              <w:t>11.5</w:t>
            </w:r>
          </w:p>
        </w:tc>
        <w:tc>
          <w:tcPr>
            <w:tcW w:w="850" w:type="dxa"/>
            <w:tcBorders>
              <w:top w:val="single" w:sz="4" w:space="0" w:color="auto"/>
              <w:left w:val="single" w:sz="4" w:space="0" w:color="auto"/>
              <w:bottom w:val="single" w:sz="4" w:space="0" w:color="auto"/>
              <w:right w:val="single" w:sz="4" w:space="0" w:color="auto"/>
            </w:tcBorders>
            <w:vAlign w:val="bottom"/>
          </w:tcPr>
          <w:p w:rsidR="0055657D" w:rsidRPr="00D561D8" w:rsidRDefault="006C3CB6" w:rsidP="00920A0B">
            <w:pPr>
              <w:jc w:val="right"/>
              <w:rPr>
                <w:color w:val="FF0000"/>
              </w:rPr>
            </w:pPr>
            <w:r w:rsidRPr="00D561D8">
              <w:rPr>
                <w:color w:val="FF0000"/>
              </w:rPr>
              <w:t>1.3</w:t>
            </w:r>
          </w:p>
        </w:tc>
        <w:tc>
          <w:tcPr>
            <w:tcW w:w="851" w:type="dxa"/>
            <w:tcBorders>
              <w:top w:val="single" w:sz="4" w:space="0" w:color="auto"/>
              <w:left w:val="single" w:sz="4" w:space="0" w:color="auto"/>
              <w:bottom w:val="single" w:sz="4" w:space="0" w:color="auto"/>
              <w:right w:val="single" w:sz="4" w:space="0" w:color="auto"/>
            </w:tcBorders>
            <w:vAlign w:val="bottom"/>
          </w:tcPr>
          <w:p w:rsidR="0055657D" w:rsidRPr="00D561D8" w:rsidRDefault="006C3CB6" w:rsidP="00920A0B">
            <w:pPr>
              <w:jc w:val="right"/>
              <w:rPr>
                <w:color w:val="FF0000"/>
              </w:rPr>
            </w:pPr>
            <w:r w:rsidRPr="00D561D8">
              <w:rPr>
                <w:color w:val="FF0000"/>
              </w:rPr>
              <w:t>87.2</w:t>
            </w:r>
          </w:p>
        </w:tc>
        <w:tc>
          <w:tcPr>
            <w:tcW w:w="1274" w:type="dxa"/>
            <w:tcBorders>
              <w:top w:val="single" w:sz="4" w:space="0" w:color="auto"/>
              <w:left w:val="single" w:sz="4" w:space="0" w:color="auto"/>
              <w:bottom w:val="single" w:sz="4" w:space="0" w:color="auto"/>
              <w:right w:val="single" w:sz="4" w:space="0" w:color="auto"/>
            </w:tcBorders>
            <w:vAlign w:val="bottom"/>
          </w:tcPr>
          <w:p w:rsidR="0055657D" w:rsidRPr="00D561D8" w:rsidRDefault="006C3CB6" w:rsidP="00920A0B">
            <w:pPr>
              <w:jc w:val="right"/>
              <w:rPr>
                <w:color w:val="FF0000"/>
              </w:rPr>
            </w:pPr>
            <w:r w:rsidRPr="00D561D8">
              <w:rPr>
                <w:color w:val="FF0000"/>
              </w:rPr>
              <w:t>0.117</w:t>
            </w:r>
          </w:p>
        </w:tc>
        <w:tc>
          <w:tcPr>
            <w:tcW w:w="1417" w:type="dxa"/>
            <w:tcBorders>
              <w:top w:val="single" w:sz="4" w:space="0" w:color="auto"/>
              <w:left w:val="single" w:sz="4" w:space="0" w:color="auto"/>
              <w:bottom w:val="single" w:sz="4" w:space="0" w:color="auto"/>
              <w:right w:val="single" w:sz="4" w:space="0" w:color="auto"/>
            </w:tcBorders>
            <w:vAlign w:val="bottom"/>
          </w:tcPr>
          <w:p w:rsidR="0055657D" w:rsidRPr="00D561D8" w:rsidRDefault="006C3CB6" w:rsidP="00920A0B">
            <w:pPr>
              <w:jc w:val="right"/>
              <w:rPr>
                <w:color w:val="FF0000"/>
              </w:rPr>
            </w:pPr>
            <w:r w:rsidRPr="00D561D8">
              <w:rPr>
                <w:color w:val="FF0000"/>
              </w:rPr>
              <w:t>0.239</w:t>
            </w:r>
          </w:p>
        </w:tc>
        <w:tc>
          <w:tcPr>
            <w:tcW w:w="718" w:type="dxa"/>
            <w:tcBorders>
              <w:top w:val="single" w:sz="4" w:space="0" w:color="auto"/>
              <w:left w:val="single" w:sz="4" w:space="0" w:color="auto"/>
              <w:bottom w:val="single" w:sz="4" w:space="0" w:color="auto"/>
              <w:right w:val="single" w:sz="4" w:space="0" w:color="auto"/>
            </w:tcBorders>
            <w:vAlign w:val="bottom"/>
          </w:tcPr>
          <w:p w:rsidR="0055657D" w:rsidRPr="00D561D8" w:rsidRDefault="006C3CB6" w:rsidP="00920A0B">
            <w:pPr>
              <w:jc w:val="right"/>
              <w:rPr>
                <w:color w:val="FF0000"/>
              </w:rPr>
            </w:pPr>
            <w:r w:rsidRPr="00D561D8">
              <w:rPr>
                <w:color w:val="FF0000"/>
              </w:rPr>
              <w:t>0.010</w:t>
            </w:r>
          </w:p>
        </w:tc>
        <w:tc>
          <w:tcPr>
            <w:tcW w:w="841" w:type="dxa"/>
            <w:tcBorders>
              <w:top w:val="single" w:sz="4" w:space="0" w:color="auto"/>
              <w:left w:val="single" w:sz="4" w:space="0" w:color="auto"/>
              <w:bottom w:val="single" w:sz="4" w:space="0" w:color="auto"/>
              <w:right w:val="single" w:sz="4" w:space="0" w:color="auto"/>
            </w:tcBorders>
            <w:vAlign w:val="bottom"/>
          </w:tcPr>
          <w:p w:rsidR="0055657D" w:rsidRPr="00D561D8" w:rsidRDefault="006C3CB6" w:rsidP="00920A0B">
            <w:pPr>
              <w:jc w:val="right"/>
              <w:rPr>
                <w:color w:val="FF0000"/>
              </w:rPr>
            </w:pPr>
            <w:r w:rsidRPr="00D561D8">
              <w:rPr>
                <w:color w:val="FF0000"/>
              </w:rPr>
              <w:t>0.075</w:t>
            </w:r>
          </w:p>
        </w:tc>
      </w:tr>
      <w:tr w:rsidR="0055657D" w:rsidRPr="00D561D8" w:rsidTr="00920A0B">
        <w:trPr>
          <w:divId w:val="1548566716"/>
          <w:trHeight w:val="213"/>
        </w:trPr>
        <w:tc>
          <w:tcPr>
            <w:tcW w:w="301" w:type="dxa"/>
            <w:vMerge/>
            <w:tcBorders>
              <w:left w:val="single" w:sz="4" w:space="0" w:color="auto"/>
              <w:bottom w:val="single" w:sz="4" w:space="0" w:color="auto"/>
              <w:right w:val="single" w:sz="4" w:space="0" w:color="auto"/>
            </w:tcBorders>
          </w:tcPr>
          <w:p w:rsidR="0055657D" w:rsidRPr="00D561D8" w:rsidRDefault="0055657D" w:rsidP="0055657D">
            <w:pPr>
              <w:spacing w:line="276" w:lineRule="auto"/>
              <w:jc w:val="left"/>
              <w:rPr>
                <w:rFonts w:ascii="Times New Roman" w:eastAsia="Times New Roman" w:hAnsi="Times New Roman"/>
                <w:color w:val="FF0000"/>
              </w:rPr>
            </w:pPr>
          </w:p>
        </w:tc>
        <w:tc>
          <w:tcPr>
            <w:tcW w:w="1506" w:type="dxa"/>
            <w:tcBorders>
              <w:top w:val="single" w:sz="4" w:space="0" w:color="auto"/>
              <w:left w:val="single" w:sz="4" w:space="0" w:color="auto"/>
              <w:bottom w:val="single" w:sz="4" w:space="0" w:color="auto"/>
              <w:right w:val="single" w:sz="4" w:space="0" w:color="auto"/>
            </w:tcBorders>
          </w:tcPr>
          <w:p w:rsidR="0055657D" w:rsidRPr="00D561D8" w:rsidRDefault="0055657D" w:rsidP="00920A0B">
            <w:pPr>
              <w:rPr>
                <w:color w:val="FF0000"/>
              </w:rPr>
            </w:pPr>
            <w:r w:rsidRPr="00D561D8">
              <w:rPr>
                <w:color w:val="FF0000"/>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tcPr>
          <w:p w:rsidR="0055657D" w:rsidRPr="00D561D8" w:rsidRDefault="006C3CB6" w:rsidP="00920A0B">
            <w:pPr>
              <w:jc w:val="right"/>
              <w:rPr>
                <w:color w:val="FF0000"/>
              </w:rPr>
            </w:pPr>
            <w:r w:rsidRPr="00D561D8">
              <w:rPr>
                <w:color w:val="FF0000"/>
              </w:rPr>
              <w:t>28.963</w:t>
            </w:r>
          </w:p>
        </w:tc>
        <w:tc>
          <w:tcPr>
            <w:tcW w:w="993" w:type="dxa"/>
            <w:tcBorders>
              <w:top w:val="single" w:sz="4" w:space="0" w:color="auto"/>
              <w:left w:val="single" w:sz="4" w:space="0" w:color="auto"/>
              <w:bottom w:val="single" w:sz="4" w:space="0" w:color="auto"/>
              <w:right w:val="single" w:sz="4" w:space="0" w:color="auto"/>
            </w:tcBorders>
            <w:vAlign w:val="bottom"/>
          </w:tcPr>
          <w:p w:rsidR="0055657D" w:rsidRPr="00D561D8" w:rsidRDefault="006C3CB6" w:rsidP="00920A0B">
            <w:pPr>
              <w:jc w:val="right"/>
              <w:rPr>
                <w:color w:val="FF0000"/>
              </w:rPr>
            </w:pPr>
            <w:r w:rsidRPr="00D561D8">
              <w:rPr>
                <w:color w:val="FF0000"/>
              </w:rPr>
              <w:t>10.5</w:t>
            </w:r>
          </w:p>
        </w:tc>
        <w:tc>
          <w:tcPr>
            <w:tcW w:w="850" w:type="dxa"/>
            <w:tcBorders>
              <w:top w:val="single" w:sz="4" w:space="0" w:color="auto"/>
              <w:left w:val="single" w:sz="4" w:space="0" w:color="auto"/>
              <w:bottom w:val="single" w:sz="4" w:space="0" w:color="auto"/>
              <w:right w:val="single" w:sz="4" w:space="0" w:color="auto"/>
            </w:tcBorders>
            <w:vAlign w:val="bottom"/>
          </w:tcPr>
          <w:p w:rsidR="0055657D" w:rsidRPr="00D561D8" w:rsidRDefault="006C3CB6" w:rsidP="00920A0B">
            <w:pPr>
              <w:jc w:val="right"/>
              <w:rPr>
                <w:color w:val="FF0000"/>
              </w:rPr>
            </w:pPr>
            <w:r w:rsidRPr="00D561D8">
              <w:rPr>
                <w:color w:val="FF0000"/>
              </w:rPr>
              <w:t>1.8</w:t>
            </w:r>
          </w:p>
        </w:tc>
        <w:tc>
          <w:tcPr>
            <w:tcW w:w="851" w:type="dxa"/>
            <w:tcBorders>
              <w:top w:val="single" w:sz="4" w:space="0" w:color="auto"/>
              <w:left w:val="single" w:sz="4" w:space="0" w:color="auto"/>
              <w:bottom w:val="single" w:sz="4" w:space="0" w:color="auto"/>
              <w:right w:val="single" w:sz="4" w:space="0" w:color="auto"/>
            </w:tcBorders>
            <w:vAlign w:val="bottom"/>
          </w:tcPr>
          <w:p w:rsidR="0055657D" w:rsidRPr="00D561D8" w:rsidRDefault="006C3CB6" w:rsidP="00920A0B">
            <w:pPr>
              <w:jc w:val="right"/>
              <w:rPr>
                <w:color w:val="FF0000"/>
              </w:rPr>
            </w:pPr>
            <w:r w:rsidRPr="00D561D8">
              <w:rPr>
                <w:color w:val="FF0000"/>
              </w:rPr>
              <w:t>87.6</w:t>
            </w:r>
          </w:p>
        </w:tc>
        <w:tc>
          <w:tcPr>
            <w:tcW w:w="1274" w:type="dxa"/>
            <w:tcBorders>
              <w:top w:val="single" w:sz="4" w:space="0" w:color="auto"/>
              <w:left w:val="single" w:sz="4" w:space="0" w:color="auto"/>
              <w:bottom w:val="single" w:sz="4" w:space="0" w:color="auto"/>
              <w:right w:val="single" w:sz="4" w:space="0" w:color="auto"/>
            </w:tcBorders>
            <w:vAlign w:val="bottom"/>
          </w:tcPr>
          <w:p w:rsidR="0055657D" w:rsidRPr="00D561D8" w:rsidRDefault="006C3CB6" w:rsidP="00920A0B">
            <w:pPr>
              <w:jc w:val="right"/>
              <w:rPr>
                <w:color w:val="FF0000"/>
              </w:rPr>
            </w:pPr>
            <w:r w:rsidRPr="00D561D8">
              <w:rPr>
                <w:color w:val="FF0000"/>
              </w:rPr>
              <w:t>0.108</w:t>
            </w:r>
          </w:p>
        </w:tc>
        <w:tc>
          <w:tcPr>
            <w:tcW w:w="1417" w:type="dxa"/>
            <w:tcBorders>
              <w:top w:val="single" w:sz="4" w:space="0" w:color="auto"/>
              <w:left w:val="single" w:sz="4" w:space="0" w:color="auto"/>
              <w:bottom w:val="single" w:sz="4" w:space="0" w:color="auto"/>
              <w:right w:val="single" w:sz="4" w:space="0" w:color="auto"/>
            </w:tcBorders>
            <w:vAlign w:val="bottom"/>
          </w:tcPr>
          <w:p w:rsidR="0055657D" w:rsidRPr="00D561D8" w:rsidRDefault="006C3CB6" w:rsidP="00920A0B">
            <w:pPr>
              <w:jc w:val="right"/>
              <w:rPr>
                <w:color w:val="FF0000"/>
              </w:rPr>
            </w:pPr>
            <w:r w:rsidRPr="00D561D8">
              <w:rPr>
                <w:color w:val="FF0000"/>
              </w:rPr>
              <w:t>0.219</w:t>
            </w:r>
          </w:p>
        </w:tc>
        <w:tc>
          <w:tcPr>
            <w:tcW w:w="718" w:type="dxa"/>
            <w:tcBorders>
              <w:top w:val="single" w:sz="4" w:space="0" w:color="auto"/>
              <w:left w:val="single" w:sz="4" w:space="0" w:color="auto"/>
              <w:bottom w:val="single" w:sz="4" w:space="0" w:color="auto"/>
              <w:right w:val="single" w:sz="4" w:space="0" w:color="auto"/>
            </w:tcBorders>
            <w:vAlign w:val="bottom"/>
          </w:tcPr>
          <w:p w:rsidR="0055657D" w:rsidRPr="00D561D8" w:rsidRDefault="006C3CB6" w:rsidP="00920A0B">
            <w:pPr>
              <w:jc w:val="right"/>
              <w:rPr>
                <w:color w:val="FF0000"/>
              </w:rPr>
            </w:pPr>
            <w:r w:rsidRPr="00D561D8">
              <w:rPr>
                <w:color w:val="FF0000"/>
              </w:rPr>
              <w:t>0.014</w:t>
            </w:r>
          </w:p>
        </w:tc>
        <w:tc>
          <w:tcPr>
            <w:tcW w:w="841" w:type="dxa"/>
            <w:tcBorders>
              <w:top w:val="single" w:sz="4" w:space="0" w:color="auto"/>
              <w:left w:val="single" w:sz="4" w:space="0" w:color="auto"/>
              <w:bottom w:val="single" w:sz="4" w:space="0" w:color="auto"/>
              <w:right w:val="single" w:sz="4" w:space="0" w:color="auto"/>
            </w:tcBorders>
            <w:vAlign w:val="bottom"/>
          </w:tcPr>
          <w:p w:rsidR="0055657D" w:rsidRPr="00D561D8" w:rsidRDefault="006C3CB6" w:rsidP="00920A0B">
            <w:pPr>
              <w:jc w:val="right"/>
              <w:rPr>
                <w:color w:val="FF0000"/>
              </w:rPr>
            </w:pPr>
            <w:r w:rsidRPr="00D561D8">
              <w:rPr>
                <w:color w:val="FF0000"/>
              </w:rPr>
              <w:t>0.113</w:t>
            </w:r>
          </w:p>
        </w:tc>
      </w:tr>
      <w:tr w:rsidR="0055657D" w:rsidRPr="00D561D8" w:rsidTr="0055657D">
        <w:trPr>
          <w:divId w:val="1548566716"/>
        </w:trPr>
        <w:tc>
          <w:tcPr>
            <w:tcW w:w="9885" w:type="dxa"/>
            <w:gridSpan w:val="10"/>
            <w:tcBorders>
              <w:top w:val="single" w:sz="4" w:space="0" w:color="auto"/>
              <w:left w:val="nil"/>
              <w:bottom w:val="nil"/>
              <w:right w:val="nil"/>
            </w:tcBorders>
            <w:hideMark/>
          </w:tcPr>
          <w:p w:rsidR="0055657D" w:rsidRPr="00D561D8" w:rsidRDefault="0055657D" w:rsidP="00920A0B">
            <w:pPr>
              <w:rPr>
                <w:rFonts w:ascii="Times New Roman" w:eastAsia="Times New Roman" w:hAnsi="Times New Roman"/>
                <w:color w:val="FF0000"/>
              </w:rPr>
            </w:pPr>
            <w:r w:rsidRPr="00D561D8">
              <w:rPr>
                <w:color w:val="FF0000"/>
              </w:rPr>
              <w:t xml:space="preserve">TTE = Transthoracic Echocardiography; LA ABN = Left Atrial Abnormality; ICH = Intracranial </w:t>
            </w:r>
            <w:proofErr w:type="spellStart"/>
            <w:r w:rsidRPr="00D561D8">
              <w:rPr>
                <w:color w:val="FF0000"/>
              </w:rPr>
              <w:t>haemorrhage</w:t>
            </w:r>
            <w:proofErr w:type="spellEnd"/>
            <w:r w:rsidRPr="00D561D8">
              <w:rPr>
                <w:color w:val="FF0000"/>
              </w:rPr>
              <w:t xml:space="preserve">;  NICH = Non- intracranial </w:t>
            </w:r>
            <w:proofErr w:type="spellStart"/>
            <w:r w:rsidRPr="00D561D8">
              <w:rPr>
                <w:color w:val="FF0000"/>
              </w:rPr>
              <w:t>haemorrhage</w:t>
            </w:r>
            <w:proofErr w:type="spellEnd"/>
            <w:r w:rsidRPr="00D561D8">
              <w:rPr>
                <w:color w:val="FF0000"/>
              </w:rPr>
              <w:t xml:space="preserve"> </w:t>
            </w:r>
          </w:p>
        </w:tc>
      </w:tr>
    </w:tbl>
    <w:p w:rsidR="00834F71" w:rsidRPr="00D561D8" w:rsidRDefault="00834F71" w:rsidP="00834F71">
      <w:pPr>
        <w:pStyle w:val="Caption"/>
        <w:divId w:val="1548566716"/>
        <w:rPr>
          <w:color w:val="FF0000"/>
        </w:rPr>
      </w:pPr>
      <w:bookmarkStart w:id="7" w:name="_Ref321238070"/>
      <w:r w:rsidRPr="00D561D8">
        <w:rPr>
          <w:color w:val="FF0000"/>
        </w:rPr>
        <w:t xml:space="preserve">Table </w:t>
      </w:r>
      <w:r w:rsidR="002F05E5" w:rsidRPr="00D561D8">
        <w:rPr>
          <w:color w:val="FF0000"/>
        </w:rPr>
        <w:fldChar w:fldCharType="begin"/>
      </w:r>
      <w:r w:rsidR="00AC692E" w:rsidRPr="00D561D8">
        <w:rPr>
          <w:color w:val="FF0000"/>
        </w:rPr>
        <w:instrText xml:space="preserve"> SEQ Table \* ARABIC </w:instrText>
      </w:r>
      <w:r w:rsidR="002F05E5" w:rsidRPr="00D561D8">
        <w:rPr>
          <w:color w:val="FF0000"/>
        </w:rPr>
        <w:fldChar w:fldCharType="separate"/>
      </w:r>
      <w:r w:rsidR="00FF7CB5" w:rsidRPr="00D561D8">
        <w:rPr>
          <w:noProof/>
          <w:color w:val="FF0000"/>
        </w:rPr>
        <w:t>3</w:t>
      </w:r>
      <w:r w:rsidR="002F05E5" w:rsidRPr="00D561D8">
        <w:rPr>
          <w:noProof/>
          <w:color w:val="FF0000"/>
        </w:rPr>
        <w:fldChar w:fldCharType="end"/>
      </w:r>
      <w:bookmarkEnd w:id="7"/>
      <w:r w:rsidRPr="00D561D8">
        <w:rPr>
          <w:color w:val="FF0000"/>
        </w:rPr>
        <w:t xml:space="preserve"> Simulated patient experience: </w:t>
      </w:r>
      <w:r w:rsidR="006C3CB6" w:rsidRPr="00D561D8">
        <w:rPr>
          <w:color w:val="FF0000"/>
        </w:rPr>
        <w:t xml:space="preserve">fifty year old males </w:t>
      </w:r>
      <w:r w:rsidRPr="00D561D8">
        <w:rPr>
          <w:color w:val="FF0000"/>
        </w:rPr>
        <w:t xml:space="preserve">with a </w:t>
      </w:r>
      <w:r w:rsidR="006C3CB6" w:rsidRPr="00D561D8">
        <w:rPr>
          <w:color w:val="FF0000"/>
        </w:rPr>
        <w:t>CHADS</w:t>
      </w:r>
      <w:r w:rsidR="006C3CB6" w:rsidRPr="00D561D8">
        <w:rPr>
          <w:color w:val="FF0000"/>
          <w:vertAlign w:val="subscript"/>
        </w:rPr>
        <w:t>2</w:t>
      </w:r>
      <w:r w:rsidR="006C3CB6" w:rsidRPr="00D561D8">
        <w:rPr>
          <w:color w:val="FF0000"/>
        </w:rPr>
        <w:t xml:space="preserve"> score of zero, where the OAC prescribed is either a) warfarin, or b) </w:t>
      </w:r>
      <w:proofErr w:type="spellStart"/>
      <w:r w:rsidR="006C3CB6" w:rsidRPr="00D561D8">
        <w:rPr>
          <w:color w:val="FF0000"/>
        </w:rPr>
        <w:t>rivaroxaban</w:t>
      </w:r>
      <w:proofErr w:type="spellEnd"/>
      <w:r w:rsidR="006C3CB6" w:rsidRPr="00D561D8">
        <w:rPr>
          <w:color w:val="FF0000"/>
        </w:rPr>
        <w:t xml:space="preserve"> </w:t>
      </w:r>
    </w:p>
    <w:p w:rsidR="004A0CFF" w:rsidRPr="00532F44" w:rsidRDefault="004A0CFF" w:rsidP="00EB3ED4">
      <w:pPr>
        <w:divId w:val="1548566716"/>
      </w:pPr>
    </w:p>
    <w:p w:rsidR="00EB3ED4" w:rsidRPr="00532F44" w:rsidRDefault="00EB3ED4" w:rsidP="00EB3ED4">
      <w:pPr>
        <w:divId w:val="1548566716"/>
        <w:sectPr w:rsidR="00EB3ED4" w:rsidRPr="00532F44" w:rsidSect="003225C4">
          <w:pgSz w:w="16838" w:h="11906" w:orient="landscape"/>
          <w:pgMar w:top="1440" w:right="1440" w:bottom="1440" w:left="1440" w:header="708" w:footer="708" w:gutter="0"/>
          <w:cols w:space="708"/>
          <w:docGrid w:linePitch="360"/>
        </w:sectPr>
      </w:pPr>
    </w:p>
    <w:p w:rsidR="00EB3ED4" w:rsidRPr="00D561D8" w:rsidRDefault="00273A34" w:rsidP="00273A34">
      <w:pPr>
        <w:pStyle w:val="Caption"/>
        <w:divId w:val="1548566716"/>
        <w:rPr>
          <w:color w:val="FF0000"/>
        </w:rPr>
      </w:pPr>
      <w:bookmarkStart w:id="8" w:name="_Ref335131627"/>
      <w:r w:rsidRPr="00D561D8">
        <w:rPr>
          <w:color w:val="FF0000"/>
        </w:rPr>
        <w:lastRenderedPageBreak/>
        <w:t xml:space="preserve">Table </w:t>
      </w:r>
      <w:r w:rsidR="002F05E5" w:rsidRPr="00D561D8">
        <w:rPr>
          <w:color w:val="FF0000"/>
        </w:rPr>
        <w:fldChar w:fldCharType="begin"/>
      </w:r>
      <w:r w:rsidRPr="00D561D8">
        <w:rPr>
          <w:color w:val="FF0000"/>
        </w:rPr>
        <w:instrText xml:space="preserve"> SEQ Table \* ARABIC </w:instrText>
      </w:r>
      <w:r w:rsidR="002F05E5" w:rsidRPr="00D561D8">
        <w:rPr>
          <w:color w:val="FF0000"/>
        </w:rPr>
        <w:fldChar w:fldCharType="separate"/>
      </w:r>
      <w:r w:rsidR="008D3B31" w:rsidRPr="00D561D8">
        <w:rPr>
          <w:noProof/>
          <w:color w:val="FF0000"/>
        </w:rPr>
        <w:t>4</w:t>
      </w:r>
      <w:r w:rsidR="002F05E5" w:rsidRPr="00D561D8">
        <w:rPr>
          <w:color w:val="FF0000"/>
        </w:rPr>
        <w:fldChar w:fldCharType="end"/>
      </w:r>
      <w:bookmarkEnd w:id="8"/>
      <w:r w:rsidRPr="00D561D8">
        <w:rPr>
          <w:color w:val="FF0000"/>
        </w:rPr>
        <w:t xml:space="preserve"> Cost effectiveness information for the scenario where TTE is used to inform the decision whether to prescribe Warfarin to fifty year old males with an initial CHADS</w:t>
      </w:r>
      <w:r w:rsidRPr="00D561D8">
        <w:rPr>
          <w:color w:val="FF0000"/>
          <w:vertAlign w:val="subscript"/>
        </w:rPr>
        <w:t>2</w:t>
      </w:r>
      <w:r w:rsidRPr="00D561D8">
        <w:rPr>
          <w:color w:val="FF0000"/>
        </w:rPr>
        <w:t xml:space="preserve"> score of zero (Dashed lines in the cost-effectiveness acceptability frontier indicate that the No TTE strategy is optimal, and solid lines indicate that the TTE strategy is optimal)</w:t>
      </w:r>
    </w:p>
    <w:tbl>
      <w:tblPr>
        <w:tblStyle w:val="TableGrid"/>
        <w:tblW w:w="0" w:type="auto"/>
        <w:tblLook w:val="04A0" w:firstRow="1" w:lastRow="0" w:firstColumn="1" w:lastColumn="0" w:noHBand="0" w:noVBand="1"/>
      </w:tblPr>
      <w:tblGrid>
        <w:gridCol w:w="7087"/>
        <w:gridCol w:w="7087"/>
      </w:tblGrid>
      <w:tr w:rsidR="004A0CFF" w:rsidRPr="00D561D8" w:rsidTr="006D0808">
        <w:trPr>
          <w:divId w:val="1548566716"/>
          <w:trHeight w:val="4734"/>
        </w:trPr>
        <w:tc>
          <w:tcPr>
            <w:tcW w:w="7087" w:type="dxa"/>
          </w:tcPr>
          <w:p w:rsidR="004A0CFF" w:rsidRPr="00D561D8" w:rsidRDefault="004A0CFF" w:rsidP="00920A0B">
            <w:pPr>
              <w:jc w:val="center"/>
              <w:rPr>
                <w:color w:val="FF0000"/>
              </w:rPr>
            </w:pPr>
            <w:r w:rsidRPr="00D561D8">
              <w:rPr>
                <w:noProof/>
                <w:color w:val="FF0000"/>
                <w:lang w:val="en-GB" w:eastAsia="en-GB"/>
              </w:rPr>
              <w:drawing>
                <wp:inline distT="0" distB="0" distL="0" distR="0" wp14:anchorId="4A84E83B" wp14:editId="67CE0A5B">
                  <wp:extent cx="2910177" cy="2910177"/>
                  <wp:effectExtent l="0" t="0" r="0" b="0"/>
                  <wp:docPr id="3" name="Picture 3" descr="X:\EchoAF\R\Figures\W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choAF\R\Figures\W_50_0_M__PSA.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1749" cy="2911749"/>
                          </a:xfrm>
                          <a:prstGeom prst="rect">
                            <a:avLst/>
                          </a:prstGeom>
                          <a:noFill/>
                          <a:ln>
                            <a:noFill/>
                          </a:ln>
                        </pic:spPr>
                      </pic:pic>
                    </a:graphicData>
                  </a:graphic>
                </wp:inline>
              </w:drawing>
            </w:r>
          </w:p>
        </w:tc>
        <w:tc>
          <w:tcPr>
            <w:tcW w:w="7087" w:type="dxa"/>
          </w:tcPr>
          <w:p w:rsidR="004A0CFF" w:rsidRPr="00D561D8" w:rsidRDefault="004A0CFF" w:rsidP="00920A0B">
            <w:pPr>
              <w:jc w:val="center"/>
              <w:rPr>
                <w:color w:val="FF0000"/>
              </w:rPr>
            </w:pPr>
            <w:r w:rsidRPr="00D561D8">
              <w:rPr>
                <w:noProof/>
                <w:color w:val="FF0000"/>
                <w:lang w:val="en-GB" w:eastAsia="en-GB"/>
              </w:rPr>
              <w:drawing>
                <wp:inline distT="0" distB="0" distL="0" distR="0" wp14:anchorId="6670269D" wp14:editId="778641E7">
                  <wp:extent cx="2981739" cy="2981739"/>
                  <wp:effectExtent l="0" t="0" r="0" b="0"/>
                  <wp:docPr id="4" name="Picture 4" descr="X:\EchoAF\R\Figures\W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choAF\R\Figures\W_50_0_M__CEAF.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6113" cy="2986113"/>
                          </a:xfrm>
                          <a:prstGeom prst="rect">
                            <a:avLst/>
                          </a:prstGeom>
                          <a:noFill/>
                          <a:ln>
                            <a:noFill/>
                          </a:ln>
                        </pic:spPr>
                      </pic:pic>
                    </a:graphicData>
                  </a:graphic>
                </wp:inline>
              </w:drawing>
            </w:r>
          </w:p>
        </w:tc>
      </w:tr>
      <w:tr w:rsidR="004A0CFF" w:rsidRPr="00D561D8" w:rsidTr="004A0CFF">
        <w:trPr>
          <w:divId w:val="1548566716"/>
        </w:trPr>
        <w:tc>
          <w:tcPr>
            <w:tcW w:w="7087" w:type="dxa"/>
          </w:tcPr>
          <w:p w:rsidR="004A0CFF" w:rsidRPr="00D561D8" w:rsidRDefault="004A0CFF" w:rsidP="00920A0B">
            <w:pPr>
              <w:rPr>
                <w:color w:val="FF0000"/>
              </w:rPr>
            </w:pPr>
            <w:r w:rsidRPr="00D561D8">
              <w:rPr>
                <w:color w:val="FF0000"/>
              </w:rPr>
              <w:t>a ) Scatterplot of difference in costs (£) against differences in QALYs</w:t>
            </w:r>
          </w:p>
        </w:tc>
        <w:tc>
          <w:tcPr>
            <w:tcW w:w="7087" w:type="dxa"/>
          </w:tcPr>
          <w:p w:rsidR="004A0CFF" w:rsidRPr="00D561D8" w:rsidRDefault="004A0CFF" w:rsidP="00920A0B">
            <w:pPr>
              <w:rPr>
                <w:color w:val="FF0000"/>
              </w:rPr>
            </w:pPr>
            <w:r w:rsidRPr="00D561D8">
              <w:rPr>
                <w:color w:val="FF0000"/>
              </w:rPr>
              <w:t>b) Cost-effectiveness Acceptability Frontier</w:t>
            </w:r>
          </w:p>
        </w:tc>
      </w:tr>
      <w:tr w:rsidR="004A0CFF" w:rsidRPr="00D561D8" w:rsidTr="004A0CFF">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4A0CFF" w:rsidRPr="00D561D8" w:rsidTr="00920A0B">
              <w:trPr>
                <w:trHeight w:val="314"/>
              </w:trPr>
              <w:tc>
                <w:tcPr>
                  <w:tcW w:w="1566" w:type="dxa"/>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b/>
                      <w:bCs/>
                      <w:i/>
                      <w:iCs/>
                      <w:color w:val="FF0000"/>
                      <w:lang w:eastAsia="en-GB"/>
                    </w:rPr>
                  </w:pP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Mean QALY</w:t>
                  </w:r>
                </w:p>
              </w:tc>
              <w:tc>
                <w:tcPr>
                  <w:tcW w:w="320" w:type="dxa"/>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color w:val="FF0000"/>
                      <w:lang w:eastAsia="en-GB"/>
                    </w:rPr>
                  </w:pPr>
                </w:p>
              </w:tc>
              <w:tc>
                <w:tcPr>
                  <w:tcW w:w="1208" w:type="dxa"/>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Mean</w:t>
                  </w:r>
                </w:p>
              </w:tc>
              <w:tc>
                <w:tcPr>
                  <w:tcW w:w="3912" w:type="dxa"/>
                  <w:gridSpan w:val="6"/>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Jackknifed 95% Credible Intervals</w:t>
                  </w:r>
                </w:p>
              </w:tc>
            </w:tr>
            <w:tr w:rsidR="004A0CFF" w:rsidRPr="00D561D8" w:rsidTr="00920A0B">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4A0CFF" w:rsidRPr="00D561D8" w:rsidRDefault="004A0CFF" w:rsidP="00920A0B">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No TTE</w:t>
                  </w:r>
                </w:p>
              </w:tc>
              <w:tc>
                <w:tcPr>
                  <w:tcW w:w="1479" w:type="dxa"/>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color w:val="FF0000"/>
                      <w:lang w:eastAsia="en-GB"/>
                    </w:rPr>
                  </w:pPr>
                  <w:r w:rsidRPr="00D561D8">
                    <w:rPr>
                      <w:rFonts w:ascii="Calibri" w:eastAsia="Times New Roman" w:hAnsi="Calibri" w:cs="Calibri"/>
                      <w:color w:val="FF0000"/>
                      <w:lang w:eastAsia="en-GB"/>
                    </w:rPr>
                    <w:t xml:space="preserve"> £          2,459 </w:t>
                  </w:r>
                </w:p>
              </w:tc>
              <w:tc>
                <w:tcPr>
                  <w:tcW w:w="1429" w:type="dxa"/>
                  <w:tcBorders>
                    <w:top w:val="nil"/>
                    <w:left w:val="nil"/>
                    <w:bottom w:val="nil"/>
                    <w:right w:val="single" w:sz="4" w:space="0" w:color="auto"/>
                  </w:tcBorders>
                  <w:shd w:val="clear" w:color="auto" w:fill="auto"/>
                  <w:noWrap/>
                  <w:vAlign w:val="bottom"/>
                  <w:hideMark/>
                </w:tcPr>
                <w:p w:rsidR="004A0CFF" w:rsidRPr="00D561D8" w:rsidRDefault="004A0CFF" w:rsidP="00920A0B">
                  <w:pPr>
                    <w:spacing w:after="0" w:line="240" w:lineRule="auto"/>
                    <w:jc w:val="right"/>
                    <w:rPr>
                      <w:rFonts w:ascii="Calibri" w:eastAsia="Times New Roman" w:hAnsi="Calibri" w:cs="Calibri"/>
                      <w:color w:val="FF0000"/>
                      <w:lang w:eastAsia="en-GB"/>
                    </w:rPr>
                  </w:pPr>
                  <w:r w:rsidRPr="00D561D8">
                    <w:rPr>
                      <w:rFonts w:ascii="Calibri" w:eastAsia="Times New Roman" w:hAnsi="Calibri" w:cs="Calibri"/>
                      <w:color w:val="FF0000"/>
                      <w:lang w:eastAsia="en-GB"/>
                    </w:rPr>
                    <w:t>13.60</w:t>
                  </w:r>
                </w:p>
              </w:tc>
              <w:tc>
                <w:tcPr>
                  <w:tcW w:w="320" w:type="dxa"/>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color w:val="FF0000"/>
                      <w:lang w:eastAsia="en-GB"/>
                    </w:rPr>
                  </w:pPr>
                  <w:r w:rsidRPr="00D561D8">
                    <w:rPr>
                      <w:rFonts w:ascii="Calibri" w:eastAsia="Times New Roman" w:hAnsi="Calibri" w:cs="Calibri"/>
                      <w:color w:val="FF0000"/>
                      <w:lang w:eastAsia="en-GB"/>
                    </w:rPr>
                    <w:t xml:space="preserve">-£  26,489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color w:val="FF0000"/>
                      <w:lang w:eastAsia="en-GB"/>
                    </w:rPr>
                  </w:pPr>
                  <w:r w:rsidRPr="00D561D8">
                    <w:rPr>
                      <w:rFonts w:ascii="Calibri" w:eastAsia="Times New Roman" w:hAnsi="Calibri" w:cs="Calibri"/>
                      <w:color w:val="FF0000"/>
                      <w:lang w:eastAsia="en-GB"/>
                    </w:rPr>
                    <w:t xml:space="preserve">-£ 26,552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color w:val="FF0000"/>
                      <w:lang w:eastAsia="en-GB"/>
                    </w:rPr>
                  </w:pPr>
                  <w:r w:rsidRPr="00D561D8">
                    <w:rPr>
                      <w:rFonts w:ascii="Calibri" w:eastAsia="Times New Roman" w:hAnsi="Calibri" w:cs="Calibri"/>
                      <w:color w:val="FF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color w:val="FF0000"/>
                      <w:lang w:eastAsia="en-GB"/>
                    </w:rPr>
                  </w:pPr>
                  <w:r w:rsidRPr="00D561D8">
                    <w:rPr>
                      <w:rFonts w:ascii="Calibri" w:eastAsia="Times New Roman" w:hAnsi="Calibri" w:cs="Calibri"/>
                      <w:color w:val="FF0000"/>
                      <w:lang w:eastAsia="en-GB"/>
                    </w:rPr>
                    <w:t xml:space="preserve">-£  26,408 </w:t>
                  </w:r>
                </w:p>
              </w:tc>
              <w:tc>
                <w:tcPr>
                  <w:tcW w:w="1025" w:type="dxa"/>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color w:val="FF0000"/>
                      <w:lang w:eastAsia="en-GB"/>
                    </w:rPr>
                  </w:pPr>
                </w:p>
              </w:tc>
            </w:tr>
            <w:tr w:rsidR="004A0CFF" w:rsidRPr="00D561D8" w:rsidTr="00920A0B">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4A0CFF" w:rsidRPr="00D561D8" w:rsidRDefault="004A0CFF" w:rsidP="00920A0B">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TTE</w:t>
                  </w:r>
                </w:p>
              </w:tc>
              <w:tc>
                <w:tcPr>
                  <w:tcW w:w="1479" w:type="dxa"/>
                  <w:tcBorders>
                    <w:top w:val="nil"/>
                    <w:left w:val="nil"/>
                    <w:bottom w:val="single" w:sz="4" w:space="0" w:color="auto"/>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color w:val="FF0000"/>
                      <w:lang w:eastAsia="en-GB"/>
                    </w:rPr>
                  </w:pPr>
                  <w:r w:rsidRPr="00D561D8">
                    <w:rPr>
                      <w:rFonts w:ascii="Calibri" w:eastAsia="Times New Roman" w:hAnsi="Calibri" w:cs="Calibri"/>
                      <w:color w:val="FF0000"/>
                      <w:lang w:eastAsia="en-GB"/>
                    </w:rPr>
                    <w:t xml:space="preserve"> £          4,712 </w:t>
                  </w:r>
                </w:p>
              </w:tc>
              <w:tc>
                <w:tcPr>
                  <w:tcW w:w="1429" w:type="dxa"/>
                  <w:tcBorders>
                    <w:top w:val="nil"/>
                    <w:left w:val="nil"/>
                    <w:bottom w:val="single" w:sz="4" w:space="0" w:color="auto"/>
                    <w:right w:val="single" w:sz="4" w:space="0" w:color="auto"/>
                  </w:tcBorders>
                  <w:shd w:val="clear" w:color="auto" w:fill="auto"/>
                  <w:noWrap/>
                  <w:vAlign w:val="bottom"/>
                  <w:hideMark/>
                </w:tcPr>
                <w:p w:rsidR="004A0CFF" w:rsidRPr="00D561D8" w:rsidRDefault="004A0CFF" w:rsidP="00920A0B">
                  <w:pPr>
                    <w:spacing w:after="0" w:line="240" w:lineRule="auto"/>
                    <w:jc w:val="right"/>
                    <w:rPr>
                      <w:rFonts w:ascii="Calibri" w:eastAsia="Times New Roman" w:hAnsi="Calibri" w:cs="Calibri"/>
                      <w:color w:val="FF0000"/>
                      <w:lang w:eastAsia="en-GB"/>
                    </w:rPr>
                  </w:pPr>
                  <w:r w:rsidRPr="00D561D8">
                    <w:rPr>
                      <w:rFonts w:ascii="Calibri" w:eastAsia="Times New Roman" w:hAnsi="Calibri" w:cs="Calibri"/>
                      <w:color w:val="FF0000"/>
                      <w:lang w:eastAsia="en-GB"/>
                    </w:rPr>
                    <w:t>13.51</w:t>
                  </w:r>
                </w:p>
              </w:tc>
              <w:tc>
                <w:tcPr>
                  <w:tcW w:w="320" w:type="dxa"/>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Interpretation:</w:t>
                  </w:r>
                </w:p>
              </w:tc>
              <w:tc>
                <w:tcPr>
                  <w:tcW w:w="2734" w:type="dxa"/>
                  <w:gridSpan w:val="3"/>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Dominated</w:t>
                  </w:r>
                </w:p>
              </w:tc>
              <w:tc>
                <w:tcPr>
                  <w:tcW w:w="500" w:type="dxa"/>
                  <w:gridSpan w:val="2"/>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color w:val="FF0000"/>
                      <w:lang w:eastAsia="en-GB"/>
                    </w:rPr>
                  </w:pPr>
                </w:p>
              </w:tc>
              <w:tc>
                <w:tcPr>
                  <w:tcW w:w="861" w:type="dxa"/>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color w:val="FF0000"/>
                      <w:lang w:eastAsia="en-GB"/>
                    </w:rPr>
                  </w:pPr>
                </w:p>
              </w:tc>
              <w:tc>
                <w:tcPr>
                  <w:tcW w:w="1025" w:type="dxa"/>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color w:val="FF0000"/>
                      <w:lang w:eastAsia="en-GB"/>
                    </w:rPr>
                  </w:pPr>
                </w:p>
              </w:tc>
            </w:tr>
          </w:tbl>
          <w:p w:rsidR="004A0CFF" w:rsidRPr="00D561D8" w:rsidRDefault="004A0CFF" w:rsidP="00920A0B">
            <w:pPr>
              <w:rPr>
                <w:color w:val="FF0000"/>
              </w:rPr>
            </w:pPr>
          </w:p>
        </w:tc>
      </w:tr>
      <w:tr w:rsidR="004A0CFF" w:rsidRPr="00D561D8" w:rsidTr="004A0CFF">
        <w:trPr>
          <w:divId w:val="1548566716"/>
          <w:trHeight w:val="164"/>
        </w:trPr>
        <w:tc>
          <w:tcPr>
            <w:tcW w:w="14174" w:type="dxa"/>
            <w:gridSpan w:val="2"/>
            <w:tcBorders>
              <w:bottom w:val="single" w:sz="4" w:space="0" w:color="auto"/>
            </w:tcBorders>
          </w:tcPr>
          <w:p w:rsidR="004A0CFF" w:rsidRPr="00D561D8" w:rsidRDefault="004A0CFF" w:rsidP="00920A0B">
            <w:pPr>
              <w:jc w:val="center"/>
              <w:rPr>
                <w:rFonts w:eastAsia="Times New Roman" w:cs="Calibri"/>
                <w:b/>
                <w:bCs/>
                <w:i/>
                <w:iCs/>
                <w:color w:val="FF0000"/>
                <w:lang w:eastAsia="en-GB"/>
              </w:rPr>
            </w:pPr>
            <w:r w:rsidRPr="00D561D8">
              <w:rPr>
                <w:color w:val="FF0000"/>
              </w:rPr>
              <w:t>c) Mean costs, QALYs and ICERs</w:t>
            </w:r>
          </w:p>
        </w:tc>
      </w:tr>
    </w:tbl>
    <w:p w:rsidR="00FF7CB5" w:rsidRDefault="00FF7CB5" w:rsidP="00273A34">
      <w:pPr>
        <w:pStyle w:val="Caption"/>
        <w:divId w:val="1548566716"/>
        <w:rPr>
          <w:color w:val="auto"/>
        </w:rPr>
      </w:pPr>
      <w:bookmarkStart w:id="9" w:name="_Ref335131630"/>
    </w:p>
    <w:p w:rsidR="00FF7CB5" w:rsidRDefault="00FF7CB5" w:rsidP="00FF7CB5">
      <w:pPr>
        <w:rPr>
          <w:sz w:val="18"/>
          <w:szCs w:val="18"/>
          <w:lang w:val="en-GB"/>
        </w:rPr>
      </w:pPr>
      <w:r>
        <w:br w:type="page"/>
      </w:r>
    </w:p>
    <w:p w:rsidR="00273A34" w:rsidRPr="00D561D8" w:rsidRDefault="00273A34" w:rsidP="00273A34">
      <w:pPr>
        <w:pStyle w:val="Caption"/>
        <w:divId w:val="1548566716"/>
        <w:rPr>
          <w:color w:val="FF0000"/>
        </w:rPr>
      </w:pPr>
      <w:bookmarkStart w:id="10" w:name="_Ref342550261"/>
      <w:r w:rsidRPr="00D561D8">
        <w:rPr>
          <w:color w:val="FF0000"/>
        </w:rPr>
        <w:lastRenderedPageBreak/>
        <w:t xml:space="preserve">Table </w:t>
      </w:r>
      <w:r w:rsidR="002F05E5" w:rsidRPr="00D561D8">
        <w:rPr>
          <w:color w:val="FF0000"/>
        </w:rPr>
        <w:fldChar w:fldCharType="begin"/>
      </w:r>
      <w:r w:rsidRPr="00D561D8">
        <w:rPr>
          <w:color w:val="FF0000"/>
        </w:rPr>
        <w:instrText xml:space="preserve"> SEQ Table \* ARABIC </w:instrText>
      </w:r>
      <w:r w:rsidR="002F05E5" w:rsidRPr="00D561D8">
        <w:rPr>
          <w:color w:val="FF0000"/>
        </w:rPr>
        <w:fldChar w:fldCharType="separate"/>
      </w:r>
      <w:r w:rsidR="008D3B31" w:rsidRPr="00D561D8">
        <w:rPr>
          <w:noProof/>
          <w:color w:val="FF0000"/>
        </w:rPr>
        <w:t>5</w:t>
      </w:r>
      <w:r w:rsidR="002F05E5" w:rsidRPr="00D561D8">
        <w:rPr>
          <w:color w:val="FF0000"/>
        </w:rPr>
        <w:fldChar w:fldCharType="end"/>
      </w:r>
      <w:bookmarkEnd w:id="9"/>
      <w:bookmarkEnd w:id="10"/>
      <w:r w:rsidRPr="00D561D8">
        <w:rPr>
          <w:color w:val="FF0000"/>
        </w:rPr>
        <w:t xml:space="preserve"> Cost effectiveness information for the scenario where TTE is used to inform the decision whether to prescribe Warfarin to fifty year old males with an initial CHADS</w:t>
      </w:r>
      <w:r w:rsidRPr="00D561D8">
        <w:rPr>
          <w:color w:val="FF0000"/>
          <w:vertAlign w:val="subscript"/>
        </w:rPr>
        <w:t>2</w:t>
      </w:r>
      <w:r w:rsidRPr="00D561D8">
        <w:rPr>
          <w:color w:val="FF0000"/>
        </w:rPr>
        <w:t xml:space="preserve"> score of </w:t>
      </w:r>
      <w:r w:rsidR="00FF7CB5" w:rsidRPr="00D561D8">
        <w:rPr>
          <w:color w:val="FF0000"/>
        </w:rPr>
        <w:t>zero</w:t>
      </w:r>
      <w:r w:rsidRPr="00D561D8">
        <w:rPr>
          <w:color w:val="FF0000"/>
        </w:rPr>
        <w:t>(Dashed lines in the cost-effectiveness acceptability frontier indicate that the No TTE strategy is optimal, and solid lines indicate that the TTE strategy is optimal)</w:t>
      </w:r>
    </w:p>
    <w:tbl>
      <w:tblPr>
        <w:tblStyle w:val="TableGrid"/>
        <w:tblW w:w="0" w:type="auto"/>
        <w:tblLook w:val="04A0" w:firstRow="1" w:lastRow="0" w:firstColumn="1" w:lastColumn="0" w:noHBand="0" w:noVBand="1"/>
      </w:tblPr>
      <w:tblGrid>
        <w:gridCol w:w="7087"/>
        <w:gridCol w:w="7087"/>
      </w:tblGrid>
      <w:tr w:rsidR="004A0CFF" w:rsidRPr="00D561D8" w:rsidTr="006D0808">
        <w:trPr>
          <w:divId w:val="1548566716"/>
          <w:trHeight w:val="4527"/>
        </w:trPr>
        <w:tc>
          <w:tcPr>
            <w:tcW w:w="7087" w:type="dxa"/>
          </w:tcPr>
          <w:p w:rsidR="004A0CFF" w:rsidRPr="00D561D8" w:rsidRDefault="00620AA2" w:rsidP="00920A0B">
            <w:pPr>
              <w:rPr>
                <w:color w:val="FF0000"/>
              </w:rPr>
            </w:pPr>
            <w:r w:rsidRPr="00D561D8">
              <w:rPr>
                <w:noProof/>
                <w:color w:val="FF0000"/>
                <w:lang w:val="en-GB" w:eastAsia="en-GB"/>
              </w:rPr>
              <w:drawing>
                <wp:inline distT="0" distB="0" distL="0" distR="0" wp14:anchorId="03049DF5" wp14:editId="632C61B8">
                  <wp:extent cx="2838893" cy="2838893"/>
                  <wp:effectExtent l="0" t="0" r="0" b="0"/>
                  <wp:docPr id="51" name="Picture 51" descr="X:\Echo AF\EchoAF\R\Figures\W_50_1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cho AF\EchoAF\R\Figures\W_50_1_M__PSA.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8856" cy="2838856"/>
                          </a:xfrm>
                          <a:prstGeom prst="rect">
                            <a:avLst/>
                          </a:prstGeom>
                          <a:noFill/>
                          <a:ln>
                            <a:noFill/>
                          </a:ln>
                        </pic:spPr>
                      </pic:pic>
                    </a:graphicData>
                  </a:graphic>
                </wp:inline>
              </w:drawing>
            </w:r>
          </w:p>
        </w:tc>
        <w:tc>
          <w:tcPr>
            <w:tcW w:w="7087" w:type="dxa"/>
          </w:tcPr>
          <w:p w:rsidR="004A0CFF" w:rsidRPr="00D561D8" w:rsidRDefault="00620AA2" w:rsidP="00920A0B">
            <w:pPr>
              <w:rPr>
                <w:color w:val="FF0000"/>
              </w:rPr>
            </w:pPr>
            <w:r w:rsidRPr="00D561D8">
              <w:rPr>
                <w:noProof/>
                <w:color w:val="FF0000"/>
                <w:lang w:val="en-GB" w:eastAsia="en-GB"/>
              </w:rPr>
              <w:drawing>
                <wp:inline distT="0" distB="0" distL="0" distR="0" wp14:anchorId="38ADC602" wp14:editId="7D92165C">
                  <wp:extent cx="2913321" cy="2913321"/>
                  <wp:effectExtent l="0" t="0" r="0" b="0"/>
                  <wp:docPr id="52" name="Picture 52" descr="X:\Echo AF\EchoAF\R\Figures\W_50_1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cho AF\EchoAF\R\Figures\W_50_1_M__CEAF.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3284" cy="2913284"/>
                          </a:xfrm>
                          <a:prstGeom prst="rect">
                            <a:avLst/>
                          </a:prstGeom>
                          <a:noFill/>
                          <a:ln>
                            <a:noFill/>
                          </a:ln>
                        </pic:spPr>
                      </pic:pic>
                    </a:graphicData>
                  </a:graphic>
                </wp:inline>
              </w:drawing>
            </w:r>
          </w:p>
        </w:tc>
      </w:tr>
      <w:tr w:rsidR="004A0CFF" w:rsidRPr="00D561D8" w:rsidTr="004A0CFF">
        <w:trPr>
          <w:divId w:val="1548566716"/>
        </w:trPr>
        <w:tc>
          <w:tcPr>
            <w:tcW w:w="7087" w:type="dxa"/>
          </w:tcPr>
          <w:p w:rsidR="004A0CFF" w:rsidRPr="00D561D8" w:rsidRDefault="004A0CFF" w:rsidP="00920A0B">
            <w:pPr>
              <w:rPr>
                <w:color w:val="FF0000"/>
              </w:rPr>
            </w:pPr>
            <w:r w:rsidRPr="00D561D8">
              <w:rPr>
                <w:color w:val="FF0000"/>
              </w:rPr>
              <w:t>a ) Scatterplot of difference in costs (£) against differences in QALYs</w:t>
            </w:r>
          </w:p>
        </w:tc>
        <w:tc>
          <w:tcPr>
            <w:tcW w:w="7087" w:type="dxa"/>
          </w:tcPr>
          <w:p w:rsidR="004A0CFF" w:rsidRPr="00D561D8" w:rsidRDefault="004A0CFF" w:rsidP="00920A0B">
            <w:pPr>
              <w:rPr>
                <w:color w:val="FF0000"/>
              </w:rPr>
            </w:pPr>
            <w:r w:rsidRPr="00D561D8">
              <w:rPr>
                <w:color w:val="FF0000"/>
              </w:rPr>
              <w:t>b) Cost-effectiveness Acceptability Frontier</w:t>
            </w:r>
          </w:p>
        </w:tc>
      </w:tr>
      <w:tr w:rsidR="004A0CFF" w:rsidRPr="00D561D8" w:rsidTr="006D0808">
        <w:trPr>
          <w:divId w:val="1548566716"/>
          <w:trHeight w:val="1747"/>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4A0CFF" w:rsidRPr="00D561D8" w:rsidTr="00920A0B">
              <w:trPr>
                <w:trHeight w:val="314"/>
              </w:trPr>
              <w:tc>
                <w:tcPr>
                  <w:tcW w:w="1566" w:type="dxa"/>
                  <w:tcBorders>
                    <w:top w:val="nil"/>
                    <w:left w:val="nil"/>
                    <w:bottom w:val="nil"/>
                    <w:right w:val="nil"/>
                  </w:tcBorders>
                  <w:shd w:val="clear" w:color="auto" w:fill="auto"/>
                  <w:noWrap/>
                  <w:vAlign w:val="bottom"/>
                  <w:hideMark/>
                </w:tcPr>
                <w:p w:rsidR="004A0CFF" w:rsidRPr="00D561D8" w:rsidRDefault="004A0CFF" w:rsidP="00620AA2">
                  <w:pPr>
                    <w:spacing w:after="0" w:line="240" w:lineRule="auto"/>
                    <w:rPr>
                      <w:rFonts w:ascii="Calibri" w:eastAsia="Times New Roman" w:hAnsi="Calibri" w:cs="Calibri"/>
                      <w:b/>
                      <w:bCs/>
                      <w:i/>
                      <w:iCs/>
                      <w:color w:val="FF0000"/>
                      <w:lang w:eastAsia="en-GB"/>
                    </w:rPr>
                  </w:pP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Mean QALY</w:t>
                  </w:r>
                </w:p>
              </w:tc>
              <w:tc>
                <w:tcPr>
                  <w:tcW w:w="320" w:type="dxa"/>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color w:val="FF0000"/>
                      <w:lang w:eastAsia="en-GB"/>
                    </w:rPr>
                  </w:pPr>
                </w:p>
              </w:tc>
              <w:tc>
                <w:tcPr>
                  <w:tcW w:w="1208" w:type="dxa"/>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Mean</w:t>
                  </w:r>
                </w:p>
              </w:tc>
              <w:tc>
                <w:tcPr>
                  <w:tcW w:w="3912" w:type="dxa"/>
                  <w:gridSpan w:val="5"/>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Jackknifed 95% Credible Intervals</w:t>
                  </w:r>
                </w:p>
              </w:tc>
            </w:tr>
            <w:tr w:rsidR="004A0CFF" w:rsidRPr="00D561D8" w:rsidTr="00620AA2">
              <w:trPr>
                <w:trHeight w:val="223"/>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4A0CFF" w:rsidRPr="00D561D8" w:rsidRDefault="004A0CFF" w:rsidP="00920A0B">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No TTE</w:t>
                  </w:r>
                </w:p>
              </w:tc>
              <w:tc>
                <w:tcPr>
                  <w:tcW w:w="1479" w:type="dxa"/>
                  <w:tcBorders>
                    <w:top w:val="nil"/>
                    <w:left w:val="nil"/>
                    <w:bottom w:val="nil"/>
                    <w:right w:val="nil"/>
                  </w:tcBorders>
                  <w:shd w:val="clear" w:color="auto" w:fill="auto"/>
                  <w:noWrap/>
                  <w:vAlign w:val="bottom"/>
                  <w:hideMark/>
                </w:tcPr>
                <w:p w:rsidR="004A0CFF" w:rsidRPr="00D561D8" w:rsidRDefault="004A0CFF" w:rsidP="00741D85">
                  <w:pPr>
                    <w:spacing w:after="0" w:line="240" w:lineRule="auto"/>
                    <w:rPr>
                      <w:rFonts w:ascii="Calibri" w:eastAsia="Times New Roman" w:hAnsi="Calibri" w:cs="Calibri"/>
                      <w:color w:val="FF0000"/>
                      <w:lang w:eastAsia="en-GB"/>
                    </w:rPr>
                  </w:pPr>
                  <w:r w:rsidRPr="00D561D8">
                    <w:rPr>
                      <w:rFonts w:ascii="Calibri" w:eastAsia="Times New Roman" w:hAnsi="Calibri" w:cs="Calibri"/>
                      <w:color w:val="FF0000"/>
                      <w:lang w:eastAsia="en-GB"/>
                    </w:rPr>
                    <w:t xml:space="preserve"> £          </w:t>
                  </w:r>
                  <w:r w:rsidR="00741D85" w:rsidRPr="00D561D8">
                    <w:rPr>
                      <w:rFonts w:ascii="Calibri" w:eastAsia="Times New Roman" w:hAnsi="Calibri" w:cs="Calibri"/>
                      <w:color w:val="FF0000"/>
                      <w:lang w:eastAsia="en-GB"/>
                    </w:rPr>
                    <w:t>7</w:t>
                  </w:r>
                  <w:r w:rsidRPr="00D561D8">
                    <w:rPr>
                      <w:rFonts w:ascii="Calibri" w:eastAsia="Times New Roman" w:hAnsi="Calibri" w:cs="Calibri"/>
                      <w:color w:val="FF0000"/>
                      <w:lang w:eastAsia="en-GB"/>
                    </w:rPr>
                    <w:t>,</w:t>
                  </w:r>
                  <w:r w:rsidR="00741D85" w:rsidRPr="00D561D8">
                    <w:rPr>
                      <w:rFonts w:ascii="Calibri" w:eastAsia="Times New Roman" w:hAnsi="Calibri" w:cs="Calibri"/>
                      <w:color w:val="FF0000"/>
                      <w:lang w:eastAsia="en-GB"/>
                    </w:rPr>
                    <w:t>334</w:t>
                  </w:r>
                  <w:r w:rsidRPr="00D561D8">
                    <w:rPr>
                      <w:rFonts w:ascii="Calibri" w:eastAsia="Times New Roman" w:hAnsi="Calibri" w:cs="Calibri"/>
                      <w:color w:val="FF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4A0CFF" w:rsidRPr="00D561D8" w:rsidRDefault="00741D85" w:rsidP="00920A0B">
                  <w:pPr>
                    <w:spacing w:after="0" w:line="240" w:lineRule="auto"/>
                    <w:jc w:val="right"/>
                    <w:rPr>
                      <w:rFonts w:ascii="Calibri" w:eastAsia="Times New Roman" w:hAnsi="Calibri" w:cs="Calibri"/>
                      <w:color w:val="FF0000"/>
                      <w:lang w:eastAsia="en-GB"/>
                    </w:rPr>
                  </w:pPr>
                  <w:r w:rsidRPr="00D561D8">
                    <w:rPr>
                      <w:rFonts w:ascii="Calibri" w:eastAsia="Times New Roman" w:hAnsi="Calibri" w:cs="Calibri"/>
                      <w:color w:val="FF0000"/>
                      <w:lang w:eastAsia="en-GB"/>
                    </w:rPr>
                    <w:t>12.00</w:t>
                  </w:r>
                </w:p>
              </w:tc>
              <w:tc>
                <w:tcPr>
                  <w:tcW w:w="320" w:type="dxa"/>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4A0CFF" w:rsidRPr="00D561D8" w:rsidRDefault="004A0CFF" w:rsidP="00640262">
                  <w:pPr>
                    <w:spacing w:after="0" w:line="240" w:lineRule="auto"/>
                    <w:rPr>
                      <w:rFonts w:ascii="Calibri" w:eastAsia="Times New Roman" w:hAnsi="Calibri" w:cs="Calibri"/>
                      <w:color w:val="FF0000"/>
                      <w:lang w:eastAsia="en-GB"/>
                    </w:rPr>
                  </w:pPr>
                  <w:r w:rsidRPr="00D561D8">
                    <w:rPr>
                      <w:rFonts w:ascii="Calibri" w:eastAsia="Times New Roman" w:hAnsi="Calibri" w:cs="Calibri"/>
                      <w:color w:val="FF0000"/>
                      <w:lang w:eastAsia="en-GB"/>
                    </w:rPr>
                    <w:t xml:space="preserve">£ </w:t>
                  </w:r>
                  <w:r w:rsidR="00640262" w:rsidRPr="00D561D8">
                    <w:rPr>
                      <w:rFonts w:ascii="Calibri" w:eastAsia="Times New Roman" w:hAnsi="Calibri" w:cs="Calibri"/>
                      <w:color w:val="FF0000"/>
                      <w:lang w:eastAsia="en-GB"/>
                    </w:rPr>
                    <w:t xml:space="preserve"> </w:t>
                  </w:r>
                  <w:r w:rsidR="00741D85" w:rsidRPr="00D561D8">
                    <w:rPr>
                      <w:rFonts w:ascii="Calibri" w:eastAsia="Times New Roman" w:hAnsi="Calibri" w:cs="Calibri"/>
                      <w:color w:val="FF0000"/>
                      <w:lang w:eastAsia="en-GB"/>
                    </w:rPr>
                    <w:t>6,274</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4A0CFF" w:rsidRPr="00D561D8" w:rsidRDefault="004A0CFF" w:rsidP="00741D85">
                  <w:pPr>
                    <w:spacing w:after="0" w:line="240" w:lineRule="auto"/>
                    <w:rPr>
                      <w:rFonts w:ascii="Calibri" w:eastAsia="Times New Roman" w:hAnsi="Calibri" w:cs="Calibri"/>
                      <w:color w:val="FF0000"/>
                      <w:lang w:eastAsia="en-GB"/>
                    </w:rPr>
                  </w:pPr>
                  <w:r w:rsidRPr="00D561D8">
                    <w:rPr>
                      <w:rFonts w:ascii="Calibri" w:eastAsia="Times New Roman" w:hAnsi="Calibri" w:cs="Calibri"/>
                      <w:color w:val="FF0000"/>
                      <w:lang w:eastAsia="en-GB"/>
                    </w:rPr>
                    <w:t>£ 7,</w:t>
                  </w:r>
                  <w:r w:rsidR="00741D85" w:rsidRPr="00D561D8">
                    <w:rPr>
                      <w:rFonts w:ascii="Calibri" w:eastAsia="Times New Roman" w:hAnsi="Calibri" w:cs="Calibri"/>
                      <w:color w:val="FF0000"/>
                      <w:lang w:eastAsia="en-GB"/>
                    </w:rPr>
                    <w:t>296</w:t>
                  </w:r>
                  <w:r w:rsidRPr="00D561D8">
                    <w:rPr>
                      <w:rFonts w:ascii="Calibri" w:eastAsia="Times New Roman" w:hAnsi="Calibri" w:cs="Calibri"/>
                      <w:color w:val="FF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color w:val="FF0000"/>
                      <w:lang w:eastAsia="en-GB"/>
                    </w:rPr>
                  </w:pPr>
                  <w:r w:rsidRPr="00D561D8">
                    <w:rPr>
                      <w:rFonts w:ascii="Calibri" w:eastAsia="Times New Roman" w:hAnsi="Calibri" w:cs="Calibri"/>
                      <w:color w:val="FF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4A0CFF" w:rsidRPr="00D561D8" w:rsidRDefault="004A0CFF" w:rsidP="00741D85">
                  <w:pPr>
                    <w:spacing w:after="0" w:line="240" w:lineRule="auto"/>
                    <w:rPr>
                      <w:rFonts w:ascii="Calibri" w:eastAsia="Times New Roman" w:hAnsi="Calibri" w:cs="Calibri"/>
                      <w:color w:val="FF0000"/>
                      <w:lang w:eastAsia="en-GB"/>
                    </w:rPr>
                  </w:pPr>
                  <w:r w:rsidRPr="00D561D8">
                    <w:rPr>
                      <w:rFonts w:ascii="Calibri" w:eastAsia="Times New Roman" w:hAnsi="Calibri" w:cs="Calibri"/>
                      <w:color w:val="FF0000"/>
                      <w:lang w:eastAsia="en-GB"/>
                    </w:rPr>
                    <w:t xml:space="preserve">£  </w:t>
                  </w:r>
                  <w:r w:rsidR="00741D85" w:rsidRPr="00D561D8">
                    <w:rPr>
                      <w:rFonts w:ascii="Calibri" w:eastAsia="Times New Roman" w:hAnsi="Calibri" w:cs="Calibri"/>
                      <w:color w:val="FF0000"/>
                      <w:lang w:eastAsia="en-GB"/>
                    </w:rPr>
                    <w:t>6</w:t>
                  </w:r>
                  <w:r w:rsidRPr="00D561D8">
                    <w:rPr>
                      <w:rFonts w:ascii="Calibri" w:eastAsia="Times New Roman" w:hAnsi="Calibri" w:cs="Calibri"/>
                      <w:color w:val="FF0000"/>
                      <w:lang w:eastAsia="en-GB"/>
                    </w:rPr>
                    <w:t>,2</w:t>
                  </w:r>
                  <w:r w:rsidR="00741D85" w:rsidRPr="00D561D8">
                    <w:rPr>
                      <w:rFonts w:ascii="Calibri" w:eastAsia="Times New Roman" w:hAnsi="Calibri" w:cs="Calibri"/>
                      <w:color w:val="FF0000"/>
                      <w:lang w:eastAsia="en-GB"/>
                    </w:rPr>
                    <w:t>78</w:t>
                  </w:r>
                  <w:r w:rsidRPr="00D561D8">
                    <w:rPr>
                      <w:rFonts w:ascii="Calibri" w:eastAsia="Times New Roman" w:hAnsi="Calibri" w:cs="Calibri"/>
                      <w:color w:val="FF0000"/>
                      <w:lang w:eastAsia="en-GB"/>
                    </w:rPr>
                    <w:t xml:space="preserve"> </w:t>
                  </w:r>
                </w:p>
              </w:tc>
              <w:tc>
                <w:tcPr>
                  <w:tcW w:w="1025" w:type="dxa"/>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color w:val="FF0000"/>
                      <w:lang w:eastAsia="en-GB"/>
                    </w:rPr>
                  </w:pPr>
                </w:p>
              </w:tc>
            </w:tr>
            <w:tr w:rsidR="004A0CFF" w:rsidRPr="00D561D8" w:rsidTr="00620AA2">
              <w:trPr>
                <w:trHeight w:val="240"/>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4A0CFF" w:rsidRPr="00D561D8" w:rsidRDefault="004A0CFF" w:rsidP="00920A0B">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TTE</w:t>
                  </w:r>
                </w:p>
              </w:tc>
              <w:tc>
                <w:tcPr>
                  <w:tcW w:w="1479" w:type="dxa"/>
                  <w:tcBorders>
                    <w:top w:val="nil"/>
                    <w:left w:val="nil"/>
                    <w:bottom w:val="single" w:sz="4" w:space="0" w:color="auto"/>
                    <w:right w:val="nil"/>
                  </w:tcBorders>
                  <w:shd w:val="clear" w:color="auto" w:fill="auto"/>
                  <w:noWrap/>
                  <w:vAlign w:val="bottom"/>
                  <w:hideMark/>
                </w:tcPr>
                <w:p w:rsidR="004A0CFF" w:rsidRPr="00D561D8" w:rsidRDefault="004A0CFF" w:rsidP="00741D85">
                  <w:pPr>
                    <w:spacing w:after="0" w:line="240" w:lineRule="auto"/>
                    <w:rPr>
                      <w:rFonts w:ascii="Calibri" w:eastAsia="Times New Roman" w:hAnsi="Calibri" w:cs="Calibri"/>
                      <w:color w:val="FF0000"/>
                      <w:lang w:eastAsia="en-GB"/>
                    </w:rPr>
                  </w:pPr>
                  <w:r w:rsidRPr="00D561D8">
                    <w:rPr>
                      <w:rFonts w:ascii="Calibri" w:eastAsia="Times New Roman" w:hAnsi="Calibri" w:cs="Calibri"/>
                      <w:color w:val="FF0000"/>
                      <w:lang w:eastAsia="en-GB"/>
                    </w:rPr>
                    <w:t xml:space="preserve"> £        </w:t>
                  </w:r>
                  <w:r w:rsidR="00741D85" w:rsidRPr="00D561D8">
                    <w:rPr>
                      <w:rFonts w:ascii="Calibri" w:eastAsia="Times New Roman" w:hAnsi="Calibri" w:cs="Calibri"/>
                      <w:color w:val="FF0000"/>
                      <w:lang w:eastAsia="en-GB"/>
                    </w:rPr>
                    <w:t>10</w:t>
                  </w:r>
                  <w:r w:rsidRPr="00D561D8">
                    <w:rPr>
                      <w:rFonts w:ascii="Calibri" w:eastAsia="Times New Roman" w:hAnsi="Calibri" w:cs="Calibri"/>
                      <w:color w:val="FF0000"/>
                      <w:lang w:eastAsia="en-GB"/>
                    </w:rPr>
                    <w:t>,</w:t>
                  </w:r>
                  <w:r w:rsidR="00741D85" w:rsidRPr="00D561D8">
                    <w:rPr>
                      <w:rFonts w:ascii="Calibri" w:eastAsia="Times New Roman" w:hAnsi="Calibri" w:cs="Calibri"/>
                      <w:color w:val="FF0000"/>
                      <w:lang w:eastAsia="en-GB"/>
                    </w:rPr>
                    <w:t>343</w:t>
                  </w:r>
                  <w:r w:rsidRPr="00D561D8">
                    <w:rPr>
                      <w:rFonts w:ascii="Calibri" w:eastAsia="Times New Roman" w:hAnsi="Calibri" w:cs="Calibri"/>
                      <w:color w:val="FF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4A0CFF" w:rsidRPr="00D561D8" w:rsidRDefault="00741D85" w:rsidP="00920A0B">
                  <w:pPr>
                    <w:spacing w:after="0" w:line="240" w:lineRule="auto"/>
                    <w:jc w:val="right"/>
                    <w:rPr>
                      <w:rFonts w:ascii="Calibri" w:eastAsia="Times New Roman" w:hAnsi="Calibri" w:cs="Calibri"/>
                      <w:color w:val="FF0000"/>
                      <w:lang w:eastAsia="en-GB"/>
                    </w:rPr>
                  </w:pPr>
                  <w:r w:rsidRPr="00D561D8">
                    <w:rPr>
                      <w:rFonts w:ascii="Calibri" w:eastAsia="Times New Roman" w:hAnsi="Calibri" w:cs="Calibri"/>
                      <w:color w:val="FF0000"/>
                      <w:lang w:eastAsia="en-GB"/>
                    </w:rPr>
                    <w:t>12.48</w:t>
                  </w:r>
                </w:p>
              </w:tc>
              <w:tc>
                <w:tcPr>
                  <w:tcW w:w="320" w:type="dxa"/>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Interpretation:</w:t>
                  </w:r>
                </w:p>
              </w:tc>
              <w:tc>
                <w:tcPr>
                  <w:tcW w:w="3812" w:type="dxa"/>
                  <w:gridSpan w:val="4"/>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i/>
                      <w:color w:val="FF0000"/>
                      <w:lang w:eastAsia="en-GB"/>
                    </w:rPr>
                  </w:pPr>
                  <w:r w:rsidRPr="00D561D8">
                    <w:rPr>
                      <w:rFonts w:ascii="Calibri" w:eastAsia="Times New Roman" w:hAnsi="Calibri" w:cs="Calibri"/>
                      <w:i/>
                      <w:color w:val="FF0000"/>
                      <w:lang w:eastAsia="en-GB"/>
                    </w:rPr>
                    <w:t>Neither dominated nor dominating</w:t>
                  </w:r>
                  <w:r w:rsidR="005468D5" w:rsidRPr="00D561D8">
                    <w:rPr>
                      <w:rFonts w:ascii="Calibri" w:eastAsia="Times New Roman" w:hAnsi="Calibri" w:cs="Calibri"/>
                      <w:i/>
                      <w:color w:val="FF0000"/>
                      <w:lang w:eastAsia="en-GB"/>
                    </w:rPr>
                    <w:t>. Appears cost effective at £20,000/QALY</w:t>
                  </w:r>
                </w:p>
              </w:tc>
              <w:tc>
                <w:tcPr>
                  <w:tcW w:w="283" w:type="dxa"/>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color w:val="FF0000"/>
                      <w:lang w:eastAsia="en-GB"/>
                    </w:rPr>
                  </w:pPr>
                </w:p>
              </w:tc>
              <w:tc>
                <w:tcPr>
                  <w:tcW w:w="1025" w:type="dxa"/>
                  <w:tcBorders>
                    <w:top w:val="nil"/>
                    <w:left w:val="nil"/>
                    <w:bottom w:val="nil"/>
                    <w:right w:val="nil"/>
                  </w:tcBorders>
                  <w:shd w:val="clear" w:color="auto" w:fill="auto"/>
                  <w:noWrap/>
                  <w:vAlign w:val="bottom"/>
                  <w:hideMark/>
                </w:tcPr>
                <w:p w:rsidR="004A0CFF" w:rsidRPr="00D561D8" w:rsidRDefault="004A0CFF" w:rsidP="00920A0B">
                  <w:pPr>
                    <w:spacing w:after="0" w:line="240" w:lineRule="auto"/>
                    <w:rPr>
                      <w:rFonts w:ascii="Calibri" w:eastAsia="Times New Roman" w:hAnsi="Calibri" w:cs="Calibri"/>
                      <w:color w:val="FF0000"/>
                      <w:lang w:eastAsia="en-GB"/>
                    </w:rPr>
                  </w:pPr>
                </w:p>
              </w:tc>
            </w:tr>
          </w:tbl>
          <w:p w:rsidR="004A0CFF" w:rsidRPr="00D561D8" w:rsidRDefault="004A0CFF" w:rsidP="00920A0B">
            <w:pPr>
              <w:rPr>
                <w:color w:val="FF0000"/>
              </w:rPr>
            </w:pPr>
          </w:p>
        </w:tc>
      </w:tr>
      <w:tr w:rsidR="004A0CFF" w:rsidRPr="00D561D8" w:rsidTr="004A0CFF">
        <w:trPr>
          <w:divId w:val="1548566716"/>
          <w:trHeight w:val="203"/>
        </w:trPr>
        <w:tc>
          <w:tcPr>
            <w:tcW w:w="14174" w:type="dxa"/>
            <w:gridSpan w:val="2"/>
          </w:tcPr>
          <w:p w:rsidR="004A0CFF" w:rsidRPr="00D561D8" w:rsidRDefault="004A0CFF" w:rsidP="00920A0B">
            <w:pPr>
              <w:jc w:val="center"/>
              <w:rPr>
                <w:rFonts w:eastAsia="Times New Roman" w:cs="Calibri"/>
                <w:b/>
                <w:bCs/>
                <w:i/>
                <w:iCs/>
                <w:color w:val="FF0000"/>
                <w:lang w:eastAsia="en-GB"/>
              </w:rPr>
            </w:pPr>
            <w:r w:rsidRPr="00D561D8">
              <w:rPr>
                <w:color w:val="FF0000"/>
              </w:rPr>
              <w:t>c) Mean costs, QALYs and ICERs</w:t>
            </w:r>
          </w:p>
        </w:tc>
      </w:tr>
    </w:tbl>
    <w:p w:rsidR="006D0808" w:rsidRPr="00532F44" w:rsidRDefault="006D0808" w:rsidP="003C217E">
      <w:pPr>
        <w:divId w:val="1548566716"/>
        <w:rPr>
          <w:lang w:val="en-GB"/>
        </w:rPr>
        <w:sectPr w:rsidR="006D0808" w:rsidRPr="00532F44" w:rsidSect="006D0808">
          <w:pgSz w:w="16838" w:h="11906" w:orient="landscape"/>
          <w:pgMar w:top="1440" w:right="1440" w:bottom="1440" w:left="1440" w:header="709" w:footer="709" w:gutter="0"/>
          <w:cols w:space="708"/>
          <w:docGrid w:linePitch="360"/>
        </w:sectPr>
      </w:pPr>
    </w:p>
    <w:p w:rsidR="00920A0B" w:rsidRPr="00D561D8" w:rsidRDefault="0098691C" w:rsidP="0098691C">
      <w:pPr>
        <w:pStyle w:val="Caption"/>
        <w:divId w:val="1548566716"/>
        <w:rPr>
          <w:color w:val="FF0000"/>
        </w:rPr>
      </w:pPr>
      <w:bookmarkStart w:id="11" w:name="_Ref335141468"/>
      <w:r w:rsidRPr="00D561D8">
        <w:rPr>
          <w:color w:val="FF0000"/>
        </w:rPr>
        <w:lastRenderedPageBreak/>
        <w:t xml:space="preserve">Table </w:t>
      </w:r>
      <w:r w:rsidR="002F05E5" w:rsidRPr="00D561D8">
        <w:rPr>
          <w:color w:val="FF0000"/>
        </w:rPr>
        <w:fldChar w:fldCharType="begin"/>
      </w:r>
      <w:r w:rsidRPr="00D561D8">
        <w:rPr>
          <w:color w:val="FF0000"/>
        </w:rPr>
        <w:instrText xml:space="preserve"> SEQ Table \* ARABIC </w:instrText>
      </w:r>
      <w:r w:rsidR="002F05E5" w:rsidRPr="00D561D8">
        <w:rPr>
          <w:color w:val="FF0000"/>
        </w:rPr>
        <w:fldChar w:fldCharType="separate"/>
      </w:r>
      <w:r w:rsidR="008D3B31" w:rsidRPr="00D561D8">
        <w:rPr>
          <w:noProof/>
          <w:color w:val="FF0000"/>
        </w:rPr>
        <w:t>6</w:t>
      </w:r>
      <w:r w:rsidR="002F05E5" w:rsidRPr="00D561D8">
        <w:rPr>
          <w:color w:val="FF0000"/>
        </w:rPr>
        <w:fldChar w:fldCharType="end"/>
      </w:r>
      <w:bookmarkEnd w:id="11"/>
      <w:r w:rsidRPr="00D561D8">
        <w:rPr>
          <w:color w:val="FF0000"/>
        </w:rPr>
        <w:t xml:space="preserve"> Illustration of the effect of different levels of sensitivity and specificity on ICER of TTE compared with no TTE in cohorts of male patients aged fifty in making the decision whether to prescribe warfarin.</w:t>
      </w:r>
      <w:r w:rsidR="00040779" w:rsidRPr="00D561D8">
        <w:rPr>
          <w:color w:val="FF0000"/>
        </w:rPr>
        <w:t xml:space="preserve"> The four cells with sensitivity and specificity values closest to the empirical values are underlined</w:t>
      </w:r>
      <w:r w:rsidR="0053772E" w:rsidRPr="00D561D8">
        <w:rPr>
          <w:color w:val="FF0000"/>
        </w:rPr>
        <w:t>.</w:t>
      </w:r>
      <w:r w:rsidRPr="00D561D8">
        <w:rPr>
          <w:color w:val="FF0000"/>
        </w:rPr>
        <w:t xml:space="preserve"> (Amounts in £1000 / QALY; &gt;99; Over £99,000/QALY; D: Dominated)</w:t>
      </w:r>
    </w:p>
    <w:tbl>
      <w:tblPr>
        <w:tblpPr w:leftFromText="180" w:rightFromText="180" w:vertAnchor="page" w:horzAnchor="margin" w:tblpY="2911"/>
        <w:tblW w:w="0" w:type="auto"/>
        <w:tblLook w:val="04A0" w:firstRow="1" w:lastRow="0" w:firstColumn="1" w:lastColumn="0" w:noHBand="0" w:noVBand="1"/>
      </w:tblPr>
      <w:tblGrid>
        <w:gridCol w:w="556"/>
        <w:gridCol w:w="686"/>
        <w:gridCol w:w="426"/>
        <w:gridCol w:w="567"/>
        <w:gridCol w:w="567"/>
        <w:gridCol w:w="567"/>
        <w:gridCol w:w="567"/>
        <w:gridCol w:w="567"/>
        <w:gridCol w:w="567"/>
        <w:gridCol w:w="780"/>
        <w:gridCol w:w="709"/>
        <w:gridCol w:w="607"/>
        <w:gridCol w:w="552"/>
      </w:tblGrid>
      <w:tr w:rsidR="00DB7C63" w:rsidRPr="00D561D8" w:rsidTr="00DB7C63">
        <w:trPr>
          <w:divId w:val="1548566716"/>
          <w:trHeight w:val="329"/>
        </w:trPr>
        <w:tc>
          <w:tcPr>
            <w:tcW w:w="1242"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B7C63" w:rsidRPr="00D561D8" w:rsidRDefault="00DB7C63" w:rsidP="00B13ECE">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 xml:space="preserve"> CHADS</w:t>
            </w:r>
            <w:r w:rsidRPr="00D561D8">
              <w:rPr>
                <w:rFonts w:ascii="Calibri" w:eastAsia="Times New Roman" w:hAnsi="Calibri" w:cs="Calibri"/>
                <w:b/>
                <w:bCs/>
                <w:i/>
                <w:iCs/>
                <w:color w:val="FF0000"/>
                <w:vertAlign w:val="subscript"/>
                <w:lang w:eastAsia="en-GB"/>
              </w:rPr>
              <w:t>2</w:t>
            </w:r>
          </w:p>
        </w:tc>
        <w:tc>
          <w:tcPr>
            <w:tcW w:w="6476" w:type="dxa"/>
            <w:gridSpan w:val="11"/>
            <w:tcBorders>
              <w:top w:val="single" w:sz="4" w:space="0" w:color="auto"/>
              <w:left w:val="nil"/>
              <w:bottom w:val="single" w:sz="4" w:space="0" w:color="auto"/>
              <w:right w:val="single" w:sz="4" w:space="0" w:color="auto"/>
            </w:tcBorders>
            <w:shd w:val="clear" w:color="auto" w:fill="auto"/>
            <w:noWrap/>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Sensitivity</w:t>
            </w:r>
          </w:p>
        </w:tc>
      </w:tr>
      <w:tr w:rsidR="00DB7C63" w:rsidRPr="00D561D8" w:rsidTr="00DB7C63">
        <w:trPr>
          <w:divId w:val="1548566716"/>
          <w:trHeight w:val="329"/>
        </w:trPr>
        <w:tc>
          <w:tcPr>
            <w:tcW w:w="1242" w:type="dxa"/>
            <w:gridSpan w:val="2"/>
            <w:tcBorders>
              <w:top w:val="nil"/>
              <w:left w:val="single" w:sz="4" w:space="0" w:color="auto"/>
              <w:bottom w:val="single" w:sz="4" w:space="0" w:color="auto"/>
              <w:right w:val="single" w:sz="4" w:space="0" w:color="000000"/>
            </w:tcBorders>
            <w:shd w:val="clear" w:color="auto" w:fill="auto"/>
            <w:vAlign w:val="center"/>
            <w:hideMark/>
          </w:tcPr>
          <w:p w:rsidR="00DB7C63" w:rsidRPr="00D561D8" w:rsidRDefault="00DB7C63" w:rsidP="00DB7C63">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of zero</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r>
      <w:tr w:rsidR="00DB7C63" w:rsidRPr="00D561D8" w:rsidTr="00DB7C63">
        <w:trPr>
          <w:divId w:val="1548566716"/>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Specificity</w:t>
            </w: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8.4</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5.7</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u w:val="single"/>
                <w:lang w:eastAsia="en-GB"/>
              </w:rPr>
            </w:pPr>
            <w:r w:rsidRPr="00D561D8">
              <w:rPr>
                <w:rFonts w:ascii="Calibri" w:eastAsia="Times New Roman" w:hAnsi="Calibri" w:cs="Calibri"/>
                <w:color w:val="FF0000"/>
                <w:u w:val="single"/>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u w:val="single"/>
                <w:lang w:eastAsia="en-GB"/>
              </w:rPr>
            </w:pPr>
            <w:r w:rsidRPr="00D561D8">
              <w:rPr>
                <w:rFonts w:ascii="Calibri" w:eastAsia="Times New Roman" w:hAnsi="Calibri" w:cs="Calibri"/>
                <w:color w:val="FF0000"/>
                <w:u w:val="single"/>
                <w:lang w:eastAsia="en-GB"/>
              </w:rPr>
              <w:t>4.9</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u w:val="single"/>
                <w:lang w:eastAsia="en-GB"/>
              </w:rPr>
            </w:pPr>
            <w:r w:rsidRPr="00D561D8">
              <w:rPr>
                <w:rFonts w:ascii="Calibri" w:eastAsia="Times New Roman" w:hAnsi="Calibri" w:cs="Calibri"/>
                <w:color w:val="FF0000"/>
                <w:u w:val="single"/>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u w:val="single"/>
                <w:lang w:eastAsia="en-GB"/>
              </w:rPr>
            </w:pPr>
            <w:r w:rsidRPr="00D561D8">
              <w:rPr>
                <w:rFonts w:ascii="Calibri" w:eastAsia="Times New Roman" w:hAnsi="Calibri" w:cs="Calibri"/>
                <w:color w:val="FF0000"/>
                <w:u w:val="single"/>
                <w:lang w:eastAsia="en-GB"/>
              </w:rPr>
              <w:t>4.4</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4.2</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65.6</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35.0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3.8</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24.5</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3.8</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63.9</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3.7</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40.2</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16.0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w:t>
            </w:r>
          </w:p>
        </w:tc>
      </w:tr>
    </w:tbl>
    <w:p w:rsidR="0098691C" w:rsidRPr="00D561D8" w:rsidRDefault="0098691C" w:rsidP="003162AB">
      <w:pPr>
        <w:divId w:val="1548566716"/>
        <w:rPr>
          <w:color w:val="FF0000"/>
        </w:rPr>
      </w:pPr>
    </w:p>
    <w:p w:rsidR="0098691C" w:rsidRPr="00D561D8" w:rsidRDefault="0098691C" w:rsidP="003162AB">
      <w:pPr>
        <w:divId w:val="1548566716"/>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2D3329" w:rsidRPr="00D561D8" w:rsidRDefault="002D3329">
      <w:pPr>
        <w:spacing w:line="276" w:lineRule="auto"/>
        <w:jc w:val="left"/>
        <w:rPr>
          <w:color w:val="FF0000"/>
        </w:rPr>
      </w:pPr>
      <w:r w:rsidRPr="00D561D8">
        <w:rPr>
          <w:color w:val="FF0000"/>
        </w:rPr>
        <w:br w:type="page"/>
      </w:r>
    </w:p>
    <w:p w:rsidR="003162AB" w:rsidRPr="00D561D8" w:rsidRDefault="003A6116" w:rsidP="003A6116">
      <w:pPr>
        <w:pStyle w:val="Caption"/>
        <w:divId w:val="1548566716"/>
        <w:rPr>
          <w:color w:val="FF0000"/>
        </w:rPr>
      </w:pPr>
      <w:bookmarkStart w:id="12" w:name="_Ref335142114"/>
      <w:r w:rsidRPr="00D561D8">
        <w:rPr>
          <w:color w:val="FF0000"/>
        </w:rPr>
        <w:lastRenderedPageBreak/>
        <w:t xml:space="preserve">Table </w:t>
      </w:r>
      <w:r w:rsidR="002F05E5" w:rsidRPr="00D561D8">
        <w:rPr>
          <w:color w:val="FF0000"/>
        </w:rPr>
        <w:fldChar w:fldCharType="begin"/>
      </w:r>
      <w:r w:rsidRPr="00D561D8">
        <w:rPr>
          <w:color w:val="FF0000"/>
        </w:rPr>
        <w:instrText xml:space="preserve"> SEQ Table \* ARABIC </w:instrText>
      </w:r>
      <w:r w:rsidR="002F05E5" w:rsidRPr="00D561D8">
        <w:rPr>
          <w:color w:val="FF0000"/>
        </w:rPr>
        <w:fldChar w:fldCharType="separate"/>
      </w:r>
      <w:r w:rsidR="008D3B31" w:rsidRPr="00D561D8">
        <w:rPr>
          <w:noProof/>
          <w:color w:val="FF0000"/>
        </w:rPr>
        <w:t>7</w:t>
      </w:r>
      <w:r w:rsidR="002F05E5" w:rsidRPr="00D561D8">
        <w:rPr>
          <w:color w:val="FF0000"/>
        </w:rPr>
        <w:fldChar w:fldCharType="end"/>
      </w:r>
      <w:bookmarkEnd w:id="12"/>
      <w:r w:rsidRPr="00D561D8">
        <w:rPr>
          <w:color w:val="FF0000"/>
        </w:rPr>
        <w:t xml:space="preserve"> Qualitat</w:t>
      </w:r>
      <w:r w:rsidR="00610C33" w:rsidRPr="00D561D8">
        <w:rPr>
          <w:color w:val="FF0000"/>
        </w:rPr>
        <w:t>ive summary of results of all 10</w:t>
      </w:r>
      <w:r w:rsidRPr="00D561D8">
        <w:rPr>
          <w:color w:val="FF0000"/>
        </w:rPr>
        <w:t xml:space="preserve"> scenarios</w:t>
      </w:r>
    </w:p>
    <w:tbl>
      <w:tblPr>
        <w:tblStyle w:val="TableGrid"/>
        <w:tblW w:w="9619" w:type="dxa"/>
        <w:tblLayout w:type="fixed"/>
        <w:tblLook w:val="04A0" w:firstRow="1" w:lastRow="0" w:firstColumn="1" w:lastColumn="0" w:noHBand="0" w:noVBand="1"/>
      </w:tblPr>
      <w:tblGrid>
        <w:gridCol w:w="675"/>
        <w:gridCol w:w="882"/>
        <w:gridCol w:w="1258"/>
        <w:gridCol w:w="3402"/>
        <w:gridCol w:w="1701"/>
        <w:gridCol w:w="1701"/>
      </w:tblGrid>
      <w:tr w:rsidR="00610C33" w:rsidRPr="00D561D8" w:rsidTr="00610C33">
        <w:trPr>
          <w:divId w:val="1548566716"/>
          <w:trHeight w:val="318"/>
        </w:trPr>
        <w:tc>
          <w:tcPr>
            <w:tcW w:w="675" w:type="dxa"/>
            <w:vMerge w:val="restart"/>
          </w:tcPr>
          <w:p w:rsidR="00610C33" w:rsidRPr="00D561D8" w:rsidRDefault="00610C33" w:rsidP="003162AB">
            <w:pPr>
              <w:rPr>
                <w:color w:val="FF0000"/>
              </w:rPr>
            </w:pPr>
            <w:r w:rsidRPr="00D561D8">
              <w:rPr>
                <w:color w:val="FF0000"/>
              </w:rPr>
              <w:t>Age</w:t>
            </w:r>
          </w:p>
        </w:tc>
        <w:tc>
          <w:tcPr>
            <w:tcW w:w="882" w:type="dxa"/>
            <w:vMerge w:val="restart"/>
          </w:tcPr>
          <w:p w:rsidR="00610C33" w:rsidRPr="00D561D8" w:rsidRDefault="00610C33" w:rsidP="003162AB">
            <w:pPr>
              <w:rPr>
                <w:color w:val="FF0000"/>
              </w:rPr>
            </w:pPr>
            <w:r w:rsidRPr="00D561D8">
              <w:rPr>
                <w:color w:val="FF0000"/>
              </w:rPr>
              <w:t>Gender</w:t>
            </w:r>
          </w:p>
        </w:tc>
        <w:tc>
          <w:tcPr>
            <w:tcW w:w="1258" w:type="dxa"/>
            <w:vMerge w:val="restart"/>
          </w:tcPr>
          <w:p w:rsidR="00610C33" w:rsidRPr="00D561D8" w:rsidRDefault="00610C33" w:rsidP="003162AB">
            <w:pPr>
              <w:rPr>
                <w:color w:val="FF0000"/>
              </w:rPr>
            </w:pPr>
            <w:r w:rsidRPr="00D561D8">
              <w:rPr>
                <w:color w:val="FF0000"/>
              </w:rPr>
              <w:t>OAC</w:t>
            </w:r>
          </w:p>
        </w:tc>
        <w:tc>
          <w:tcPr>
            <w:tcW w:w="3402" w:type="dxa"/>
            <w:vMerge w:val="restart"/>
          </w:tcPr>
          <w:p w:rsidR="00610C33" w:rsidRPr="00D561D8" w:rsidRDefault="00610C33" w:rsidP="002D3329">
            <w:pPr>
              <w:rPr>
                <w:color w:val="FF0000"/>
              </w:rPr>
            </w:pPr>
            <w:r w:rsidRPr="00D561D8">
              <w:rPr>
                <w:color w:val="FF0000"/>
              </w:rPr>
              <w:t>Incremental cost effectiveness ratio (TTE) of TTE compared with no TTE</w:t>
            </w:r>
          </w:p>
        </w:tc>
        <w:tc>
          <w:tcPr>
            <w:tcW w:w="3402" w:type="dxa"/>
            <w:gridSpan w:val="2"/>
          </w:tcPr>
          <w:p w:rsidR="00610C33" w:rsidRPr="00D561D8" w:rsidRDefault="00610C33" w:rsidP="002D3329">
            <w:pPr>
              <w:rPr>
                <w:color w:val="FF0000"/>
              </w:rPr>
            </w:pPr>
            <w:r w:rsidRPr="00D561D8">
              <w:rPr>
                <w:color w:val="FF0000"/>
              </w:rPr>
              <w:t>TTE optimal</w:t>
            </w:r>
          </w:p>
        </w:tc>
      </w:tr>
      <w:tr w:rsidR="00610C33" w:rsidRPr="00D561D8" w:rsidTr="00610C33">
        <w:trPr>
          <w:divId w:val="1548566716"/>
          <w:trHeight w:val="327"/>
        </w:trPr>
        <w:tc>
          <w:tcPr>
            <w:tcW w:w="675" w:type="dxa"/>
            <w:vMerge/>
          </w:tcPr>
          <w:p w:rsidR="00610C33" w:rsidRPr="00D561D8" w:rsidRDefault="00610C33" w:rsidP="003162AB">
            <w:pPr>
              <w:rPr>
                <w:color w:val="FF0000"/>
              </w:rPr>
            </w:pPr>
          </w:p>
        </w:tc>
        <w:tc>
          <w:tcPr>
            <w:tcW w:w="882" w:type="dxa"/>
            <w:vMerge/>
          </w:tcPr>
          <w:p w:rsidR="00610C33" w:rsidRPr="00D561D8" w:rsidRDefault="00610C33" w:rsidP="003162AB">
            <w:pPr>
              <w:rPr>
                <w:color w:val="FF0000"/>
              </w:rPr>
            </w:pPr>
          </w:p>
        </w:tc>
        <w:tc>
          <w:tcPr>
            <w:tcW w:w="1258" w:type="dxa"/>
            <w:vMerge/>
          </w:tcPr>
          <w:p w:rsidR="00610C33" w:rsidRPr="00D561D8" w:rsidRDefault="00610C33" w:rsidP="003162AB">
            <w:pPr>
              <w:rPr>
                <w:color w:val="FF0000"/>
              </w:rPr>
            </w:pPr>
          </w:p>
        </w:tc>
        <w:tc>
          <w:tcPr>
            <w:tcW w:w="3402" w:type="dxa"/>
            <w:vMerge/>
          </w:tcPr>
          <w:p w:rsidR="00610C33" w:rsidRPr="00D561D8" w:rsidRDefault="00610C33" w:rsidP="003225C4">
            <w:pPr>
              <w:rPr>
                <w:color w:val="FF0000"/>
              </w:rPr>
            </w:pPr>
          </w:p>
        </w:tc>
        <w:tc>
          <w:tcPr>
            <w:tcW w:w="1701" w:type="dxa"/>
          </w:tcPr>
          <w:p w:rsidR="00610C33" w:rsidRPr="00D561D8" w:rsidRDefault="00610C33" w:rsidP="003225C4">
            <w:pPr>
              <w:rPr>
                <w:color w:val="FF0000"/>
              </w:rPr>
            </w:pPr>
            <w:r w:rsidRPr="00D561D8">
              <w:rPr>
                <w:color w:val="FF0000"/>
              </w:rPr>
              <w:t>at £20,000/QALY</w:t>
            </w:r>
          </w:p>
        </w:tc>
        <w:tc>
          <w:tcPr>
            <w:tcW w:w="1701" w:type="dxa"/>
          </w:tcPr>
          <w:p w:rsidR="00610C33" w:rsidRPr="00D561D8" w:rsidRDefault="00610C33" w:rsidP="003225C4">
            <w:pPr>
              <w:rPr>
                <w:color w:val="FF0000"/>
              </w:rPr>
            </w:pPr>
            <w:r w:rsidRPr="00D561D8">
              <w:rPr>
                <w:color w:val="FF0000"/>
              </w:rPr>
              <w:t>At £30,000 /QALY</w:t>
            </w:r>
          </w:p>
        </w:tc>
      </w:tr>
      <w:tr w:rsidR="00610C33" w:rsidRPr="00D561D8" w:rsidTr="00610C33">
        <w:trPr>
          <w:divId w:val="1548566716"/>
        </w:trPr>
        <w:tc>
          <w:tcPr>
            <w:tcW w:w="675" w:type="dxa"/>
          </w:tcPr>
          <w:p w:rsidR="00610C33" w:rsidRPr="00D561D8" w:rsidRDefault="00610C33" w:rsidP="003162AB">
            <w:pPr>
              <w:rPr>
                <w:color w:val="FF0000"/>
              </w:rPr>
            </w:pPr>
            <w:r w:rsidRPr="00D561D8">
              <w:rPr>
                <w:color w:val="FF0000"/>
              </w:rPr>
              <w:t>50</w:t>
            </w:r>
          </w:p>
        </w:tc>
        <w:tc>
          <w:tcPr>
            <w:tcW w:w="882" w:type="dxa"/>
          </w:tcPr>
          <w:p w:rsidR="00610C33" w:rsidRPr="00D561D8" w:rsidRDefault="00610C33" w:rsidP="003162AB">
            <w:pPr>
              <w:rPr>
                <w:color w:val="FF0000"/>
              </w:rPr>
            </w:pPr>
            <w:r w:rsidRPr="00D561D8">
              <w:rPr>
                <w:color w:val="FF0000"/>
              </w:rPr>
              <w:t>male</w:t>
            </w:r>
          </w:p>
        </w:tc>
        <w:tc>
          <w:tcPr>
            <w:tcW w:w="1258" w:type="dxa"/>
          </w:tcPr>
          <w:p w:rsidR="00610C33" w:rsidRPr="00D561D8" w:rsidRDefault="00610C33" w:rsidP="003162AB">
            <w:pPr>
              <w:rPr>
                <w:color w:val="FF0000"/>
              </w:rPr>
            </w:pPr>
            <w:r w:rsidRPr="00D561D8">
              <w:rPr>
                <w:color w:val="FF0000"/>
              </w:rPr>
              <w:t>warfarin</w:t>
            </w:r>
          </w:p>
        </w:tc>
        <w:tc>
          <w:tcPr>
            <w:tcW w:w="3402" w:type="dxa"/>
          </w:tcPr>
          <w:p w:rsidR="00610C33" w:rsidRPr="00D561D8" w:rsidRDefault="00610C33" w:rsidP="002D3329">
            <w:pPr>
              <w:rPr>
                <w:color w:val="FF0000"/>
              </w:rPr>
            </w:pPr>
            <w:r w:rsidRPr="00D561D8">
              <w:rPr>
                <w:color w:val="FF0000"/>
              </w:rPr>
              <w:t>NA: Simple dominance</w:t>
            </w:r>
          </w:p>
        </w:tc>
        <w:tc>
          <w:tcPr>
            <w:tcW w:w="1701" w:type="dxa"/>
          </w:tcPr>
          <w:p w:rsidR="00610C33" w:rsidRPr="00D561D8" w:rsidRDefault="00610C33" w:rsidP="002D3329">
            <w:pPr>
              <w:rPr>
                <w:color w:val="FF0000"/>
              </w:rPr>
            </w:pPr>
            <w:r w:rsidRPr="00D561D8">
              <w:rPr>
                <w:color w:val="FF0000"/>
              </w:rPr>
              <w:t>No</w:t>
            </w:r>
          </w:p>
        </w:tc>
        <w:tc>
          <w:tcPr>
            <w:tcW w:w="1701" w:type="dxa"/>
          </w:tcPr>
          <w:p w:rsidR="00610C33" w:rsidRPr="00D561D8" w:rsidRDefault="00610C33" w:rsidP="002D3329">
            <w:pPr>
              <w:rPr>
                <w:color w:val="FF0000"/>
              </w:rPr>
            </w:pPr>
            <w:r w:rsidRPr="00D561D8">
              <w:rPr>
                <w:color w:val="FF0000"/>
              </w:rPr>
              <w:t>No</w:t>
            </w:r>
          </w:p>
        </w:tc>
      </w:tr>
      <w:tr w:rsidR="00610C33" w:rsidRPr="00D561D8" w:rsidTr="00610C33">
        <w:trPr>
          <w:divId w:val="1548566716"/>
        </w:trPr>
        <w:tc>
          <w:tcPr>
            <w:tcW w:w="675" w:type="dxa"/>
          </w:tcPr>
          <w:p w:rsidR="00610C33" w:rsidRPr="00D561D8" w:rsidRDefault="00610C33" w:rsidP="003162AB">
            <w:pPr>
              <w:rPr>
                <w:color w:val="FF0000"/>
              </w:rPr>
            </w:pPr>
            <w:r w:rsidRPr="00D561D8">
              <w:rPr>
                <w:color w:val="FF0000"/>
              </w:rPr>
              <w:t>50</w:t>
            </w:r>
          </w:p>
        </w:tc>
        <w:tc>
          <w:tcPr>
            <w:tcW w:w="882" w:type="dxa"/>
          </w:tcPr>
          <w:p w:rsidR="00610C33" w:rsidRPr="00D561D8" w:rsidRDefault="00610C33" w:rsidP="003162AB">
            <w:pPr>
              <w:rPr>
                <w:color w:val="FF0000"/>
              </w:rPr>
            </w:pPr>
            <w:r w:rsidRPr="00D561D8">
              <w:rPr>
                <w:color w:val="FF0000"/>
              </w:rPr>
              <w:t>female</w:t>
            </w:r>
          </w:p>
        </w:tc>
        <w:tc>
          <w:tcPr>
            <w:tcW w:w="1258" w:type="dxa"/>
          </w:tcPr>
          <w:p w:rsidR="00610C33" w:rsidRPr="00D561D8" w:rsidRDefault="00610C33" w:rsidP="003162AB">
            <w:pPr>
              <w:rPr>
                <w:color w:val="FF0000"/>
              </w:rPr>
            </w:pPr>
            <w:r w:rsidRPr="00D561D8">
              <w:rPr>
                <w:color w:val="FF0000"/>
              </w:rPr>
              <w:t>warfarin</w:t>
            </w:r>
          </w:p>
        </w:tc>
        <w:tc>
          <w:tcPr>
            <w:tcW w:w="3402" w:type="dxa"/>
          </w:tcPr>
          <w:p w:rsidR="00610C33" w:rsidRPr="00D561D8" w:rsidRDefault="00610C33" w:rsidP="002D3329">
            <w:pPr>
              <w:rPr>
                <w:color w:val="FF0000"/>
              </w:rPr>
            </w:pPr>
            <w:r w:rsidRPr="00D561D8">
              <w:rPr>
                <w:color w:val="FF0000"/>
              </w:rPr>
              <w:t>NA: Simple dominance</w:t>
            </w:r>
          </w:p>
        </w:tc>
        <w:tc>
          <w:tcPr>
            <w:tcW w:w="1701" w:type="dxa"/>
          </w:tcPr>
          <w:p w:rsidR="00610C33" w:rsidRPr="00D561D8" w:rsidRDefault="00610C33" w:rsidP="002D3329">
            <w:pPr>
              <w:rPr>
                <w:color w:val="FF0000"/>
              </w:rPr>
            </w:pPr>
            <w:r w:rsidRPr="00D561D8">
              <w:rPr>
                <w:color w:val="FF0000"/>
              </w:rPr>
              <w:t>No</w:t>
            </w:r>
          </w:p>
        </w:tc>
        <w:tc>
          <w:tcPr>
            <w:tcW w:w="1701" w:type="dxa"/>
          </w:tcPr>
          <w:p w:rsidR="00610C33" w:rsidRPr="00D561D8" w:rsidRDefault="00610C33" w:rsidP="002D3329">
            <w:pPr>
              <w:rPr>
                <w:color w:val="FF0000"/>
              </w:rPr>
            </w:pPr>
            <w:r w:rsidRPr="00D561D8">
              <w:rPr>
                <w:color w:val="FF0000"/>
              </w:rPr>
              <w:t>No</w:t>
            </w:r>
          </w:p>
        </w:tc>
      </w:tr>
      <w:tr w:rsidR="00610C33" w:rsidRPr="00D561D8" w:rsidTr="00610C33">
        <w:trPr>
          <w:divId w:val="1548566716"/>
        </w:trPr>
        <w:tc>
          <w:tcPr>
            <w:tcW w:w="675" w:type="dxa"/>
          </w:tcPr>
          <w:p w:rsidR="00610C33" w:rsidRPr="00D561D8" w:rsidRDefault="00610C33" w:rsidP="003162AB">
            <w:pPr>
              <w:rPr>
                <w:color w:val="FF0000"/>
              </w:rPr>
            </w:pPr>
            <w:r w:rsidRPr="00D561D8">
              <w:rPr>
                <w:color w:val="FF0000"/>
              </w:rPr>
              <w:t>65</w:t>
            </w:r>
          </w:p>
        </w:tc>
        <w:tc>
          <w:tcPr>
            <w:tcW w:w="882" w:type="dxa"/>
          </w:tcPr>
          <w:p w:rsidR="00610C33" w:rsidRPr="00D561D8" w:rsidRDefault="00610C33" w:rsidP="003162AB">
            <w:pPr>
              <w:rPr>
                <w:color w:val="FF0000"/>
              </w:rPr>
            </w:pPr>
            <w:r w:rsidRPr="00D561D8">
              <w:rPr>
                <w:color w:val="FF0000"/>
              </w:rPr>
              <w:t>male</w:t>
            </w:r>
          </w:p>
        </w:tc>
        <w:tc>
          <w:tcPr>
            <w:tcW w:w="1258" w:type="dxa"/>
          </w:tcPr>
          <w:p w:rsidR="00610C33" w:rsidRPr="00D561D8" w:rsidRDefault="00610C33" w:rsidP="003162AB">
            <w:pPr>
              <w:rPr>
                <w:color w:val="FF0000"/>
              </w:rPr>
            </w:pPr>
            <w:r w:rsidRPr="00D561D8">
              <w:rPr>
                <w:color w:val="FF0000"/>
              </w:rPr>
              <w:t>warfarin</w:t>
            </w:r>
          </w:p>
        </w:tc>
        <w:tc>
          <w:tcPr>
            <w:tcW w:w="3402" w:type="dxa"/>
          </w:tcPr>
          <w:p w:rsidR="00610C33" w:rsidRPr="00D561D8" w:rsidRDefault="00610C33" w:rsidP="002D3329">
            <w:pPr>
              <w:rPr>
                <w:color w:val="FF0000"/>
              </w:rPr>
            </w:pPr>
          </w:p>
        </w:tc>
        <w:tc>
          <w:tcPr>
            <w:tcW w:w="1701" w:type="dxa"/>
          </w:tcPr>
          <w:p w:rsidR="00610C33" w:rsidRPr="00D561D8" w:rsidRDefault="00610C33" w:rsidP="002D3329">
            <w:pPr>
              <w:rPr>
                <w:color w:val="FF0000"/>
              </w:rPr>
            </w:pPr>
            <w:r w:rsidRPr="00D561D8">
              <w:rPr>
                <w:color w:val="FF0000"/>
              </w:rPr>
              <w:t>No</w:t>
            </w:r>
          </w:p>
        </w:tc>
        <w:tc>
          <w:tcPr>
            <w:tcW w:w="1701" w:type="dxa"/>
          </w:tcPr>
          <w:p w:rsidR="00610C33" w:rsidRPr="00D561D8" w:rsidRDefault="00610C33" w:rsidP="002D3329">
            <w:pPr>
              <w:rPr>
                <w:color w:val="FF0000"/>
              </w:rPr>
            </w:pPr>
            <w:r w:rsidRPr="00D561D8">
              <w:rPr>
                <w:color w:val="FF0000"/>
              </w:rPr>
              <w:t>No</w:t>
            </w:r>
          </w:p>
        </w:tc>
      </w:tr>
      <w:tr w:rsidR="00610C33" w:rsidRPr="00D561D8" w:rsidTr="00610C33">
        <w:trPr>
          <w:divId w:val="1548566716"/>
        </w:trPr>
        <w:tc>
          <w:tcPr>
            <w:tcW w:w="675" w:type="dxa"/>
          </w:tcPr>
          <w:p w:rsidR="00610C33" w:rsidRPr="00D561D8" w:rsidRDefault="00610C33" w:rsidP="003162AB">
            <w:pPr>
              <w:rPr>
                <w:color w:val="FF0000"/>
              </w:rPr>
            </w:pPr>
            <w:r w:rsidRPr="00D561D8">
              <w:rPr>
                <w:color w:val="FF0000"/>
              </w:rPr>
              <w:t>65</w:t>
            </w:r>
          </w:p>
        </w:tc>
        <w:tc>
          <w:tcPr>
            <w:tcW w:w="882" w:type="dxa"/>
          </w:tcPr>
          <w:p w:rsidR="00610C33" w:rsidRPr="00D561D8" w:rsidRDefault="00610C33" w:rsidP="003162AB">
            <w:pPr>
              <w:rPr>
                <w:color w:val="FF0000"/>
              </w:rPr>
            </w:pPr>
            <w:r w:rsidRPr="00D561D8">
              <w:rPr>
                <w:color w:val="FF0000"/>
              </w:rPr>
              <w:t>female</w:t>
            </w:r>
          </w:p>
        </w:tc>
        <w:tc>
          <w:tcPr>
            <w:tcW w:w="1258" w:type="dxa"/>
          </w:tcPr>
          <w:p w:rsidR="00610C33" w:rsidRPr="00D561D8" w:rsidRDefault="00610C33" w:rsidP="003162AB">
            <w:pPr>
              <w:rPr>
                <w:color w:val="FF0000"/>
              </w:rPr>
            </w:pPr>
            <w:r w:rsidRPr="00D561D8">
              <w:rPr>
                <w:color w:val="FF0000"/>
              </w:rPr>
              <w:t>warfarin</w:t>
            </w:r>
          </w:p>
        </w:tc>
        <w:tc>
          <w:tcPr>
            <w:tcW w:w="3402" w:type="dxa"/>
          </w:tcPr>
          <w:p w:rsidR="00610C33" w:rsidRPr="00D561D8" w:rsidRDefault="00610C33" w:rsidP="003162AB">
            <w:pPr>
              <w:rPr>
                <w:color w:val="FF0000"/>
              </w:rPr>
            </w:pPr>
          </w:p>
        </w:tc>
        <w:tc>
          <w:tcPr>
            <w:tcW w:w="1701" w:type="dxa"/>
          </w:tcPr>
          <w:p w:rsidR="00610C33" w:rsidRPr="00D561D8" w:rsidRDefault="00610C33" w:rsidP="003162AB">
            <w:pPr>
              <w:rPr>
                <w:color w:val="FF0000"/>
              </w:rPr>
            </w:pPr>
            <w:r w:rsidRPr="00D561D8">
              <w:rPr>
                <w:color w:val="FF0000"/>
              </w:rPr>
              <w:t>No</w:t>
            </w:r>
          </w:p>
        </w:tc>
        <w:tc>
          <w:tcPr>
            <w:tcW w:w="1701" w:type="dxa"/>
          </w:tcPr>
          <w:p w:rsidR="00610C33" w:rsidRPr="00D561D8" w:rsidRDefault="00610C33" w:rsidP="003162AB">
            <w:pPr>
              <w:rPr>
                <w:color w:val="FF0000"/>
              </w:rPr>
            </w:pPr>
            <w:r w:rsidRPr="00D561D8">
              <w:rPr>
                <w:color w:val="FF0000"/>
              </w:rPr>
              <w:t>No</w:t>
            </w:r>
          </w:p>
        </w:tc>
      </w:tr>
      <w:tr w:rsidR="00610C33" w:rsidRPr="00D561D8" w:rsidTr="00610C33">
        <w:trPr>
          <w:divId w:val="1548566716"/>
          <w:trHeight w:val="201"/>
        </w:trPr>
        <w:tc>
          <w:tcPr>
            <w:tcW w:w="675" w:type="dxa"/>
          </w:tcPr>
          <w:p w:rsidR="00610C33" w:rsidRPr="00D561D8" w:rsidRDefault="00610C33" w:rsidP="003162AB">
            <w:pPr>
              <w:rPr>
                <w:color w:val="FF0000"/>
              </w:rPr>
            </w:pPr>
            <w:r w:rsidRPr="00D561D8">
              <w:rPr>
                <w:color w:val="FF0000"/>
              </w:rPr>
              <w:t>50</w:t>
            </w:r>
          </w:p>
        </w:tc>
        <w:tc>
          <w:tcPr>
            <w:tcW w:w="882" w:type="dxa"/>
          </w:tcPr>
          <w:p w:rsidR="00610C33" w:rsidRPr="00D561D8" w:rsidRDefault="00610C33" w:rsidP="003162AB">
            <w:pPr>
              <w:rPr>
                <w:color w:val="FF0000"/>
              </w:rPr>
            </w:pPr>
            <w:r w:rsidRPr="00D561D8">
              <w:rPr>
                <w:color w:val="FF0000"/>
              </w:rPr>
              <w:t>male</w:t>
            </w:r>
          </w:p>
        </w:tc>
        <w:tc>
          <w:tcPr>
            <w:tcW w:w="1258" w:type="dxa"/>
          </w:tcPr>
          <w:p w:rsidR="00610C33" w:rsidRPr="00D561D8" w:rsidRDefault="00610C33" w:rsidP="003162AB">
            <w:pPr>
              <w:rPr>
                <w:color w:val="FF0000"/>
              </w:rPr>
            </w:pPr>
            <w:proofErr w:type="spellStart"/>
            <w:r w:rsidRPr="00D561D8">
              <w:rPr>
                <w:color w:val="FF0000"/>
              </w:rPr>
              <w:t>rivaroxaban</w:t>
            </w:r>
            <w:proofErr w:type="spellEnd"/>
          </w:p>
        </w:tc>
        <w:tc>
          <w:tcPr>
            <w:tcW w:w="3402" w:type="dxa"/>
          </w:tcPr>
          <w:p w:rsidR="00610C33" w:rsidRPr="00D561D8" w:rsidRDefault="00610C33" w:rsidP="002D3329">
            <w:pPr>
              <w:rPr>
                <w:color w:val="FF0000"/>
              </w:rPr>
            </w:pPr>
            <w:r w:rsidRPr="00D561D8">
              <w:rPr>
                <w:color w:val="FF0000"/>
              </w:rPr>
              <w:t>NA: Simple dominance</w:t>
            </w:r>
          </w:p>
        </w:tc>
        <w:tc>
          <w:tcPr>
            <w:tcW w:w="1701" w:type="dxa"/>
          </w:tcPr>
          <w:p w:rsidR="00610C33" w:rsidRPr="00D561D8" w:rsidRDefault="00610C33" w:rsidP="002D3329">
            <w:pPr>
              <w:rPr>
                <w:color w:val="FF0000"/>
              </w:rPr>
            </w:pPr>
            <w:r w:rsidRPr="00D561D8">
              <w:rPr>
                <w:color w:val="FF0000"/>
              </w:rPr>
              <w:t>No</w:t>
            </w:r>
          </w:p>
        </w:tc>
        <w:tc>
          <w:tcPr>
            <w:tcW w:w="1701" w:type="dxa"/>
          </w:tcPr>
          <w:p w:rsidR="00610C33" w:rsidRPr="00D561D8" w:rsidRDefault="00610C33" w:rsidP="002D3329">
            <w:pPr>
              <w:rPr>
                <w:color w:val="FF0000"/>
              </w:rPr>
            </w:pPr>
            <w:r w:rsidRPr="00D561D8">
              <w:rPr>
                <w:color w:val="FF0000"/>
              </w:rPr>
              <w:t>No</w:t>
            </w:r>
          </w:p>
        </w:tc>
      </w:tr>
      <w:tr w:rsidR="00610C33" w:rsidRPr="00D561D8" w:rsidTr="00610C33">
        <w:trPr>
          <w:divId w:val="1548566716"/>
          <w:trHeight w:val="217"/>
        </w:trPr>
        <w:tc>
          <w:tcPr>
            <w:tcW w:w="675" w:type="dxa"/>
          </w:tcPr>
          <w:p w:rsidR="00610C33" w:rsidRPr="00D561D8" w:rsidRDefault="00610C33" w:rsidP="003162AB">
            <w:pPr>
              <w:rPr>
                <w:color w:val="FF0000"/>
              </w:rPr>
            </w:pPr>
            <w:r w:rsidRPr="00D561D8">
              <w:rPr>
                <w:color w:val="FF0000"/>
              </w:rPr>
              <w:t>50</w:t>
            </w:r>
          </w:p>
        </w:tc>
        <w:tc>
          <w:tcPr>
            <w:tcW w:w="882" w:type="dxa"/>
          </w:tcPr>
          <w:p w:rsidR="00610C33" w:rsidRPr="00D561D8" w:rsidRDefault="00610C33" w:rsidP="003162AB">
            <w:pPr>
              <w:rPr>
                <w:color w:val="FF0000"/>
              </w:rPr>
            </w:pPr>
            <w:r w:rsidRPr="00D561D8">
              <w:rPr>
                <w:color w:val="FF0000"/>
              </w:rPr>
              <w:t>female</w:t>
            </w:r>
          </w:p>
        </w:tc>
        <w:tc>
          <w:tcPr>
            <w:tcW w:w="1258" w:type="dxa"/>
          </w:tcPr>
          <w:p w:rsidR="00610C33" w:rsidRPr="00D561D8" w:rsidRDefault="00610C33" w:rsidP="003162AB">
            <w:pPr>
              <w:rPr>
                <w:color w:val="FF0000"/>
              </w:rPr>
            </w:pPr>
            <w:proofErr w:type="spellStart"/>
            <w:r w:rsidRPr="00D561D8">
              <w:rPr>
                <w:color w:val="FF0000"/>
              </w:rPr>
              <w:t>rivaroxaban</w:t>
            </w:r>
            <w:proofErr w:type="spellEnd"/>
          </w:p>
        </w:tc>
        <w:tc>
          <w:tcPr>
            <w:tcW w:w="3402" w:type="dxa"/>
          </w:tcPr>
          <w:p w:rsidR="00610C33" w:rsidRPr="00D561D8" w:rsidRDefault="00610C33" w:rsidP="002D3329">
            <w:pPr>
              <w:rPr>
                <w:color w:val="FF0000"/>
              </w:rPr>
            </w:pPr>
            <w:r w:rsidRPr="00D561D8">
              <w:rPr>
                <w:color w:val="FF0000"/>
              </w:rPr>
              <w:t>NA: Simple dominance</w:t>
            </w:r>
          </w:p>
        </w:tc>
        <w:tc>
          <w:tcPr>
            <w:tcW w:w="1701" w:type="dxa"/>
          </w:tcPr>
          <w:p w:rsidR="00610C33" w:rsidRPr="00D561D8" w:rsidRDefault="00610C33" w:rsidP="002D3329">
            <w:pPr>
              <w:rPr>
                <w:color w:val="FF0000"/>
              </w:rPr>
            </w:pPr>
            <w:r w:rsidRPr="00D561D8">
              <w:rPr>
                <w:color w:val="FF0000"/>
              </w:rPr>
              <w:t>No</w:t>
            </w:r>
          </w:p>
        </w:tc>
        <w:tc>
          <w:tcPr>
            <w:tcW w:w="1701" w:type="dxa"/>
          </w:tcPr>
          <w:p w:rsidR="00610C33" w:rsidRPr="00D561D8" w:rsidRDefault="00610C33" w:rsidP="002D3329">
            <w:pPr>
              <w:rPr>
                <w:color w:val="FF0000"/>
              </w:rPr>
            </w:pPr>
            <w:r w:rsidRPr="00D561D8">
              <w:rPr>
                <w:color w:val="FF0000"/>
              </w:rPr>
              <w:t>No</w:t>
            </w:r>
          </w:p>
        </w:tc>
      </w:tr>
      <w:tr w:rsidR="00610C33" w:rsidRPr="00D561D8" w:rsidTr="00610C33">
        <w:trPr>
          <w:divId w:val="1548566716"/>
          <w:trHeight w:val="178"/>
        </w:trPr>
        <w:tc>
          <w:tcPr>
            <w:tcW w:w="675" w:type="dxa"/>
          </w:tcPr>
          <w:p w:rsidR="00610C33" w:rsidRPr="00D561D8" w:rsidRDefault="00610C33" w:rsidP="003162AB">
            <w:pPr>
              <w:rPr>
                <w:color w:val="FF0000"/>
              </w:rPr>
            </w:pPr>
            <w:r w:rsidRPr="00D561D8">
              <w:rPr>
                <w:color w:val="FF0000"/>
              </w:rPr>
              <w:t>65</w:t>
            </w:r>
          </w:p>
        </w:tc>
        <w:tc>
          <w:tcPr>
            <w:tcW w:w="882" w:type="dxa"/>
          </w:tcPr>
          <w:p w:rsidR="00610C33" w:rsidRPr="00D561D8" w:rsidRDefault="00610C33" w:rsidP="003162AB">
            <w:pPr>
              <w:rPr>
                <w:color w:val="FF0000"/>
              </w:rPr>
            </w:pPr>
            <w:r w:rsidRPr="00D561D8">
              <w:rPr>
                <w:color w:val="FF0000"/>
              </w:rPr>
              <w:t>male</w:t>
            </w:r>
          </w:p>
        </w:tc>
        <w:tc>
          <w:tcPr>
            <w:tcW w:w="1258" w:type="dxa"/>
          </w:tcPr>
          <w:p w:rsidR="00610C33" w:rsidRPr="00D561D8" w:rsidRDefault="00610C33" w:rsidP="003162AB">
            <w:pPr>
              <w:rPr>
                <w:color w:val="FF0000"/>
              </w:rPr>
            </w:pPr>
            <w:proofErr w:type="spellStart"/>
            <w:r w:rsidRPr="00D561D8">
              <w:rPr>
                <w:color w:val="FF0000"/>
              </w:rPr>
              <w:t>rivaroxaban</w:t>
            </w:r>
            <w:proofErr w:type="spellEnd"/>
          </w:p>
        </w:tc>
        <w:tc>
          <w:tcPr>
            <w:tcW w:w="3402" w:type="dxa"/>
          </w:tcPr>
          <w:p w:rsidR="00610C33" w:rsidRPr="00D561D8" w:rsidRDefault="00610C33" w:rsidP="003162AB">
            <w:pPr>
              <w:rPr>
                <w:color w:val="FF0000"/>
              </w:rPr>
            </w:pPr>
          </w:p>
        </w:tc>
        <w:tc>
          <w:tcPr>
            <w:tcW w:w="1701" w:type="dxa"/>
          </w:tcPr>
          <w:p w:rsidR="00610C33" w:rsidRPr="00D561D8" w:rsidRDefault="00610C33" w:rsidP="003162AB">
            <w:pPr>
              <w:rPr>
                <w:color w:val="FF0000"/>
              </w:rPr>
            </w:pPr>
            <w:r w:rsidRPr="00D561D8">
              <w:rPr>
                <w:color w:val="FF0000"/>
              </w:rPr>
              <w:t>No</w:t>
            </w:r>
          </w:p>
        </w:tc>
        <w:tc>
          <w:tcPr>
            <w:tcW w:w="1701" w:type="dxa"/>
          </w:tcPr>
          <w:p w:rsidR="00610C33" w:rsidRPr="00D561D8" w:rsidRDefault="00610C33" w:rsidP="002D3329">
            <w:pPr>
              <w:rPr>
                <w:color w:val="FF0000"/>
              </w:rPr>
            </w:pPr>
            <w:r w:rsidRPr="00D561D8">
              <w:rPr>
                <w:color w:val="FF0000"/>
              </w:rPr>
              <w:t xml:space="preserve">No </w:t>
            </w:r>
            <w:r w:rsidRPr="00D561D8">
              <w:rPr>
                <w:rStyle w:val="FootnoteReference"/>
                <w:color w:val="FF0000"/>
              </w:rPr>
              <w:footnoteReference w:id="1"/>
            </w:r>
          </w:p>
        </w:tc>
      </w:tr>
      <w:tr w:rsidR="00610C33" w:rsidRPr="00D561D8" w:rsidTr="00610C33">
        <w:trPr>
          <w:divId w:val="1548566716"/>
          <w:trHeight w:val="161"/>
        </w:trPr>
        <w:tc>
          <w:tcPr>
            <w:tcW w:w="675" w:type="dxa"/>
          </w:tcPr>
          <w:p w:rsidR="00610C33" w:rsidRPr="00D561D8" w:rsidRDefault="00610C33" w:rsidP="003162AB">
            <w:pPr>
              <w:rPr>
                <w:color w:val="FF0000"/>
              </w:rPr>
            </w:pPr>
            <w:r w:rsidRPr="00D561D8">
              <w:rPr>
                <w:color w:val="FF0000"/>
              </w:rPr>
              <w:t>65</w:t>
            </w:r>
          </w:p>
        </w:tc>
        <w:tc>
          <w:tcPr>
            <w:tcW w:w="882" w:type="dxa"/>
          </w:tcPr>
          <w:p w:rsidR="00610C33" w:rsidRPr="00D561D8" w:rsidRDefault="00610C33" w:rsidP="003162AB">
            <w:pPr>
              <w:rPr>
                <w:color w:val="FF0000"/>
              </w:rPr>
            </w:pPr>
            <w:r w:rsidRPr="00D561D8">
              <w:rPr>
                <w:color w:val="FF0000"/>
              </w:rPr>
              <w:t>female</w:t>
            </w:r>
          </w:p>
        </w:tc>
        <w:tc>
          <w:tcPr>
            <w:tcW w:w="1258" w:type="dxa"/>
          </w:tcPr>
          <w:p w:rsidR="00610C33" w:rsidRPr="00D561D8" w:rsidRDefault="00610C33" w:rsidP="003162AB">
            <w:pPr>
              <w:rPr>
                <w:color w:val="FF0000"/>
              </w:rPr>
            </w:pPr>
            <w:proofErr w:type="spellStart"/>
            <w:r w:rsidRPr="00D561D8">
              <w:rPr>
                <w:color w:val="FF0000"/>
              </w:rPr>
              <w:t>rivaroxaban</w:t>
            </w:r>
            <w:proofErr w:type="spellEnd"/>
          </w:p>
        </w:tc>
        <w:tc>
          <w:tcPr>
            <w:tcW w:w="3402" w:type="dxa"/>
          </w:tcPr>
          <w:p w:rsidR="00610C33" w:rsidRPr="00D561D8" w:rsidRDefault="00610C33" w:rsidP="002D3329">
            <w:pPr>
              <w:rPr>
                <w:color w:val="FF0000"/>
              </w:rPr>
            </w:pPr>
          </w:p>
        </w:tc>
        <w:tc>
          <w:tcPr>
            <w:tcW w:w="1701" w:type="dxa"/>
          </w:tcPr>
          <w:p w:rsidR="00610C33" w:rsidRPr="00D561D8" w:rsidRDefault="00610C33" w:rsidP="002D3329">
            <w:pPr>
              <w:rPr>
                <w:color w:val="FF0000"/>
              </w:rPr>
            </w:pPr>
            <w:r w:rsidRPr="00D561D8">
              <w:rPr>
                <w:color w:val="FF0000"/>
              </w:rPr>
              <w:t>No</w:t>
            </w:r>
          </w:p>
        </w:tc>
        <w:tc>
          <w:tcPr>
            <w:tcW w:w="1701" w:type="dxa"/>
          </w:tcPr>
          <w:p w:rsidR="00610C33" w:rsidRPr="00D561D8" w:rsidRDefault="00610C33" w:rsidP="002D3329">
            <w:pPr>
              <w:rPr>
                <w:color w:val="FF0000"/>
              </w:rPr>
            </w:pPr>
            <w:r w:rsidRPr="00D561D8">
              <w:rPr>
                <w:color w:val="FF0000"/>
              </w:rPr>
              <w:t>Yes</w:t>
            </w:r>
          </w:p>
        </w:tc>
      </w:tr>
      <w:tr w:rsidR="00610C33" w:rsidRPr="00D561D8" w:rsidTr="00610C33">
        <w:trPr>
          <w:divId w:val="1548566716"/>
          <w:trHeight w:val="201"/>
        </w:trPr>
        <w:tc>
          <w:tcPr>
            <w:tcW w:w="675" w:type="dxa"/>
          </w:tcPr>
          <w:p w:rsidR="00610C33" w:rsidRPr="00D561D8" w:rsidRDefault="00610C33" w:rsidP="003162AB">
            <w:pPr>
              <w:rPr>
                <w:color w:val="FF0000"/>
              </w:rPr>
            </w:pPr>
            <w:r w:rsidRPr="00D561D8">
              <w:rPr>
                <w:color w:val="FF0000"/>
              </w:rPr>
              <w:t>65</w:t>
            </w:r>
          </w:p>
        </w:tc>
        <w:tc>
          <w:tcPr>
            <w:tcW w:w="882" w:type="dxa"/>
          </w:tcPr>
          <w:p w:rsidR="00610C33" w:rsidRPr="00D561D8" w:rsidRDefault="00610C33" w:rsidP="003162AB">
            <w:pPr>
              <w:rPr>
                <w:color w:val="FF0000"/>
              </w:rPr>
            </w:pPr>
            <w:r w:rsidRPr="00D561D8">
              <w:rPr>
                <w:color w:val="FF0000"/>
              </w:rPr>
              <w:t>male</w:t>
            </w:r>
          </w:p>
        </w:tc>
        <w:tc>
          <w:tcPr>
            <w:tcW w:w="1258" w:type="dxa"/>
          </w:tcPr>
          <w:p w:rsidR="00610C33" w:rsidRPr="00D561D8" w:rsidRDefault="00610C33" w:rsidP="003162AB">
            <w:pPr>
              <w:rPr>
                <w:color w:val="FF0000"/>
              </w:rPr>
            </w:pPr>
            <w:proofErr w:type="spellStart"/>
            <w:r w:rsidRPr="00D561D8">
              <w:rPr>
                <w:color w:val="FF0000"/>
              </w:rPr>
              <w:t>dabigatran</w:t>
            </w:r>
            <w:proofErr w:type="spellEnd"/>
          </w:p>
        </w:tc>
        <w:tc>
          <w:tcPr>
            <w:tcW w:w="3402" w:type="dxa"/>
          </w:tcPr>
          <w:p w:rsidR="00610C33" w:rsidRPr="00D561D8" w:rsidRDefault="00610C33" w:rsidP="002D3329">
            <w:pPr>
              <w:rPr>
                <w:color w:val="FF0000"/>
              </w:rPr>
            </w:pPr>
          </w:p>
        </w:tc>
        <w:tc>
          <w:tcPr>
            <w:tcW w:w="1701" w:type="dxa"/>
          </w:tcPr>
          <w:p w:rsidR="00610C33" w:rsidRPr="00D561D8" w:rsidRDefault="00610C33" w:rsidP="002D3329">
            <w:pPr>
              <w:rPr>
                <w:color w:val="FF0000"/>
              </w:rPr>
            </w:pPr>
            <w:r w:rsidRPr="00D561D8">
              <w:rPr>
                <w:color w:val="FF0000"/>
              </w:rPr>
              <w:t>Yes</w:t>
            </w:r>
          </w:p>
        </w:tc>
        <w:tc>
          <w:tcPr>
            <w:tcW w:w="1701" w:type="dxa"/>
          </w:tcPr>
          <w:p w:rsidR="00610C33" w:rsidRPr="00D561D8" w:rsidRDefault="00610C33" w:rsidP="002D3329">
            <w:pPr>
              <w:rPr>
                <w:color w:val="FF0000"/>
              </w:rPr>
            </w:pPr>
            <w:r w:rsidRPr="00D561D8">
              <w:rPr>
                <w:color w:val="FF0000"/>
              </w:rPr>
              <w:t>Yes</w:t>
            </w:r>
          </w:p>
        </w:tc>
      </w:tr>
      <w:tr w:rsidR="00610C33" w:rsidRPr="00D561D8" w:rsidTr="00610C33">
        <w:trPr>
          <w:divId w:val="1548566716"/>
          <w:trHeight w:val="161"/>
        </w:trPr>
        <w:tc>
          <w:tcPr>
            <w:tcW w:w="675" w:type="dxa"/>
          </w:tcPr>
          <w:p w:rsidR="00610C33" w:rsidRPr="00D561D8" w:rsidRDefault="00610C33" w:rsidP="003162AB">
            <w:pPr>
              <w:rPr>
                <w:color w:val="FF0000"/>
              </w:rPr>
            </w:pPr>
            <w:r w:rsidRPr="00D561D8">
              <w:rPr>
                <w:color w:val="FF0000"/>
              </w:rPr>
              <w:t>65</w:t>
            </w:r>
          </w:p>
        </w:tc>
        <w:tc>
          <w:tcPr>
            <w:tcW w:w="882" w:type="dxa"/>
          </w:tcPr>
          <w:p w:rsidR="00610C33" w:rsidRPr="00D561D8" w:rsidRDefault="00610C33" w:rsidP="003162AB">
            <w:pPr>
              <w:rPr>
                <w:color w:val="FF0000"/>
              </w:rPr>
            </w:pPr>
            <w:r w:rsidRPr="00D561D8">
              <w:rPr>
                <w:color w:val="FF0000"/>
              </w:rPr>
              <w:t>female</w:t>
            </w:r>
          </w:p>
        </w:tc>
        <w:tc>
          <w:tcPr>
            <w:tcW w:w="1258" w:type="dxa"/>
          </w:tcPr>
          <w:p w:rsidR="00610C33" w:rsidRPr="00D561D8" w:rsidRDefault="00610C33" w:rsidP="003162AB">
            <w:pPr>
              <w:rPr>
                <w:color w:val="FF0000"/>
              </w:rPr>
            </w:pPr>
            <w:proofErr w:type="spellStart"/>
            <w:r w:rsidRPr="00D561D8">
              <w:rPr>
                <w:color w:val="FF0000"/>
              </w:rPr>
              <w:t>dabigatran</w:t>
            </w:r>
            <w:proofErr w:type="spellEnd"/>
          </w:p>
        </w:tc>
        <w:tc>
          <w:tcPr>
            <w:tcW w:w="3402" w:type="dxa"/>
          </w:tcPr>
          <w:p w:rsidR="00610C33" w:rsidRPr="00D561D8" w:rsidRDefault="00610C33" w:rsidP="002D3329">
            <w:pPr>
              <w:rPr>
                <w:color w:val="FF0000"/>
              </w:rPr>
            </w:pPr>
          </w:p>
        </w:tc>
        <w:tc>
          <w:tcPr>
            <w:tcW w:w="1701" w:type="dxa"/>
          </w:tcPr>
          <w:p w:rsidR="00610C33" w:rsidRPr="00D561D8" w:rsidRDefault="00610C33" w:rsidP="002D3329">
            <w:pPr>
              <w:rPr>
                <w:color w:val="FF0000"/>
              </w:rPr>
            </w:pPr>
            <w:r w:rsidRPr="00D561D8">
              <w:rPr>
                <w:color w:val="FF0000"/>
              </w:rPr>
              <w:t>Yes</w:t>
            </w:r>
          </w:p>
        </w:tc>
        <w:tc>
          <w:tcPr>
            <w:tcW w:w="1701" w:type="dxa"/>
          </w:tcPr>
          <w:p w:rsidR="00610C33" w:rsidRPr="00D561D8" w:rsidRDefault="00610C33" w:rsidP="002D3329">
            <w:pPr>
              <w:rPr>
                <w:color w:val="FF0000"/>
              </w:rPr>
            </w:pPr>
            <w:r w:rsidRPr="00D561D8">
              <w:rPr>
                <w:color w:val="FF0000"/>
              </w:rPr>
              <w:t>Yes</w:t>
            </w:r>
          </w:p>
        </w:tc>
      </w:tr>
    </w:tbl>
    <w:p w:rsidR="003162AB" w:rsidRPr="00D561D8" w:rsidRDefault="003162AB" w:rsidP="003162AB">
      <w:pPr>
        <w:divId w:val="1548566716"/>
        <w:rPr>
          <w:color w:val="FF0000"/>
          <w:lang w:val="en-GB"/>
        </w:rPr>
      </w:pPr>
    </w:p>
    <w:p w:rsidR="006E20FD" w:rsidRPr="00D561D8" w:rsidRDefault="006E20FD" w:rsidP="003162AB">
      <w:pPr>
        <w:divId w:val="1548566716"/>
        <w:rPr>
          <w:color w:val="FF0000"/>
          <w:lang w:val="en-GB"/>
        </w:rPr>
      </w:pPr>
    </w:p>
    <w:p w:rsidR="006E20FD" w:rsidRDefault="006E20FD">
      <w:pPr>
        <w:spacing w:line="276" w:lineRule="auto"/>
        <w:jc w:val="left"/>
        <w:rPr>
          <w:lang w:val="en-GB"/>
        </w:rPr>
      </w:pPr>
      <w:r>
        <w:rPr>
          <w:lang w:val="en-GB"/>
        </w:rPr>
        <w:br w:type="page"/>
      </w:r>
    </w:p>
    <w:p w:rsidR="006E20FD" w:rsidRDefault="006E20FD" w:rsidP="006E20FD">
      <w:pPr>
        <w:pStyle w:val="Heading1"/>
        <w:divId w:val="1548566716"/>
        <w:rPr>
          <w:lang w:val="en-GB"/>
        </w:rPr>
      </w:pPr>
      <w:r>
        <w:rPr>
          <w:lang w:val="en-GB"/>
        </w:rPr>
        <w:lastRenderedPageBreak/>
        <w:t>Appendix</w:t>
      </w:r>
    </w:p>
    <w:p w:rsidR="006E20FD" w:rsidRDefault="006E20FD" w:rsidP="006E20FD">
      <w:pPr>
        <w:pStyle w:val="Heading2"/>
        <w:divId w:val="1548566716"/>
        <w:rPr>
          <w:lang w:val="en-GB"/>
        </w:rPr>
      </w:pPr>
      <w:r>
        <w:rPr>
          <w:lang w:val="en-GB"/>
        </w:rPr>
        <w:t>Sensitivity and Specificity tables</w:t>
      </w:r>
    </w:p>
    <w:tbl>
      <w:tblPr>
        <w:tblStyle w:val="TableGrid"/>
        <w:tblW w:w="0" w:type="auto"/>
        <w:tblLook w:val="04A0" w:firstRow="1" w:lastRow="0" w:firstColumn="1" w:lastColumn="0" w:noHBand="0" w:noVBand="1"/>
      </w:tblPr>
      <w:tblGrid>
        <w:gridCol w:w="7905"/>
      </w:tblGrid>
      <w:tr w:rsidR="006E20FD" w:rsidTr="006E20FD">
        <w:trPr>
          <w:divId w:val="1548566716"/>
        </w:trPr>
        <w:tc>
          <w:tcPr>
            <w:tcW w:w="7905" w:type="dxa"/>
          </w:tcPr>
          <w:tbl>
            <w:tblPr>
              <w:tblW w:w="0" w:type="auto"/>
              <w:tblInd w:w="93" w:type="dxa"/>
              <w:tblLook w:val="04A0" w:firstRow="1" w:lastRow="0" w:firstColumn="1" w:lastColumn="0" w:noHBand="0" w:noVBand="1"/>
            </w:tblPr>
            <w:tblGrid>
              <w:gridCol w:w="556"/>
              <w:gridCol w:w="557"/>
              <w:gridCol w:w="391"/>
              <w:gridCol w:w="554"/>
              <w:gridCol w:w="554"/>
              <w:gridCol w:w="554"/>
              <w:gridCol w:w="554"/>
              <w:gridCol w:w="554"/>
              <w:gridCol w:w="610"/>
              <w:gridCol w:w="702"/>
              <w:gridCol w:w="702"/>
              <w:gridCol w:w="702"/>
              <w:gridCol w:w="552"/>
            </w:tblGrid>
            <w:tr w:rsidR="006E20FD" w:rsidRPr="00D561D8" w:rsidTr="006E20FD">
              <w:trPr>
                <w:trHeight w:val="329"/>
              </w:trPr>
              <w:tc>
                <w:tcPr>
                  <w:tcW w:w="1113"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W_50</w:t>
                  </w:r>
                </w:p>
              </w:tc>
              <w:tc>
                <w:tcPr>
                  <w:tcW w:w="642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Sensitivity</w:t>
                  </w:r>
                </w:p>
              </w:tc>
            </w:tr>
            <w:tr w:rsidR="006E20FD" w:rsidRPr="00D561D8" w:rsidTr="006E20FD">
              <w:trPr>
                <w:trHeight w:val="329"/>
              </w:trPr>
              <w:tc>
                <w:tcPr>
                  <w:tcW w:w="1113"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0_M</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r>
            <w:tr w:rsidR="006E20FD" w:rsidRPr="00D561D8" w:rsidTr="006E20FD">
              <w:trPr>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Specificity</w:t>
                  </w: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8.4</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5.7</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4.9</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4.4</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4.2</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65.6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35.0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3.8</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24.5</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3.8</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63.9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3.7</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16.0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w:t>
                  </w:r>
                </w:p>
              </w:tc>
            </w:tr>
          </w:tbl>
          <w:p w:rsidR="006E20FD" w:rsidRPr="00D561D8" w:rsidRDefault="006E20FD" w:rsidP="006E20FD">
            <w:pPr>
              <w:jc w:val="center"/>
              <w:rPr>
                <w:color w:val="FF0000"/>
              </w:rPr>
            </w:pPr>
          </w:p>
        </w:tc>
      </w:tr>
      <w:tr w:rsidR="006E20FD" w:rsidTr="006E20FD">
        <w:trPr>
          <w:divId w:val="1548566716"/>
        </w:trPr>
        <w:tc>
          <w:tcPr>
            <w:tcW w:w="7905" w:type="dxa"/>
          </w:tcPr>
          <w:p w:rsidR="006E20FD" w:rsidRPr="00D561D8" w:rsidRDefault="006E20FD" w:rsidP="006E20FD">
            <w:pPr>
              <w:pStyle w:val="ListParagraph"/>
              <w:numPr>
                <w:ilvl w:val="0"/>
                <w:numId w:val="17"/>
              </w:numPr>
              <w:spacing w:line="240" w:lineRule="auto"/>
              <w:jc w:val="center"/>
              <w:rPr>
                <w:color w:val="FF0000"/>
              </w:rPr>
            </w:pPr>
            <w:r w:rsidRPr="00D561D8">
              <w:rPr>
                <w:color w:val="FF0000"/>
              </w:rPr>
              <w:t>W_50_0_M</w:t>
            </w:r>
          </w:p>
        </w:tc>
      </w:tr>
      <w:tr w:rsidR="006E20FD" w:rsidTr="006E20FD">
        <w:trPr>
          <w:divId w:val="1548566716"/>
        </w:trPr>
        <w:tc>
          <w:tcPr>
            <w:tcW w:w="7905" w:type="dxa"/>
          </w:tcPr>
          <w:tbl>
            <w:tblPr>
              <w:tblW w:w="7423" w:type="dxa"/>
              <w:tblInd w:w="93" w:type="dxa"/>
              <w:tblLook w:val="04A0" w:firstRow="1" w:lastRow="0" w:firstColumn="1" w:lastColumn="0" w:noHBand="0" w:noVBand="1"/>
            </w:tblPr>
            <w:tblGrid>
              <w:gridCol w:w="547"/>
              <w:gridCol w:w="547"/>
              <w:gridCol w:w="385"/>
              <w:gridCol w:w="545"/>
              <w:gridCol w:w="545"/>
              <w:gridCol w:w="545"/>
              <w:gridCol w:w="545"/>
              <w:gridCol w:w="545"/>
              <w:gridCol w:w="601"/>
              <w:gridCol w:w="692"/>
              <w:gridCol w:w="692"/>
              <w:gridCol w:w="692"/>
              <w:gridCol w:w="542"/>
            </w:tblGrid>
            <w:tr w:rsidR="006E20FD" w:rsidRPr="00D561D8" w:rsidTr="006E20FD">
              <w:trPr>
                <w:trHeight w:hRule="exact" w:val="313"/>
              </w:trPr>
              <w:tc>
                <w:tcPr>
                  <w:tcW w:w="109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W_50</w:t>
                  </w:r>
                </w:p>
              </w:tc>
              <w:tc>
                <w:tcPr>
                  <w:tcW w:w="632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Sensitivity</w:t>
                  </w:r>
                </w:p>
              </w:tc>
            </w:tr>
            <w:tr w:rsidR="006E20FD" w:rsidRPr="00D561D8" w:rsidTr="006E20FD">
              <w:trPr>
                <w:trHeight w:hRule="exact" w:val="313"/>
              </w:trPr>
              <w:tc>
                <w:tcPr>
                  <w:tcW w:w="109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0_F</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r>
            <w:tr w:rsidR="006E20FD" w:rsidRPr="00D561D8" w:rsidTr="006E20FD">
              <w:trPr>
                <w:trHeight w:hRule="exact" w:val="313"/>
              </w:trPr>
              <w:tc>
                <w:tcPr>
                  <w:tcW w:w="54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Specificity</w:t>
                  </w: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8.4</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5.9</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56.8</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5.0</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25.2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4.6</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17.1</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4.4</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53.2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13.4</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4.2</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32.3</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11.2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4.1</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97.4</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23.7</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52.0</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19.1</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3.9</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16.2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3.9</w:t>
                  </w:r>
                </w:p>
              </w:tc>
            </w:tr>
          </w:tbl>
          <w:p w:rsidR="006E20FD" w:rsidRPr="00D561D8" w:rsidRDefault="006E20FD" w:rsidP="006E20FD">
            <w:pPr>
              <w:jc w:val="center"/>
              <w:rPr>
                <w:color w:val="FF0000"/>
              </w:rPr>
            </w:pPr>
          </w:p>
        </w:tc>
      </w:tr>
      <w:tr w:rsidR="006E20FD" w:rsidTr="006E20FD">
        <w:trPr>
          <w:divId w:val="1548566716"/>
        </w:trPr>
        <w:tc>
          <w:tcPr>
            <w:tcW w:w="7905" w:type="dxa"/>
          </w:tcPr>
          <w:p w:rsidR="006E20FD" w:rsidRPr="00D561D8" w:rsidRDefault="006E20FD" w:rsidP="006E20FD">
            <w:pPr>
              <w:pStyle w:val="ListParagraph"/>
              <w:numPr>
                <w:ilvl w:val="0"/>
                <w:numId w:val="17"/>
              </w:numPr>
              <w:spacing w:line="240" w:lineRule="auto"/>
              <w:jc w:val="center"/>
              <w:rPr>
                <w:color w:val="FF0000"/>
              </w:rPr>
            </w:pPr>
            <w:r w:rsidRPr="00D561D8">
              <w:rPr>
                <w:color w:val="FF0000"/>
              </w:rPr>
              <w:t>W_50_0_F</w:t>
            </w:r>
          </w:p>
        </w:tc>
      </w:tr>
      <w:tr w:rsidR="006E20FD" w:rsidTr="006E20FD">
        <w:trPr>
          <w:divId w:val="1548566716"/>
          <w:trHeight w:val="274"/>
        </w:trPr>
        <w:tc>
          <w:tcPr>
            <w:tcW w:w="7905" w:type="dxa"/>
          </w:tcPr>
          <w:tbl>
            <w:tblPr>
              <w:tblW w:w="7414" w:type="dxa"/>
              <w:tblInd w:w="93" w:type="dxa"/>
              <w:tblLook w:val="04A0" w:firstRow="1" w:lastRow="0" w:firstColumn="1" w:lastColumn="0" w:noHBand="0" w:noVBand="1"/>
            </w:tblPr>
            <w:tblGrid>
              <w:gridCol w:w="519"/>
              <w:gridCol w:w="519"/>
              <w:gridCol w:w="365"/>
              <w:gridCol w:w="517"/>
              <w:gridCol w:w="570"/>
              <w:gridCol w:w="630"/>
              <w:gridCol w:w="630"/>
              <w:gridCol w:w="630"/>
              <w:gridCol w:w="630"/>
              <w:gridCol w:w="630"/>
              <w:gridCol w:w="630"/>
              <w:gridCol w:w="630"/>
              <w:gridCol w:w="514"/>
            </w:tblGrid>
            <w:tr w:rsidR="006E20FD" w:rsidRPr="00D561D8" w:rsidTr="006E20FD">
              <w:trPr>
                <w:trHeight w:val="305"/>
              </w:trPr>
              <w:tc>
                <w:tcPr>
                  <w:tcW w:w="1038"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W_65</w:t>
                  </w:r>
                </w:p>
              </w:tc>
              <w:tc>
                <w:tcPr>
                  <w:tcW w:w="63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Sensitivity</w:t>
                  </w:r>
                </w:p>
              </w:tc>
            </w:tr>
            <w:tr w:rsidR="006E20FD" w:rsidRPr="00D561D8" w:rsidTr="006E20FD">
              <w:trPr>
                <w:trHeight w:val="305"/>
              </w:trPr>
              <w:tc>
                <w:tcPr>
                  <w:tcW w:w="1038"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0_M</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r>
            <w:tr w:rsidR="006E20FD" w:rsidRPr="00D561D8" w:rsidTr="006E20FD">
              <w:trPr>
                <w:trHeight w:val="305"/>
              </w:trPr>
              <w:tc>
                <w:tcPr>
                  <w:tcW w:w="51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Specificity</w:t>
                  </w: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8.9</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29.8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4.9</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62.8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25.0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9.3</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2.9</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38.8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15.9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7.1</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2.5</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56.6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23.4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11.8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2.3</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2.1</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42.3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22.6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4.4</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54.5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28.9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17.5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11.0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1.8</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69.3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14.4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1.7</w:t>
                  </w:r>
                </w:p>
              </w:tc>
            </w:tr>
          </w:tbl>
          <w:p w:rsidR="006E20FD" w:rsidRPr="00D561D8" w:rsidRDefault="006E20FD" w:rsidP="006E20FD">
            <w:pPr>
              <w:pStyle w:val="ListParagraph"/>
              <w:numPr>
                <w:ilvl w:val="0"/>
                <w:numId w:val="17"/>
              </w:numPr>
              <w:spacing w:line="240" w:lineRule="auto"/>
              <w:jc w:val="center"/>
              <w:rPr>
                <w:color w:val="FF0000"/>
              </w:rPr>
            </w:pPr>
            <w:r w:rsidRPr="00D561D8">
              <w:rPr>
                <w:color w:val="FF0000"/>
              </w:rPr>
              <w:t>W_65_0_M</w:t>
            </w:r>
          </w:p>
        </w:tc>
      </w:tr>
    </w:tbl>
    <w:p w:rsidR="006E20FD" w:rsidRDefault="006E20FD" w:rsidP="006E20FD">
      <w:pPr>
        <w:divId w:val="1548566716"/>
      </w:pPr>
      <w:r>
        <w:lastRenderedPageBreak/>
        <w:br w:type="page"/>
      </w:r>
    </w:p>
    <w:tbl>
      <w:tblPr>
        <w:tblStyle w:val="TableGrid"/>
        <w:tblW w:w="0" w:type="auto"/>
        <w:tblLook w:val="04A0" w:firstRow="1" w:lastRow="0" w:firstColumn="1" w:lastColumn="0" w:noHBand="0" w:noVBand="1"/>
      </w:tblPr>
      <w:tblGrid>
        <w:gridCol w:w="8046"/>
      </w:tblGrid>
      <w:tr w:rsidR="006E20FD" w:rsidRPr="00D561D8" w:rsidTr="006E20FD">
        <w:trPr>
          <w:divId w:val="1548566716"/>
        </w:trPr>
        <w:tc>
          <w:tcPr>
            <w:tcW w:w="8046" w:type="dxa"/>
          </w:tcPr>
          <w:tbl>
            <w:tblPr>
              <w:tblW w:w="7449" w:type="dxa"/>
              <w:tblInd w:w="93" w:type="dxa"/>
              <w:tblLook w:val="04A0" w:firstRow="1" w:lastRow="0" w:firstColumn="1" w:lastColumn="0" w:noHBand="0" w:noVBand="1"/>
            </w:tblPr>
            <w:tblGrid>
              <w:gridCol w:w="500"/>
              <w:gridCol w:w="500"/>
              <w:gridCol w:w="549"/>
              <w:gridCol w:w="549"/>
              <w:gridCol w:w="607"/>
              <w:gridCol w:w="607"/>
              <w:gridCol w:w="607"/>
              <w:gridCol w:w="607"/>
              <w:gridCol w:w="607"/>
              <w:gridCol w:w="607"/>
              <w:gridCol w:w="607"/>
              <w:gridCol w:w="607"/>
              <w:gridCol w:w="495"/>
            </w:tblGrid>
            <w:tr w:rsidR="006E20FD" w:rsidRPr="00D561D8"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bookmarkStart w:id="13" w:name="_GoBack" w:colFirst="0" w:colLast="1"/>
                  <w:r w:rsidRPr="00D561D8">
                    <w:rPr>
                      <w:rFonts w:ascii="Calibri" w:eastAsia="Times New Roman" w:hAnsi="Calibri" w:cs="Calibri"/>
                      <w:b/>
                      <w:bCs/>
                      <w:i/>
                      <w:iCs/>
                      <w:color w:val="FF0000"/>
                      <w:lang w:eastAsia="en-GB"/>
                    </w:rPr>
                    <w:lastRenderedPageBreak/>
                    <w:t>W_65</w:t>
                  </w:r>
                </w:p>
              </w:tc>
              <w:tc>
                <w:tcPr>
                  <w:tcW w:w="644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Sensitivity</w:t>
                  </w:r>
                </w:p>
              </w:tc>
            </w:tr>
            <w:tr w:rsidR="006E20FD" w:rsidRPr="00D561D8"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0_F</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r>
            <w:tr w:rsidR="006E20FD" w:rsidRPr="00D561D8"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8.1</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24.4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4.6</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12.9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3.4</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2.8</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2.5</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2.3</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25.1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2.1</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51.3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2.0</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58.4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23.2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15.7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27.1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18.9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1.8</w:t>
                  </w:r>
                </w:p>
              </w:tc>
            </w:tr>
          </w:tbl>
          <w:p w:rsidR="006E20FD" w:rsidRPr="00D561D8" w:rsidRDefault="006E20FD" w:rsidP="006E20FD">
            <w:pPr>
              <w:jc w:val="center"/>
              <w:rPr>
                <w:color w:val="FF0000"/>
              </w:rPr>
            </w:pPr>
          </w:p>
        </w:tc>
      </w:tr>
      <w:tr w:rsidR="006E20FD" w:rsidRPr="00D561D8" w:rsidTr="006E20FD">
        <w:trPr>
          <w:divId w:val="1548566716"/>
          <w:trHeight w:val="151"/>
        </w:trPr>
        <w:tc>
          <w:tcPr>
            <w:tcW w:w="8046" w:type="dxa"/>
          </w:tcPr>
          <w:p w:rsidR="006E20FD" w:rsidRPr="00D561D8" w:rsidRDefault="006E20FD" w:rsidP="006E20FD">
            <w:pPr>
              <w:pStyle w:val="ListParagraph"/>
              <w:numPr>
                <w:ilvl w:val="0"/>
                <w:numId w:val="17"/>
              </w:numPr>
              <w:spacing w:line="240" w:lineRule="auto"/>
              <w:jc w:val="center"/>
              <w:rPr>
                <w:color w:val="FF0000"/>
              </w:rPr>
            </w:pPr>
            <w:r w:rsidRPr="00D561D8">
              <w:rPr>
                <w:color w:val="FF0000"/>
              </w:rPr>
              <w:t>W_65_0_F</w:t>
            </w:r>
          </w:p>
        </w:tc>
      </w:tr>
      <w:bookmarkEnd w:id="13"/>
    </w:tbl>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8046"/>
      </w:tblGrid>
      <w:tr w:rsidR="006E20FD" w:rsidTr="006E20FD">
        <w:trPr>
          <w:divId w:val="1548566716"/>
          <w:trHeight w:val="117"/>
        </w:trPr>
        <w:tc>
          <w:tcPr>
            <w:tcW w:w="8046" w:type="dxa"/>
          </w:tcPr>
          <w:tbl>
            <w:tblPr>
              <w:tblW w:w="7520" w:type="dxa"/>
              <w:tblInd w:w="93" w:type="dxa"/>
              <w:tblLook w:val="04A0" w:firstRow="1" w:lastRow="0" w:firstColumn="1" w:lastColumn="0" w:noHBand="0" w:noVBand="1"/>
            </w:tblPr>
            <w:tblGrid>
              <w:gridCol w:w="551"/>
              <w:gridCol w:w="551"/>
              <w:gridCol w:w="388"/>
              <w:gridCol w:w="548"/>
              <w:gridCol w:w="548"/>
              <w:gridCol w:w="548"/>
              <w:gridCol w:w="548"/>
              <w:gridCol w:w="548"/>
              <w:gridCol w:w="686"/>
              <w:gridCol w:w="686"/>
              <w:gridCol w:w="686"/>
              <w:gridCol w:w="686"/>
              <w:gridCol w:w="547"/>
            </w:tblGrid>
            <w:tr w:rsidR="006E20FD" w:rsidRPr="00BA0F69" w:rsidTr="006E20FD">
              <w:trPr>
                <w:trHeight w:val="306"/>
              </w:trPr>
              <w:tc>
                <w:tcPr>
                  <w:tcW w:w="1101"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R_50</w:t>
                  </w:r>
                </w:p>
              </w:tc>
              <w:tc>
                <w:tcPr>
                  <w:tcW w:w="641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6"/>
              </w:trPr>
              <w:tc>
                <w:tcPr>
                  <w:tcW w:w="1101"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6"/>
              </w:trPr>
              <w:tc>
                <w:tcPr>
                  <w:tcW w:w="5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82.0</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23.2</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r>
          </w:tbl>
          <w:p w:rsidR="006E20FD" w:rsidRDefault="006E20FD" w:rsidP="006E20FD">
            <w:pPr>
              <w:jc w:val="center"/>
            </w:pPr>
          </w:p>
        </w:tc>
      </w:tr>
      <w:tr w:rsidR="006E20FD" w:rsidTr="006E20FD">
        <w:trPr>
          <w:divId w:val="1548566716"/>
          <w:trHeight w:val="118"/>
        </w:trPr>
        <w:tc>
          <w:tcPr>
            <w:tcW w:w="8046" w:type="dxa"/>
          </w:tcPr>
          <w:p w:rsidR="006E20FD" w:rsidRDefault="006E20FD" w:rsidP="006E20FD">
            <w:pPr>
              <w:pStyle w:val="ListParagraph"/>
              <w:numPr>
                <w:ilvl w:val="0"/>
                <w:numId w:val="17"/>
              </w:numPr>
              <w:spacing w:line="240" w:lineRule="auto"/>
              <w:jc w:val="center"/>
            </w:pPr>
            <w:r>
              <w:t>R_50_0_M</w:t>
            </w:r>
          </w:p>
        </w:tc>
      </w:tr>
    </w:tbl>
    <w:p w:rsidR="006E20FD" w:rsidRDefault="006E20FD" w:rsidP="006E20FD">
      <w:pPr>
        <w:divId w:val="1548566716"/>
      </w:pPr>
    </w:p>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9242"/>
      </w:tblGrid>
      <w:tr w:rsidR="006E20FD" w:rsidTr="006E20FD">
        <w:trPr>
          <w:divId w:val="1548566716"/>
          <w:trHeight w:val="117"/>
        </w:trPr>
        <w:tc>
          <w:tcPr>
            <w:tcW w:w="9242" w:type="dxa"/>
          </w:tcPr>
          <w:tbl>
            <w:tblPr>
              <w:tblW w:w="7541" w:type="dxa"/>
              <w:tblInd w:w="93" w:type="dxa"/>
              <w:tblLook w:val="04A0" w:firstRow="1" w:lastRow="0" w:firstColumn="1" w:lastColumn="0" w:noHBand="0" w:noVBand="1"/>
            </w:tblPr>
            <w:tblGrid>
              <w:gridCol w:w="552"/>
              <w:gridCol w:w="552"/>
              <w:gridCol w:w="389"/>
              <w:gridCol w:w="550"/>
              <w:gridCol w:w="550"/>
              <w:gridCol w:w="550"/>
              <w:gridCol w:w="550"/>
              <w:gridCol w:w="550"/>
              <w:gridCol w:w="688"/>
              <w:gridCol w:w="688"/>
              <w:gridCol w:w="688"/>
              <w:gridCol w:w="688"/>
              <w:gridCol w:w="546"/>
            </w:tblGrid>
            <w:tr w:rsidR="006E20FD" w:rsidRPr="00BA0F69" w:rsidTr="006E20FD">
              <w:trPr>
                <w:trHeight w:val="316"/>
              </w:trPr>
              <w:tc>
                <w:tcPr>
                  <w:tcW w:w="110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R_50</w:t>
                  </w:r>
                </w:p>
              </w:tc>
              <w:tc>
                <w:tcPr>
                  <w:tcW w:w="643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16"/>
              </w:trPr>
              <w:tc>
                <w:tcPr>
                  <w:tcW w:w="110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16"/>
              </w:trPr>
              <w:tc>
                <w:tcPr>
                  <w:tcW w:w="55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35.2</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19.1</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63.0</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8.3</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32.2</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bl>
          <w:p w:rsidR="006E20FD" w:rsidRDefault="006E20FD" w:rsidP="006E20FD">
            <w:pPr>
              <w:jc w:val="center"/>
            </w:pPr>
          </w:p>
        </w:tc>
      </w:tr>
      <w:tr w:rsidR="006E20FD" w:rsidTr="006E20FD">
        <w:trPr>
          <w:divId w:val="1548566716"/>
          <w:trHeight w:val="118"/>
        </w:trPr>
        <w:tc>
          <w:tcPr>
            <w:tcW w:w="9242" w:type="dxa"/>
          </w:tcPr>
          <w:p w:rsidR="006E20FD" w:rsidRDefault="006E20FD" w:rsidP="006E20FD">
            <w:pPr>
              <w:pStyle w:val="ListParagraph"/>
              <w:numPr>
                <w:ilvl w:val="0"/>
                <w:numId w:val="17"/>
              </w:numPr>
              <w:spacing w:line="240" w:lineRule="auto"/>
              <w:jc w:val="center"/>
            </w:pPr>
            <w:r>
              <w:t>R_50_0_F</w:t>
            </w:r>
          </w:p>
        </w:tc>
      </w:tr>
      <w:tr w:rsidR="006E20FD" w:rsidTr="006E20FD">
        <w:trPr>
          <w:divId w:val="1548566716"/>
          <w:trHeight w:val="134"/>
        </w:trPr>
        <w:tc>
          <w:tcPr>
            <w:tcW w:w="9242" w:type="dxa"/>
          </w:tcPr>
          <w:tbl>
            <w:tblPr>
              <w:tblW w:w="7558" w:type="dxa"/>
              <w:tblInd w:w="93" w:type="dxa"/>
              <w:tblLook w:val="04A0" w:firstRow="1" w:lastRow="0" w:firstColumn="1" w:lastColumn="0" w:noHBand="0" w:noVBand="1"/>
            </w:tblPr>
            <w:tblGrid>
              <w:gridCol w:w="503"/>
              <w:gridCol w:w="504"/>
              <w:gridCol w:w="553"/>
              <w:gridCol w:w="611"/>
              <w:gridCol w:w="611"/>
              <w:gridCol w:w="611"/>
              <w:gridCol w:w="611"/>
              <w:gridCol w:w="611"/>
              <w:gridCol w:w="611"/>
              <w:gridCol w:w="611"/>
              <w:gridCol w:w="611"/>
              <w:gridCol w:w="611"/>
              <w:gridCol w:w="499"/>
            </w:tblGrid>
            <w:tr w:rsidR="006E20FD" w:rsidRPr="00BA0F69" w:rsidTr="006E20FD">
              <w:trPr>
                <w:trHeight w:val="305"/>
              </w:trPr>
              <w:tc>
                <w:tcPr>
                  <w:tcW w:w="100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R_65</w:t>
                  </w:r>
                </w:p>
              </w:tc>
              <w:tc>
                <w:tcPr>
                  <w:tcW w:w="6551"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5"/>
              </w:trPr>
              <w:tc>
                <w:tcPr>
                  <w:tcW w:w="100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5"/>
              </w:trPr>
              <w:tc>
                <w:tcPr>
                  <w:tcW w:w="50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47.7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bl>
          <w:p w:rsidR="006E20FD" w:rsidRDefault="006E20FD" w:rsidP="006E20FD">
            <w:pPr>
              <w:jc w:val="center"/>
            </w:pPr>
          </w:p>
        </w:tc>
      </w:tr>
      <w:tr w:rsidR="006E20FD" w:rsidTr="006E20FD">
        <w:trPr>
          <w:divId w:val="1548566716"/>
          <w:trHeight w:val="134"/>
        </w:trPr>
        <w:tc>
          <w:tcPr>
            <w:tcW w:w="9242" w:type="dxa"/>
          </w:tcPr>
          <w:p w:rsidR="006E20FD" w:rsidRDefault="006E20FD" w:rsidP="006E20FD">
            <w:pPr>
              <w:pStyle w:val="ListParagraph"/>
              <w:numPr>
                <w:ilvl w:val="0"/>
                <w:numId w:val="17"/>
              </w:numPr>
              <w:spacing w:line="240" w:lineRule="auto"/>
              <w:jc w:val="center"/>
            </w:pPr>
            <w:r>
              <w:t>R_65_0_M</w:t>
            </w:r>
          </w:p>
        </w:tc>
      </w:tr>
      <w:tr w:rsidR="006E20FD" w:rsidTr="006E20FD">
        <w:trPr>
          <w:divId w:val="1548566716"/>
          <w:trHeight w:val="118"/>
        </w:trPr>
        <w:tc>
          <w:tcPr>
            <w:tcW w:w="9242" w:type="dxa"/>
          </w:tcPr>
          <w:tbl>
            <w:tblPr>
              <w:tblW w:w="7767" w:type="dxa"/>
              <w:tblInd w:w="93" w:type="dxa"/>
              <w:tblLook w:val="04A0" w:firstRow="1" w:lastRow="0" w:firstColumn="1" w:lastColumn="0" w:noHBand="0" w:noVBand="1"/>
            </w:tblPr>
            <w:tblGrid>
              <w:gridCol w:w="513"/>
              <w:gridCol w:w="514"/>
              <w:gridCol w:w="623"/>
              <w:gridCol w:w="623"/>
              <w:gridCol w:w="623"/>
              <w:gridCol w:w="623"/>
              <w:gridCol w:w="623"/>
              <w:gridCol w:w="623"/>
              <w:gridCol w:w="623"/>
              <w:gridCol w:w="623"/>
              <w:gridCol w:w="623"/>
              <w:gridCol w:w="623"/>
              <w:gridCol w:w="510"/>
            </w:tblGrid>
            <w:tr w:rsidR="006E20FD" w:rsidRPr="00BA0F69" w:rsidTr="006E20FD">
              <w:trPr>
                <w:trHeight w:val="307"/>
              </w:trPr>
              <w:tc>
                <w:tcPr>
                  <w:tcW w:w="102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R_65</w:t>
                  </w:r>
                </w:p>
              </w:tc>
              <w:tc>
                <w:tcPr>
                  <w:tcW w:w="674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7"/>
              </w:trPr>
              <w:tc>
                <w:tcPr>
                  <w:tcW w:w="102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7"/>
              </w:trPr>
              <w:tc>
                <w:tcPr>
                  <w:tcW w:w="51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77.0</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R_65_0_F</w:t>
            </w:r>
          </w:p>
        </w:tc>
      </w:tr>
    </w:tbl>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9242"/>
      </w:tblGrid>
      <w:tr w:rsidR="006E20FD" w:rsidTr="006E20FD">
        <w:trPr>
          <w:divId w:val="1548566716"/>
          <w:trHeight w:val="118"/>
        </w:trPr>
        <w:tc>
          <w:tcPr>
            <w:tcW w:w="9242" w:type="dxa"/>
          </w:tcPr>
          <w:p w:rsidR="006E20FD" w:rsidRDefault="006E20FD" w:rsidP="006E20FD"/>
          <w:tbl>
            <w:tblPr>
              <w:tblW w:w="7565"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D_65</w:t>
                  </w:r>
                </w:p>
              </w:tc>
              <w:tc>
                <w:tcPr>
                  <w:tcW w:w="6565"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D_65_0_M</w:t>
            </w:r>
          </w:p>
        </w:tc>
      </w:tr>
      <w:tr w:rsidR="006E20FD" w:rsidTr="006E20FD">
        <w:trPr>
          <w:divId w:val="1548566716"/>
          <w:trHeight w:val="118"/>
        </w:trPr>
        <w:tc>
          <w:tcPr>
            <w:tcW w:w="9242" w:type="dxa"/>
          </w:tcPr>
          <w:tbl>
            <w:tblPr>
              <w:tblW w:w="6500"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D_65</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11.2</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96.6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D_65_0_F</w:t>
            </w:r>
          </w:p>
        </w:tc>
      </w:tr>
    </w:tbl>
    <w:p w:rsidR="006E20FD" w:rsidRDefault="006E20FD" w:rsidP="006E20FD">
      <w:pPr>
        <w:jc w:val="center"/>
        <w:divId w:val="1548566716"/>
      </w:pPr>
    </w:p>
    <w:p w:rsidR="006E20FD" w:rsidRDefault="006E20FD">
      <w:pPr>
        <w:spacing w:line="276" w:lineRule="auto"/>
        <w:jc w:val="left"/>
        <w:rPr>
          <w:lang w:val="en-GB"/>
        </w:rPr>
      </w:pPr>
    </w:p>
    <w:p w:rsidR="006E20FD" w:rsidRDefault="006E20FD">
      <w:pPr>
        <w:spacing w:line="276" w:lineRule="auto"/>
        <w:jc w:val="left"/>
        <w:rPr>
          <w:lang w:val="en-GB"/>
        </w:rPr>
      </w:pPr>
    </w:p>
    <w:p w:rsidR="006E20FD" w:rsidRDefault="006E20FD">
      <w:pPr>
        <w:spacing w:line="276" w:lineRule="auto"/>
        <w:jc w:val="left"/>
        <w:rPr>
          <w:lang w:val="en-GB"/>
        </w:rPr>
        <w:sectPr w:rsidR="006E20FD" w:rsidSect="006D0808">
          <w:pgSz w:w="11906" w:h="16838"/>
          <w:pgMar w:top="1440" w:right="1440" w:bottom="1440" w:left="1440" w:header="709" w:footer="709" w:gutter="0"/>
          <w:cols w:space="708"/>
          <w:docGrid w:linePitch="360"/>
        </w:sectPr>
      </w:pPr>
    </w:p>
    <w:p w:rsidR="006E20FD" w:rsidRDefault="006E20FD" w:rsidP="006E20FD">
      <w:pPr>
        <w:pStyle w:val="Heading1"/>
        <w:divId w:val="1548566716"/>
      </w:pPr>
      <w:r>
        <w:lastRenderedPageBreak/>
        <w:t>Fifty year old males, initial CHADS</w:t>
      </w:r>
      <w:r w:rsidRPr="00474793">
        <w:rPr>
          <w:vertAlign w:val="subscript"/>
        </w:rPr>
        <w:t>2</w:t>
      </w:r>
      <w:r>
        <w:t xml:space="preserve"> score of 0, treated with Warfarin</w:t>
      </w:r>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28.840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11.7</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87.1</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0.120</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0.242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0.075</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28.928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0.112</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pPr>
              <w:jc w:val="center"/>
            </w:pPr>
            <w:r>
              <w:rPr>
                <w:noProof/>
                <w:lang w:val="en-GB" w:eastAsia="en-GB"/>
              </w:rPr>
              <w:lastRenderedPageBreak/>
              <w:drawing>
                <wp:inline distT="0" distB="0" distL="0" distR="0">
                  <wp:extent cx="3780000" cy="3780000"/>
                  <wp:effectExtent l="0" t="0" r="0" b="0"/>
                  <wp:docPr id="10" name="Picture 3" descr="X:\EchoAF\R\Figures\W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choAF\R\Figures\W_50_0_M__PSA.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pPr>
              <w:jc w:val="center"/>
            </w:pPr>
            <w:r>
              <w:rPr>
                <w:noProof/>
                <w:lang w:val="en-GB" w:eastAsia="en-GB"/>
              </w:rPr>
              <w:drawing>
                <wp:inline distT="0" distB="0" distL="0" distR="0">
                  <wp:extent cx="3780000" cy="3780000"/>
                  <wp:effectExtent l="0" t="0" r="0" b="0"/>
                  <wp:docPr id="11" name="Picture 4" descr="X:\EchoAF\R\Figures\W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choAF\R\Figures\W_50_0_M__CEAF.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2,459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13.60</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26,489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-£ 26,552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26,408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4,712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13.51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64"/>
        </w:trPr>
        <w:tc>
          <w:tcPr>
            <w:tcW w:w="14174" w:type="dxa"/>
            <w:gridSpan w:val="2"/>
            <w:tcBorders>
              <w:bottom w:val="single" w:sz="4" w:space="0" w:color="auto"/>
            </w:tcBorders>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females with initial CHADS</w:t>
      </w:r>
      <w:r w:rsidRPr="00474793">
        <w:rPr>
          <w:vertAlign w:val="subscript"/>
        </w:rPr>
        <w:t>2</w:t>
      </w:r>
      <w:r>
        <w:t xml:space="preserve"> score of 0, treated with Warfarin</w:t>
      </w:r>
    </w:p>
    <w:p w:rsidR="006E20FD" w:rsidRDefault="006E20FD" w:rsidP="006E20FD">
      <w:pPr>
        <w:pStyle w:val="Heading2"/>
        <w:divId w:val="1548566716"/>
      </w:pPr>
      <w:r>
        <w:t>Results</w:t>
      </w:r>
    </w:p>
    <w:p w:rsidR="006E20FD" w:rsidRDefault="006E20FD" w:rsidP="006E20FD">
      <w:pPr>
        <w:divId w:val="1548566716"/>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31.633</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84.9</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0.139</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0.278</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0.091</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31.734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12.6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85.2</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0.259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r>
      <w:tr w:rsidR="006E20FD" w:rsidTr="006E20FD">
        <w:trPr>
          <w:divId w:val="1548566716"/>
        </w:trPr>
        <w:tc>
          <w:tcPr>
            <w:tcW w:w="9889"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p>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12" name="Picture 5" descr="X:\EchoAF\R\Figures\W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choAF\R\Figures\W_50_0_F__PSA.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19" name="Picture 6" descr="X:\EchoAF\R\Figures\W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choAF\R\Figures\W_50_0_F__CEAF.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553"/>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W_50_0_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815</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078</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175</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952</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5,405</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14.19</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96"/>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Warfarin</w:t>
      </w:r>
    </w:p>
    <w:p w:rsidR="006E20FD" w:rsidRDefault="006E20FD" w:rsidP="006E20FD">
      <w:pPr>
        <w:pStyle w:val="Heading2"/>
        <w:divId w:val="1548566716"/>
      </w:pPr>
      <w:r>
        <w:t>Results</w:t>
      </w:r>
    </w:p>
    <w:p w:rsidR="006E20FD" w:rsidRPr="00DC67A5" w:rsidRDefault="006E20FD" w:rsidP="006E20FD">
      <w:pPr>
        <w:divId w:val="1548566716"/>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17.131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90.2</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0.087</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0.052</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17.204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90.7</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0.078</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0.172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0.079</w:t>
            </w:r>
          </w:p>
        </w:tc>
      </w:tr>
      <w:tr w:rsidR="006E20FD" w:rsidTr="006E20FD">
        <w:trPr>
          <w:divId w:val="1548566716"/>
        </w:trPr>
        <w:tc>
          <w:tcPr>
            <w:tcW w:w="9889"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DC67A5"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20" name="Picture 7" descr="X:\EchoAF\R\Figures\W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EchoAF\R\Figures\W_65_0_M__PSA.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21" name="Picture 8" descr="X:\EchoAF\R\Figures\W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choAF\R\Figures\W_65_0_M__CEAF.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w:t>
                  </w: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1,527</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66</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793</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66</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217</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599</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467</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9.13</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65"/>
        </w:trPr>
        <w:tc>
          <w:tcPr>
            <w:tcW w:w="14174" w:type="dxa"/>
            <w:gridSpan w:val="2"/>
            <w:tcBorders>
              <w:bottom w:val="single" w:sz="4" w:space="0" w:color="auto"/>
            </w:tcBorders>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w:t>
      </w:r>
      <w:r w:rsidRPr="00CC76D6">
        <w:t xml:space="preserve"> </w:t>
      </w:r>
      <w:r>
        <w:t>Warfarin</w:t>
      </w:r>
    </w:p>
    <w:p w:rsidR="006E20FD" w:rsidRDefault="006E20FD" w:rsidP="006E20FD">
      <w:pPr>
        <w:pStyle w:val="Heading2"/>
        <w:divId w:val="1548566716"/>
      </w:pPr>
      <w:r>
        <w:t>Results</w:t>
      </w:r>
    </w:p>
    <w:p w:rsidR="006E20FD" w:rsidRPr="00BE4B91" w:rsidRDefault="006E20FD" w:rsidP="006E20FD">
      <w:pPr>
        <w:divId w:val="1548566716"/>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19.447</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88.3</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0.105</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0.065</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19.531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88.8</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0.096</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0.205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0.095</w:t>
            </w:r>
          </w:p>
        </w:tc>
      </w:tr>
      <w:tr w:rsidR="006E20FD" w:rsidTr="006E20FD">
        <w:trPr>
          <w:divId w:val="1548566716"/>
        </w:trPr>
        <w:tc>
          <w:tcPr>
            <w:tcW w:w="9889"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DC67A5"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22" name="Picture 9" descr="X:\EchoAF\R\Figures\W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EchoAF\R\Figures\W_65_0_F__PSA.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27" name="Picture 10" descr="X:\EchoAF\R\Figures\W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choAF\R\Figures\W_65_0_F__CEAF.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1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w:t>
                  </w: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1,974</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485</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291</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754</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106</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28"/>
        </w:trPr>
        <w:tc>
          <w:tcPr>
            <w:tcW w:w="14174" w:type="dxa"/>
            <w:gridSpan w:val="2"/>
            <w:tcBorders>
              <w:bottom w:val="single" w:sz="4" w:space="0" w:color="auto"/>
            </w:tcBorders>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28.861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87.2</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0.117</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0.239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0.075</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28.963</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87.6</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0.108</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0.219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0.113</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F91B29"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38" name="Picture 21" descr="X:\EchoAF\R\Figures\R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choAF\R\Figures\R_50_0_M__PSA.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39" name="Picture 22" descr="X:\EchoAF\R\Figures\R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EchoAF\R\Figures\R_50_0_M__CEAF.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8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44</w:t>
                  </w:r>
                  <w:r w:rsidRPr="006E5D0D">
                    <w:rPr>
                      <w:rFonts w:ascii="Calibri" w:eastAsia="Times New Roman" w:hAnsi="Calibri" w:cs="Calibri"/>
                      <w:color w:val="000000"/>
                      <w:lang w:eastAsia="en-GB"/>
                    </w:rPr>
                    <w:t xml:space="preserve">9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13.6</w:t>
                  </w:r>
                  <w:r>
                    <w:rPr>
                      <w:rFonts w:ascii="Calibri" w:eastAsia="Times New Roman" w:hAnsi="Calibri" w:cs="Calibri"/>
                      <w:color w:val="000000"/>
                      <w:lang w:eastAsia="en-GB"/>
                    </w:rPr>
                    <w:t>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060</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170</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910</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4,614</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13.54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5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females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31.657</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13.3</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85.1</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0.136</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0.275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0.091</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31.772</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12.4</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85.5</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0.127</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0.255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0" name="Picture 23" descr="X:\EchoAF\R\Figures\R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EchoAF\R\Figures\R_50_0_F__PSA.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1" name="Picture 24" descr="X:\EchoAF\R\Figures\R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EchoAF\R\Figures\R_50_0_F__CEAF.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6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_50_0_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2,</w:t>
                  </w:r>
                  <w:r>
                    <w:rPr>
                      <w:rFonts w:ascii="Calibri" w:eastAsia="Times New Roman" w:hAnsi="Calibri" w:cs="Calibri"/>
                      <w:color w:val="000000"/>
                      <w:lang w:eastAsia="en-GB"/>
                    </w:rPr>
                    <w:t>779</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535</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773</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271</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5</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315</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73"/>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17.141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90.3</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0.085</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0.052</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17.221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90.9</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0.076</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0.169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0.080</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2" name="Picture 29" descr="X:\EchoAF\R\Figures\R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EchoAF\R\Figures\R_65_0_M__PSA.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3" name="Picture 30" descr="X:\EchoAF\R\Figures\R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EchoAF\R\Figures\R_65_0_M__CEAF.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510</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310</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179</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487</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393</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1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19.460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19.554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9.4</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89.0</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0.201</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0.096</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4" name="Picture 31" descr="X:\EchoAF\R\Figures\R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EchoAF\R\Figures\R_65_0_F__PSA.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5" name="Picture 32" descr="X:\EchoAF\R\Figures\R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EchoAF\R\Figures\R_65_0_F__CEAF.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426"/>
              <w:gridCol w:w="708"/>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955</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751</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681</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844</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039</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9.99</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Pr="008B458A" w:rsidRDefault="006E20FD" w:rsidP="006E20FD">
            <w:pPr>
              <w:rPr>
                <w:sz w:val="12"/>
              </w:rPr>
            </w:pPr>
          </w:p>
        </w:tc>
      </w:tr>
      <w:tr w:rsidR="006E20FD" w:rsidTr="006E20FD">
        <w:trPr>
          <w:divId w:val="1548566716"/>
          <w:trHeight w:val="21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t>
      </w:r>
      <w:proofErr w:type="spellStart"/>
      <w:r>
        <w:t>dabigatran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17.158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90.5</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0.188</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0.053</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17.251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91.2</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0.072</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0.163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0.081</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6" name="Picture 33" descr="X:\EchoAF\R\Figures\D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EchoAF\R\Figures\D_65_0_M__PSA.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7" name="Picture 34" descr="X:\EchoAF\R\Figures\D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EchoAF\R\Figures\D_65_0_M__CEAF.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7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426"/>
              <w:gridCol w:w="708"/>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D</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489</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9.13</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728</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693</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782</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321</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9.18</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10"/>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 </w:t>
      </w:r>
      <w:proofErr w:type="spellStart"/>
      <w:r>
        <w:t>Dabigatran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19.485</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10.2</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88.7</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19.598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89.4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0.097</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425"/>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8" name="Picture 35" descr="X:\EchoAF\R\Figures\D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EchoAF\R\Figures\D_65_0_F__PSA.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9" name="Picture 36" descr="X:\EchoAF\R\Figures\D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EchoAF\R\Figures\D_65_0_F__CEAF.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Height w:val="265"/>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5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D</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942</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314</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290</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348</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946</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10.01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25"/>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Pr="00CC76D6" w:rsidRDefault="006E20FD" w:rsidP="006E20FD">
      <w:pPr>
        <w:divId w:val="1548566716"/>
      </w:pPr>
    </w:p>
    <w:sectPr w:rsidR="006E20FD" w:rsidRPr="00CC76D6" w:rsidSect="006E20FD">
      <w:pgSz w:w="16838" w:h="11906" w:orient="landscape"/>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Jon Minton" w:date="2012-10-15T15:11:00Z" w:initials="JM">
    <w:p w:rsidR="00253316" w:rsidRDefault="00253316">
      <w:pPr>
        <w:pStyle w:val="CommentText"/>
      </w:pPr>
      <w:r>
        <w:rPr>
          <w:rStyle w:val="CommentReference"/>
        </w:rPr>
        <w:annotationRef/>
      </w:r>
      <w:r>
        <w:t xml:space="preserve">I can’t get ref to NICE Methods Guide to work properly. (It doesn’t give date accessed, URL etc.) – </w:t>
      </w:r>
      <w:proofErr w:type="gramStart"/>
      <w:r>
        <w:t>for</w:t>
      </w:r>
      <w:proofErr w:type="gramEnd"/>
      <w:r>
        <w:t xml:space="preserve"> now I just want to flag this up. When everything else is completed I will manually edit this if need be.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5046" w:rsidRDefault="007B5046" w:rsidP="008D11C1">
      <w:r>
        <w:separator/>
      </w:r>
    </w:p>
  </w:endnote>
  <w:endnote w:type="continuationSeparator" w:id="0">
    <w:p w:rsidR="007B5046" w:rsidRDefault="007B5046" w:rsidP="008D1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80004"/>
      <w:docPartObj>
        <w:docPartGallery w:val="Page Numbers (Bottom of Page)"/>
        <w:docPartUnique/>
      </w:docPartObj>
    </w:sdtPr>
    <w:sdtContent>
      <w:p w:rsidR="00253316" w:rsidRDefault="00253316" w:rsidP="008D11C1">
        <w:pPr>
          <w:pStyle w:val="Footer"/>
        </w:pPr>
        <w:r>
          <w:fldChar w:fldCharType="begin"/>
        </w:r>
        <w:r>
          <w:instrText xml:space="preserve"> PAGE   \* MERGEFORMAT </w:instrText>
        </w:r>
        <w:r>
          <w:fldChar w:fldCharType="separate"/>
        </w:r>
        <w:r w:rsidR="00C16573">
          <w:rPr>
            <w:noProof/>
          </w:rPr>
          <w:t>12</w:t>
        </w:r>
        <w:r>
          <w:rPr>
            <w:noProof/>
          </w:rPr>
          <w:fldChar w:fldCharType="end"/>
        </w:r>
      </w:p>
    </w:sdtContent>
  </w:sdt>
  <w:p w:rsidR="00253316" w:rsidRDefault="00253316" w:rsidP="008D11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5046" w:rsidRDefault="007B5046" w:rsidP="008D11C1">
      <w:r>
        <w:separator/>
      </w:r>
    </w:p>
  </w:footnote>
  <w:footnote w:type="continuationSeparator" w:id="0">
    <w:p w:rsidR="007B5046" w:rsidRDefault="007B5046" w:rsidP="008D11C1">
      <w:r>
        <w:continuationSeparator/>
      </w:r>
    </w:p>
  </w:footnote>
  <w:footnote w:id="1">
    <w:p w:rsidR="00253316" w:rsidRDefault="00253316">
      <w:pPr>
        <w:pStyle w:val="FootnoteText"/>
      </w:pPr>
      <w:r>
        <w:rPr>
          <w:rStyle w:val="FootnoteReference"/>
        </w:rPr>
        <w:footnoteRef/>
      </w:r>
      <w:r>
        <w:t xml:space="preserve"> The optimal strategy switches from no TTE to TTE at a MAICER of £30,400/QALY.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5CE79D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EC1B82"/>
    <w:multiLevelType w:val="hybridMultilevel"/>
    <w:tmpl w:val="67080E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A4B5C9B"/>
    <w:multiLevelType w:val="hybridMultilevel"/>
    <w:tmpl w:val="9846306A"/>
    <w:lvl w:ilvl="0" w:tplc="2F2AB38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B070593"/>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1DC38A2"/>
    <w:multiLevelType w:val="hybridMultilevel"/>
    <w:tmpl w:val="DDE08F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A0D73E4"/>
    <w:multiLevelType w:val="hybridMultilevel"/>
    <w:tmpl w:val="A9A00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F592D76"/>
    <w:multiLevelType w:val="multilevel"/>
    <w:tmpl w:val="6624D892"/>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Restart w:val="1"/>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7">
    <w:nsid w:val="330E4D49"/>
    <w:multiLevelType w:val="hybridMultilevel"/>
    <w:tmpl w:val="2E08417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7D231FA"/>
    <w:multiLevelType w:val="hybridMultilevel"/>
    <w:tmpl w:val="1D56AD7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AA04CF9"/>
    <w:multiLevelType w:val="hybridMultilevel"/>
    <w:tmpl w:val="BD063D36"/>
    <w:lvl w:ilvl="0" w:tplc="4E7A15E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3F4C7CC3"/>
    <w:multiLevelType w:val="hybridMultilevel"/>
    <w:tmpl w:val="2C24C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B8C76BE"/>
    <w:multiLevelType w:val="hybridMultilevel"/>
    <w:tmpl w:val="53FAF2BE"/>
    <w:lvl w:ilvl="0" w:tplc="0BCCF44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4BBA72F4"/>
    <w:multiLevelType w:val="hybridMultilevel"/>
    <w:tmpl w:val="3CF04F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9833C6"/>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0B235C"/>
    <w:multiLevelType w:val="hybridMultilevel"/>
    <w:tmpl w:val="E7AEC3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0CD7116"/>
    <w:multiLevelType w:val="hybridMultilevel"/>
    <w:tmpl w:val="AFFA7F72"/>
    <w:lvl w:ilvl="0" w:tplc="1EDE838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6DBF7621"/>
    <w:multiLevelType w:val="hybridMultilevel"/>
    <w:tmpl w:val="10B2CB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lvlOverride w:ilvl="0">
      <w:lvl w:ilvl="0">
        <w:numFmt w:val="decimal"/>
        <w:pStyle w:val="Heading1"/>
        <w:lvlText w:val=""/>
        <w:lvlJc w:val="left"/>
      </w:lvl>
    </w:lvlOverride>
    <w:lvlOverride w:ilvl="1">
      <w:lvl w:ilvl="1">
        <w:numFmt w:val="decimal"/>
        <w:pStyle w:val="Heading2"/>
        <w:lvlText w:val=""/>
        <w:lvlJc w:val="left"/>
      </w:lvl>
    </w:lvlOverride>
    <w:lvlOverride w:ilvl="2">
      <w:lvl w:ilvl="2">
        <w:start w:val="1"/>
        <w:numFmt w:val="decimal"/>
        <w:pStyle w:val="Heading3"/>
        <w:lvlText w:val="%1.%2.%3."/>
        <w:lvlJc w:val="left"/>
        <w:pPr>
          <w:ind w:left="0" w:firstLine="0"/>
        </w:pPr>
        <w:rPr>
          <w:rFonts w:hint="default"/>
        </w:rPr>
      </w:lvl>
    </w:lvlOverride>
  </w:num>
  <w:num w:numId="2">
    <w:abstractNumId w:val="6"/>
  </w:num>
  <w:num w:numId="3">
    <w:abstractNumId w:val="1"/>
  </w:num>
  <w:num w:numId="4">
    <w:abstractNumId w:val="16"/>
  </w:num>
  <w:num w:numId="5">
    <w:abstractNumId w:val="12"/>
  </w:num>
  <w:num w:numId="6">
    <w:abstractNumId w:val="8"/>
  </w:num>
  <w:num w:numId="7">
    <w:abstractNumId w:val="4"/>
  </w:num>
  <w:num w:numId="8">
    <w:abstractNumId w:val="0"/>
  </w:num>
  <w:num w:numId="9">
    <w:abstractNumId w:val="14"/>
  </w:num>
  <w:num w:numId="10">
    <w:abstractNumId w:val="2"/>
  </w:num>
  <w:num w:numId="11">
    <w:abstractNumId w:val="15"/>
  </w:num>
  <w:num w:numId="12">
    <w:abstractNumId w:val="11"/>
  </w:num>
  <w:num w:numId="13">
    <w:abstractNumId w:val="9"/>
  </w:num>
  <w:num w:numId="14">
    <w:abstractNumId w:val="13"/>
  </w:num>
  <w:num w:numId="15">
    <w:abstractNumId w:val="5"/>
  </w:num>
  <w:num w:numId="16">
    <w:abstractNumId w:val="10"/>
  </w:num>
  <w:num w:numId="17">
    <w:abstractNumId w:val="7"/>
  </w:num>
  <w:num w:numId="18">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259D1"/>
    <w:rsid w:val="00004236"/>
    <w:rsid w:val="00023D5D"/>
    <w:rsid w:val="000406AE"/>
    <w:rsid w:val="00040779"/>
    <w:rsid w:val="0004239D"/>
    <w:rsid w:val="0005390C"/>
    <w:rsid w:val="000804F2"/>
    <w:rsid w:val="00081AF9"/>
    <w:rsid w:val="0009234A"/>
    <w:rsid w:val="000A4ABF"/>
    <w:rsid w:val="000A6E69"/>
    <w:rsid w:val="000B7AA1"/>
    <w:rsid w:val="000C4858"/>
    <w:rsid w:val="000C54E6"/>
    <w:rsid w:val="000F1109"/>
    <w:rsid w:val="000F1748"/>
    <w:rsid w:val="00112021"/>
    <w:rsid w:val="001138A7"/>
    <w:rsid w:val="001259D1"/>
    <w:rsid w:val="00133DC2"/>
    <w:rsid w:val="00153929"/>
    <w:rsid w:val="00155B53"/>
    <w:rsid w:val="00155DF4"/>
    <w:rsid w:val="00161B1F"/>
    <w:rsid w:val="00167865"/>
    <w:rsid w:val="00183C66"/>
    <w:rsid w:val="00194737"/>
    <w:rsid w:val="001B457D"/>
    <w:rsid w:val="001B784A"/>
    <w:rsid w:val="001B7E26"/>
    <w:rsid w:val="001C47C7"/>
    <w:rsid w:val="002148A0"/>
    <w:rsid w:val="00216347"/>
    <w:rsid w:val="002173F5"/>
    <w:rsid w:val="002379A0"/>
    <w:rsid w:val="00253316"/>
    <w:rsid w:val="00260232"/>
    <w:rsid w:val="00263B7C"/>
    <w:rsid w:val="00266451"/>
    <w:rsid w:val="00267F89"/>
    <w:rsid w:val="00270FD8"/>
    <w:rsid w:val="00273A34"/>
    <w:rsid w:val="002857F0"/>
    <w:rsid w:val="002908BA"/>
    <w:rsid w:val="002970B4"/>
    <w:rsid w:val="002B0A3A"/>
    <w:rsid w:val="002B2FB1"/>
    <w:rsid w:val="002C4C31"/>
    <w:rsid w:val="002D3329"/>
    <w:rsid w:val="002D6708"/>
    <w:rsid w:val="002F05E5"/>
    <w:rsid w:val="002F7CCE"/>
    <w:rsid w:val="00305A5B"/>
    <w:rsid w:val="00307F5F"/>
    <w:rsid w:val="00313F74"/>
    <w:rsid w:val="003162AB"/>
    <w:rsid w:val="00321AA3"/>
    <w:rsid w:val="003225C4"/>
    <w:rsid w:val="003378D6"/>
    <w:rsid w:val="00337C3B"/>
    <w:rsid w:val="00346F66"/>
    <w:rsid w:val="00354D59"/>
    <w:rsid w:val="003559AD"/>
    <w:rsid w:val="003562A1"/>
    <w:rsid w:val="00356EEF"/>
    <w:rsid w:val="00366B50"/>
    <w:rsid w:val="00374A9D"/>
    <w:rsid w:val="00374E80"/>
    <w:rsid w:val="003762FF"/>
    <w:rsid w:val="00395BE3"/>
    <w:rsid w:val="00397282"/>
    <w:rsid w:val="00397705"/>
    <w:rsid w:val="003A388D"/>
    <w:rsid w:val="003A6116"/>
    <w:rsid w:val="003A64BB"/>
    <w:rsid w:val="003C217E"/>
    <w:rsid w:val="003D3DC2"/>
    <w:rsid w:val="003D4906"/>
    <w:rsid w:val="003E2C5D"/>
    <w:rsid w:val="003E2F7C"/>
    <w:rsid w:val="003F5221"/>
    <w:rsid w:val="00405A96"/>
    <w:rsid w:val="00407CD7"/>
    <w:rsid w:val="004111A3"/>
    <w:rsid w:val="004323B5"/>
    <w:rsid w:val="00436D67"/>
    <w:rsid w:val="00440383"/>
    <w:rsid w:val="00444C4D"/>
    <w:rsid w:val="0044580B"/>
    <w:rsid w:val="00454436"/>
    <w:rsid w:val="00465A7A"/>
    <w:rsid w:val="0047004A"/>
    <w:rsid w:val="004850ED"/>
    <w:rsid w:val="00492057"/>
    <w:rsid w:val="00495D9F"/>
    <w:rsid w:val="0049753A"/>
    <w:rsid w:val="004A0CFF"/>
    <w:rsid w:val="004B7B0B"/>
    <w:rsid w:val="004D5F6A"/>
    <w:rsid w:val="004E06E9"/>
    <w:rsid w:val="004E4448"/>
    <w:rsid w:val="00500063"/>
    <w:rsid w:val="00501F33"/>
    <w:rsid w:val="00512460"/>
    <w:rsid w:val="00515AEC"/>
    <w:rsid w:val="00532F44"/>
    <w:rsid w:val="005364A7"/>
    <w:rsid w:val="00536C35"/>
    <w:rsid w:val="0053772E"/>
    <w:rsid w:val="00542E72"/>
    <w:rsid w:val="005468D5"/>
    <w:rsid w:val="00553D33"/>
    <w:rsid w:val="0055657D"/>
    <w:rsid w:val="00560933"/>
    <w:rsid w:val="00570EFD"/>
    <w:rsid w:val="00577888"/>
    <w:rsid w:val="005A2BAB"/>
    <w:rsid w:val="005B26D5"/>
    <w:rsid w:val="005B4084"/>
    <w:rsid w:val="005C1F9B"/>
    <w:rsid w:val="005D114E"/>
    <w:rsid w:val="005D3306"/>
    <w:rsid w:val="005E29E8"/>
    <w:rsid w:val="005E46D7"/>
    <w:rsid w:val="005E79DB"/>
    <w:rsid w:val="005F4AA1"/>
    <w:rsid w:val="00604F56"/>
    <w:rsid w:val="00605BB7"/>
    <w:rsid w:val="00606B8D"/>
    <w:rsid w:val="006071D2"/>
    <w:rsid w:val="00610C33"/>
    <w:rsid w:val="0061601D"/>
    <w:rsid w:val="00620AA2"/>
    <w:rsid w:val="00621BC9"/>
    <w:rsid w:val="00640262"/>
    <w:rsid w:val="00654FFC"/>
    <w:rsid w:val="00655A1D"/>
    <w:rsid w:val="00657538"/>
    <w:rsid w:val="00661799"/>
    <w:rsid w:val="00665212"/>
    <w:rsid w:val="00670364"/>
    <w:rsid w:val="00672785"/>
    <w:rsid w:val="00682DC7"/>
    <w:rsid w:val="0069573B"/>
    <w:rsid w:val="006B480A"/>
    <w:rsid w:val="006B4FDF"/>
    <w:rsid w:val="006B7EC6"/>
    <w:rsid w:val="006C1146"/>
    <w:rsid w:val="006C3CB6"/>
    <w:rsid w:val="006C6A74"/>
    <w:rsid w:val="006D0808"/>
    <w:rsid w:val="006D7B3B"/>
    <w:rsid w:val="006E020D"/>
    <w:rsid w:val="006E20FD"/>
    <w:rsid w:val="006E655B"/>
    <w:rsid w:val="006F64DB"/>
    <w:rsid w:val="0070222B"/>
    <w:rsid w:val="00707C6F"/>
    <w:rsid w:val="0071040B"/>
    <w:rsid w:val="00715C19"/>
    <w:rsid w:val="00724EAA"/>
    <w:rsid w:val="00732E2A"/>
    <w:rsid w:val="00736D21"/>
    <w:rsid w:val="00741A7A"/>
    <w:rsid w:val="00741D85"/>
    <w:rsid w:val="007461E7"/>
    <w:rsid w:val="007606EA"/>
    <w:rsid w:val="007670AC"/>
    <w:rsid w:val="00772D0B"/>
    <w:rsid w:val="00793FD8"/>
    <w:rsid w:val="00795047"/>
    <w:rsid w:val="007955A1"/>
    <w:rsid w:val="00796E10"/>
    <w:rsid w:val="007973DF"/>
    <w:rsid w:val="007A2853"/>
    <w:rsid w:val="007B0965"/>
    <w:rsid w:val="007B5046"/>
    <w:rsid w:val="007B765A"/>
    <w:rsid w:val="007C70A4"/>
    <w:rsid w:val="007D019C"/>
    <w:rsid w:val="007D1C2B"/>
    <w:rsid w:val="00810E76"/>
    <w:rsid w:val="00812032"/>
    <w:rsid w:val="00820F9B"/>
    <w:rsid w:val="00834F71"/>
    <w:rsid w:val="00850455"/>
    <w:rsid w:val="0085183F"/>
    <w:rsid w:val="008539B5"/>
    <w:rsid w:val="00862C39"/>
    <w:rsid w:val="00867ABA"/>
    <w:rsid w:val="00875B61"/>
    <w:rsid w:val="00876B5A"/>
    <w:rsid w:val="008864FC"/>
    <w:rsid w:val="0089277F"/>
    <w:rsid w:val="00894960"/>
    <w:rsid w:val="0089571D"/>
    <w:rsid w:val="00896DA7"/>
    <w:rsid w:val="008C72E4"/>
    <w:rsid w:val="008D11C1"/>
    <w:rsid w:val="008D30D8"/>
    <w:rsid w:val="008D3B31"/>
    <w:rsid w:val="008D613B"/>
    <w:rsid w:val="008E6143"/>
    <w:rsid w:val="00903CA6"/>
    <w:rsid w:val="00911187"/>
    <w:rsid w:val="0091160C"/>
    <w:rsid w:val="009137B7"/>
    <w:rsid w:val="00920A0B"/>
    <w:rsid w:val="00925E03"/>
    <w:rsid w:val="00930CCB"/>
    <w:rsid w:val="00932F8B"/>
    <w:rsid w:val="00933B76"/>
    <w:rsid w:val="00933C10"/>
    <w:rsid w:val="009344EA"/>
    <w:rsid w:val="0093614E"/>
    <w:rsid w:val="0094141C"/>
    <w:rsid w:val="009606A0"/>
    <w:rsid w:val="00960F46"/>
    <w:rsid w:val="00972322"/>
    <w:rsid w:val="00974077"/>
    <w:rsid w:val="00983B8D"/>
    <w:rsid w:val="009840A6"/>
    <w:rsid w:val="0098691C"/>
    <w:rsid w:val="00997914"/>
    <w:rsid w:val="009A3B70"/>
    <w:rsid w:val="009A59BC"/>
    <w:rsid w:val="009A6772"/>
    <w:rsid w:val="009B513D"/>
    <w:rsid w:val="009B762A"/>
    <w:rsid w:val="009C0DBF"/>
    <w:rsid w:val="009C2038"/>
    <w:rsid w:val="009C2BE1"/>
    <w:rsid w:val="009C7509"/>
    <w:rsid w:val="009F27B4"/>
    <w:rsid w:val="00A0005C"/>
    <w:rsid w:val="00A059E1"/>
    <w:rsid w:val="00A07773"/>
    <w:rsid w:val="00A11AEA"/>
    <w:rsid w:val="00A12911"/>
    <w:rsid w:val="00A40066"/>
    <w:rsid w:val="00A42D14"/>
    <w:rsid w:val="00A541AC"/>
    <w:rsid w:val="00A603E8"/>
    <w:rsid w:val="00A8404E"/>
    <w:rsid w:val="00A84C60"/>
    <w:rsid w:val="00A96DA4"/>
    <w:rsid w:val="00AB2D8E"/>
    <w:rsid w:val="00AC692E"/>
    <w:rsid w:val="00AD6705"/>
    <w:rsid w:val="00AE69C3"/>
    <w:rsid w:val="00AF094E"/>
    <w:rsid w:val="00B1326A"/>
    <w:rsid w:val="00B13ECE"/>
    <w:rsid w:val="00B14037"/>
    <w:rsid w:val="00B24433"/>
    <w:rsid w:val="00B31E31"/>
    <w:rsid w:val="00B325C3"/>
    <w:rsid w:val="00B36EBC"/>
    <w:rsid w:val="00B37EDA"/>
    <w:rsid w:val="00B43839"/>
    <w:rsid w:val="00B56A7D"/>
    <w:rsid w:val="00B577E8"/>
    <w:rsid w:val="00B7598B"/>
    <w:rsid w:val="00B819AE"/>
    <w:rsid w:val="00B825B6"/>
    <w:rsid w:val="00BB0715"/>
    <w:rsid w:val="00BB340B"/>
    <w:rsid w:val="00BB7BDC"/>
    <w:rsid w:val="00BC10AD"/>
    <w:rsid w:val="00BC4AAE"/>
    <w:rsid w:val="00BC5EC8"/>
    <w:rsid w:val="00BC79E5"/>
    <w:rsid w:val="00BD0097"/>
    <w:rsid w:val="00BD4F95"/>
    <w:rsid w:val="00BE4AC4"/>
    <w:rsid w:val="00BE73AD"/>
    <w:rsid w:val="00C007A4"/>
    <w:rsid w:val="00C0367B"/>
    <w:rsid w:val="00C0617D"/>
    <w:rsid w:val="00C16573"/>
    <w:rsid w:val="00C23AC0"/>
    <w:rsid w:val="00C27319"/>
    <w:rsid w:val="00C3051A"/>
    <w:rsid w:val="00C314AC"/>
    <w:rsid w:val="00C32E52"/>
    <w:rsid w:val="00C3520A"/>
    <w:rsid w:val="00C3580C"/>
    <w:rsid w:val="00C42A71"/>
    <w:rsid w:val="00C46C92"/>
    <w:rsid w:val="00C6586B"/>
    <w:rsid w:val="00C84263"/>
    <w:rsid w:val="00C87195"/>
    <w:rsid w:val="00C918EC"/>
    <w:rsid w:val="00CA434B"/>
    <w:rsid w:val="00CB6661"/>
    <w:rsid w:val="00CD343F"/>
    <w:rsid w:val="00CE4F27"/>
    <w:rsid w:val="00CE585A"/>
    <w:rsid w:val="00CE68A8"/>
    <w:rsid w:val="00CE721E"/>
    <w:rsid w:val="00CF007B"/>
    <w:rsid w:val="00CF1136"/>
    <w:rsid w:val="00CF29E8"/>
    <w:rsid w:val="00D103FA"/>
    <w:rsid w:val="00D200D6"/>
    <w:rsid w:val="00D20CA0"/>
    <w:rsid w:val="00D22AB2"/>
    <w:rsid w:val="00D34DE7"/>
    <w:rsid w:val="00D47469"/>
    <w:rsid w:val="00D561D8"/>
    <w:rsid w:val="00D57902"/>
    <w:rsid w:val="00D62831"/>
    <w:rsid w:val="00D65C68"/>
    <w:rsid w:val="00D67B2F"/>
    <w:rsid w:val="00D828F2"/>
    <w:rsid w:val="00D87110"/>
    <w:rsid w:val="00DB7C63"/>
    <w:rsid w:val="00DC17EE"/>
    <w:rsid w:val="00DC2BB2"/>
    <w:rsid w:val="00DC628D"/>
    <w:rsid w:val="00DD5C22"/>
    <w:rsid w:val="00DE0591"/>
    <w:rsid w:val="00DE62D7"/>
    <w:rsid w:val="00DF4463"/>
    <w:rsid w:val="00DF7E46"/>
    <w:rsid w:val="00E00A0D"/>
    <w:rsid w:val="00E13288"/>
    <w:rsid w:val="00E2513B"/>
    <w:rsid w:val="00E36064"/>
    <w:rsid w:val="00E36870"/>
    <w:rsid w:val="00E41165"/>
    <w:rsid w:val="00E5262E"/>
    <w:rsid w:val="00E5368F"/>
    <w:rsid w:val="00E55A94"/>
    <w:rsid w:val="00E55C64"/>
    <w:rsid w:val="00E57550"/>
    <w:rsid w:val="00E60AF4"/>
    <w:rsid w:val="00E652ED"/>
    <w:rsid w:val="00E74F07"/>
    <w:rsid w:val="00E84302"/>
    <w:rsid w:val="00E93B06"/>
    <w:rsid w:val="00E97667"/>
    <w:rsid w:val="00EB3ED4"/>
    <w:rsid w:val="00EB5AE5"/>
    <w:rsid w:val="00EB5B27"/>
    <w:rsid w:val="00ED065B"/>
    <w:rsid w:val="00ED1CB5"/>
    <w:rsid w:val="00ED28B9"/>
    <w:rsid w:val="00EF4164"/>
    <w:rsid w:val="00EF7137"/>
    <w:rsid w:val="00F00EDF"/>
    <w:rsid w:val="00F0458E"/>
    <w:rsid w:val="00F15320"/>
    <w:rsid w:val="00F16C06"/>
    <w:rsid w:val="00F37F4A"/>
    <w:rsid w:val="00F406A5"/>
    <w:rsid w:val="00F5273F"/>
    <w:rsid w:val="00F54A94"/>
    <w:rsid w:val="00F82325"/>
    <w:rsid w:val="00F91783"/>
    <w:rsid w:val="00FA2321"/>
    <w:rsid w:val="00FB3E31"/>
    <w:rsid w:val="00FB4677"/>
    <w:rsid w:val="00FB6128"/>
    <w:rsid w:val="00FC1604"/>
    <w:rsid w:val="00FC748C"/>
    <w:rsid w:val="00FD30C1"/>
    <w:rsid w:val="00FE12A1"/>
    <w:rsid w:val="00FF7C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1C1"/>
    <w:pPr>
      <w:spacing w:line="360" w:lineRule="auto"/>
      <w:jc w:val="both"/>
    </w:pPr>
  </w:style>
  <w:style w:type="paragraph" w:styleId="Heading1">
    <w:name w:val="heading 1"/>
    <w:next w:val="Normal"/>
    <w:link w:val="Heading1Char"/>
    <w:uiPriority w:val="9"/>
    <w:qFormat/>
    <w:rsid w:val="00B43839"/>
    <w:pPr>
      <w:numPr>
        <w:numId w:val="1"/>
      </w:num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532F44"/>
    <w:pPr>
      <w:numPr>
        <w:ilvl w:val="1"/>
      </w:numPr>
      <w:spacing w:before="200"/>
      <w:outlineLvl w:val="1"/>
    </w:pPr>
    <w:rPr>
      <w:bCs w:val="0"/>
      <w:i/>
      <w:sz w:val="28"/>
      <w:szCs w:val="26"/>
    </w:rPr>
  </w:style>
  <w:style w:type="paragraph" w:styleId="Heading3">
    <w:name w:val="heading 3"/>
    <w:basedOn w:val="Heading2"/>
    <w:next w:val="Normal"/>
    <w:link w:val="Heading3Char"/>
    <w:uiPriority w:val="9"/>
    <w:unhideWhenUsed/>
    <w:qFormat/>
    <w:rsid w:val="00B43839"/>
    <w:pPr>
      <w:numPr>
        <w:ilvl w:val="2"/>
      </w:numPr>
      <w:spacing w:line="271" w:lineRule="auto"/>
      <w:outlineLvl w:val="2"/>
    </w:pPr>
    <w:rPr>
      <w:bCs/>
      <w:i w:val="0"/>
    </w:rPr>
  </w:style>
  <w:style w:type="paragraph" w:styleId="Heading4">
    <w:name w:val="heading 4"/>
    <w:basedOn w:val="Heading3"/>
    <w:next w:val="Normal"/>
    <w:link w:val="Heading4Char"/>
    <w:uiPriority w:val="9"/>
    <w:unhideWhenUsed/>
    <w:qFormat/>
    <w:rsid w:val="008539B5"/>
    <w:pPr>
      <w:numPr>
        <w:ilvl w:val="3"/>
      </w:numPr>
      <w:outlineLvl w:val="3"/>
    </w:pPr>
    <w:rPr>
      <w:bCs w:val="0"/>
      <w:i/>
      <w:iCs/>
    </w:rPr>
  </w:style>
  <w:style w:type="paragraph" w:styleId="Heading5">
    <w:name w:val="heading 5"/>
    <w:basedOn w:val="Heading4"/>
    <w:next w:val="Normal"/>
    <w:link w:val="Heading5Char"/>
    <w:uiPriority w:val="9"/>
    <w:unhideWhenUsed/>
    <w:qFormat/>
    <w:rsid w:val="008539B5"/>
    <w:pPr>
      <w:numPr>
        <w:ilvl w:val="4"/>
      </w:numPr>
      <w:outlineLvl w:val="4"/>
    </w:pPr>
    <w:rPr>
      <w:b w:val="0"/>
      <w:bCs/>
    </w:rPr>
  </w:style>
  <w:style w:type="paragraph" w:styleId="Heading6">
    <w:name w:val="heading 6"/>
    <w:basedOn w:val="Heading5"/>
    <w:next w:val="Normal"/>
    <w:link w:val="Heading6Char"/>
    <w:uiPriority w:val="9"/>
    <w:semiHidden/>
    <w:unhideWhenUsed/>
    <w:qFormat/>
    <w:rsid w:val="00B14037"/>
    <w:pPr>
      <w:numPr>
        <w:ilvl w:val="5"/>
      </w:numPr>
      <w:outlineLvl w:val="5"/>
    </w:pPr>
    <w:rPr>
      <w:b/>
      <w:bCs w:val="0"/>
      <w:i w:val="0"/>
      <w:iCs w:val="0"/>
    </w:rPr>
  </w:style>
  <w:style w:type="paragraph" w:styleId="Heading7">
    <w:name w:val="heading 7"/>
    <w:basedOn w:val="Heading6"/>
    <w:next w:val="Normal"/>
    <w:link w:val="Heading7Char"/>
    <w:uiPriority w:val="9"/>
    <w:semiHidden/>
    <w:unhideWhenUsed/>
    <w:qFormat/>
    <w:rsid w:val="00B43839"/>
    <w:pPr>
      <w:numPr>
        <w:ilvl w:val="6"/>
      </w:numPr>
      <w:outlineLvl w:val="6"/>
    </w:pPr>
    <w:rPr>
      <w:i/>
      <w:iCs/>
    </w:rPr>
  </w:style>
  <w:style w:type="paragraph" w:styleId="Heading8">
    <w:name w:val="heading 8"/>
    <w:basedOn w:val="Heading7"/>
    <w:next w:val="Normal"/>
    <w:link w:val="Heading8Char"/>
    <w:uiPriority w:val="9"/>
    <w:semiHidden/>
    <w:unhideWhenUsed/>
    <w:qFormat/>
    <w:rsid w:val="00B43839"/>
    <w:pPr>
      <w:numPr>
        <w:ilvl w:val="7"/>
      </w:numPr>
      <w:outlineLvl w:val="7"/>
    </w:pPr>
    <w:rPr>
      <w:sz w:val="20"/>
      <w:szCs w:val="20"/>
    </w:rPr>
  </w:style>
  <w:style w:type="paragraph" w:styleId="Heading9">
    <w:name w:val="heading 9"/>
    <w:basedOn w:val="Heading8"/>
    <w:next w:val="Normal"/>
    <w:link w:val="Heading9Char"/>
    <w:uiPriority w:val="9"/>
    <w:semiHidden/>
    <w:unhideWhenUsed/>
    <w:qFormat/>
    <w:rsid w:val="00B43839"/>
    <w:pPr>
      <w:numPr>
        <w:ilvl w:val="8"/>
      </w:numPr>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839"/>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532F44"/>
    <w:rPr>
      <w:rFonts w:asciiTheme="majorHAnsi" w:eastAsiaTheme="majorEastAsia" w:hAnsiTheme="majorHAnsi" w:cstheme="majorBidi"/>
      <w:b/>
      <w:i/>
      <w:sz w:val="28"/>
      <w:szCs w:val="26"/>
    </w:rPr>
  </w:style>
  <w:style w:type="character" w:customStyle="1" w:styleId="Heading3Char">
    <w:name w:val="Heading 3 Char"/>
    <w:basedOn w:val="DefaultParagraphFont"/>
    <w:link w:val="Heading3"/>
    <w:uiPriority w:val="9"/>
    <w:rsid w:val="00B43839"/>
    <w:rPr>
      <w:rFonts w:asciiTheme="majorHAnsi" w:eastAsiaTheme="majorEastAsia" w:hAnsiTheme="majorHAnsi" w:cstheme="majorBidi"/>
      <w:b/>
      <w:bCs/>
      <w:sz w:val="28"/>
      <w:szCs w:val="26"/>
    </w:rPr>
  </w:style>
  <w:style w:type="character" w:customStyle="1" w:styleId="Heading4Char">
    <w:name w:val="Heading 4 Char"/>
    <w:basedOn w:val="DefaultParagraphFont"/>
    <w:link w:val="Heading4"/>
    <w:uiPriority w:val="9"/>
    <w:rsid w:val="008539B5"/>
    <w:rPr>
      <w:rFonts w:asciiTheme="majorHAnsi" w:eastAsiaTheme="majorEastAsia" w:hAnsiTheme="majorHAnsi" w:cstheme="majorBidi"/>
      <w:b/>
      <w:i/>
      <w:iCs/>
      <w:sz w:val="28"/>
      <w:szCs w:val="26"/>
    </w:rPr>
  </w:style>
  <w:style w:type="character" w:customStyle="1" w:styleId="Heading5Char">
    <w:name w:val="Heading 5 Char"/>
    <w:basedOn w:val="DefaultParagraphFont"/>
    <w:link w:val="Heading5"/>
    <w:uiPriority w:val="9"/>
    <w:rsid w:val="008539B5"/>
    <w:rPr>
      <w:rFonts w:asciiTheme="majorHAnsi" w:eastAsiaTheme="majorEastAsia" w:hAnsiTheme="majorHAnsi" w:cstheme="majorBidi"/>
      <w:bCs/>
      <w:i/>
      <w:iCs/>
      <w:sz w:val="28"/>
      <w:szCs w:val="26"/>
    </w:rPr>
  </w:style>
  <w:style w:type="character" w:customStyle="1" w:styleId="Heading6Char">
    <w:name w:val="Heading 6 Char"/>
    <w:basedOn w:val="DefaultParagraphFont"/>
    <w:link w:val="Heading6"/>
    <w:uiPriority w:val="9"/>
    <w:semiHidden/>
    <w:rsid w:val="00B14037"/>
    <w:rPr>
      <w:rFonts w:asciiTheme="majorHAnsi" w:eastAsiaTheme="majorEastAsia" w:hAnsiTheme="majorHAnsi" w:cstheme="majorBidi"/>
      <w:b/>
      <w:sz w:val="28"/>
      <w:szCs w:val="26"/>
    </w:rPr>
  </w:style>
  <w:style w:type="character" w:customStyle="1" w:styleId="Heading7Char">
    <w:name w:val="Heading 7 Char"/>
    <w:basedOn w:val="DefaultParagraphFont"/>
    <w:link w:val="Heading7"/>
    <w:uiPriority w:val="9"/>
    <w:semiHidden/>
    <w:rsid w:val="00B43839"/>
    <w:rPr>
      <w:rFonts w:asciiTheme="majorHAnsi" w:eastAsiaTheme="majorEastAsia" w:hAnsiTheme="majorHAnsi" w:cstheme="majorBidi"/>
      <w:b/>
      <w:i/>
      <w:iCs/>
      <w:sz w:val="28"/>
      <w:szCs w:val="26"/>
    </w:rPr>
  </w:style>
  <w:style w:type="character" w:customStyle="1" w:styleId="Heading8Char">
    <w:name w:val="Heading 8 Char"/>
    <w:basedOn w:val="DefaultParagraphFont"/>
    <w:link w:val="Heading8"/>
    <w:uiPriority w:val="9"/>
    <w:semiHidden/>
    <w:rsid w:val="00B43839"/>
    <w:rPr>
      <w:rFonts w:asciiTheme="majorHAnsi" w:eastAsiaTheme="majorEastAsia" w:hAnsiTheme="majorHAnsi" w:cstheme="majorBidi"/>
      <w:b/>
      <w:i/>
      <w:iCs/>
      <w:sz w:val="20"/>
      <w:szCs w:val="20"/>
    </w:rPr>
  </w:style>
  <w:style w:type="character" w:customStyle="1" w:styleId="Heading9Char">
    <w:name w:val="Heading 9 Char"/>
    <w:basedOn w:val="DefaultParagraphFont"/>
    <w:link w:val="Heading9"/>
    <w:uiPriority w:val="9"/>
    <w:semiHidden/>
    <w:rsid w:val="00B43839"/>
    <w:rPr>
      <w:rFonts w:asciiTheme="majorHAnsi" w:eastAsiaTheme="majorEastAsia" w:hAnsiTheme="majorHAnsi" w:cstheme="majorBidi"/>
      <w:b/>
      <w:spacing w:val="5"/>
      <w:sz w:val="20"/>
      <w:szCs w:val="20"/>
    </w:rPr>
  </w:style>
  <w:style w:type="paragraph" w:styleId="Title">
    <w:name w:val="Title"/>
    <w:basedOn w:val="Normal"/>
    <w:next w:val="Normal"/>
    <w:link w:val="TitleChar"/>
    <w:uiPriority w:val="10"/>
    <w:qFormat/>
    <w:rsid w:val="001259D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59D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59D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59D1"/>
    <w:rPr>
      <w:rFonts w:asciiTheme="majorHAnsi" w:eastAsiaTheme="majorEastAsia" w:hAnsiTheme="majorHAnsi" w:cstheme="majorBidi"/>
      <w:i/>
      <w:iCs/>
      <w:spacing w:val="13"/>
      <w:sz w:val="24"/>
      <w:szCs w:val="24"/>
    </w:rPr>
  </w:style>
  <w:style w:type="character" w:styleId="Strong">
    <w:name w:val="Strong"/>
    <w:uiPriority w:val="22"/>
    <w:qFormat/>
    <w:rsid w:val="001259D1"/>
    <w:rPr>
      <w:b/>
      <w:bCs/>
    </w:rPr>
  </w:style>
  <w:style w:type="character" w:styleId="Emphasis">
    <w:name w:val="Emphasis"/>
    <w:uiPriority w:val="20"/>
    <w:qFormat/>
    <w:rsid w:val="001259D1"/>
    <w:rPr>
      <w:b/>
      <w:bCs/>
      <w:i/>
      <w:iCs/>
      <w:spacing w:val="10"/>
      <w:bdr w:val="none" w:sz="0" w:space="0" w:color="auto"/>
      <w:shd w:val="clear" w:color="auto" w:fill="auto"/>
    </w:rPr>
  </w:style>
  <w:style w:type="paragraph" w:styleId="NoSpacing">
    <w:name w:val="No Spacing"/>
    <w:basedOn w:val="Normal"/>
    <w:uiPriority w:val="1"/>
    <w:qFormat/>
    <w:rsid w:val="001259D1"/>
    <w:pPr>
      <w:spacing w:after="0" w:line="240" w:lineRule="auto"/>
    </w:pPr>
  </w:style>
  <w:style w:type="paragraph" w:styleId="ListParagraph">
    <w:name w:val="List Paragraph"/>
    <w:basedOn w:val="Normal"/>
    <w:uiPriority w:val="34"/>
    <w:qFormat/>
    <w:rsid w:val="001259D1"/>
    <w:pPr>
      <w:ind w:left="720"/>
      <w:contextualSpacing/>
    </w:pPr>
  </w:style>
  <w:style w:type="paragraph" w:styleId="Quote">
    <w:name w:val="Quote"/>
    <w:basedOn w:val="Normal"/>
    <w:next w:val="Normal"/>
    <w:link w:val="QuoteChar"/>
    <w:uiPriority w:val="29"/>
    <w:qFormat/>
    <w:rsid w:val="001259D1"/>
    <w:pPr>
      <w:spacing w:before="200" w:after="0"/>
      <w:ind w:left="360" w:right="360"/>
    </w:pPr>
    <w:rPr>
      <w:i/>
      <w:iCs/>
    </w:rPr>
  </w:style>
  <w:style w:type="character" w:customStyle="1" w:styleId="QuoteChar">
    <w:name w:val="Quote Char"/>
    <w:basedOn w:val="DefaultParagraphFont"/>
    <w:link w:val="Quote"/>
    <w:uiPriority w:val="29"/>
    <w:rsid w:val="001259D1"/>
    <w:rPr>
      <w:i/>
      <w:iCs/>
    </w:rPr>
  </w:style>
  <w:style w:type="paragraph" w:styleId="IntenseQuote">
    <w:name w:val="Intense Quote"/>
    <w:basedOn w:val="Normal"/>
    <w:next w:val="Normal"/>
    <w:link w:val="IntenseQuoteChar"/>
    <w:uiPriority w:val="30"/>
    <w:qFormat/>
    <w:rsid w:val="001259D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1259D1"/>
    <w:rPr>
      <w:b/>
      <w:bCs/>
      <w:i/>
      <w:iCs/>
    </w:rPr>
  </w:style>
  <w:style w:type="character" w:styleId="SubtleEmphasis">
    <w:name w:val="Subtle Emphasis"/>
    <w:uiPriority w:val="19"/>
    <w:qFormat/>
    <w:rsid w:val="001259D1"/>
    <w:rPr>
      <w:i/>
      <w:iCs/>
    </w:rPr>
  </w:style>
  <w:style w:type="character" w:styleId="IntenseEmphasis">
    <w:name w:val="Intense Emphasis"/>
    <w:uiPriority w:val="21"/>
    <w:qFormat/>
    <w:rsid w:val="001259D1"/>
    <w:rPr>
      <w:b/>
      <w:bCs/>
    </w:rPr>
  </w:style>
  <w:style w:type="character" w:styleId="SubtleReference">
    <w:name w:val="Subtle Reference"/>
    <w:uiPriority w:val="31"/>
    <w:qFormat/>
    <w:rsid w:val="001259D1"/>
    <w:rPr>
      <w:smallCaps/>
    </w:rPr>
  </w:style>
  <w:style w:type="character" w:styleId="IntenseReference">
    <w:name w:val="Intense Reference"/>
    <w:uiPriority w:val="32"/>
    <w:qFormat/>
    <w:rsid w:val="001259D1"/>
    <w:rPr>
      <w:smallCaps/>
      <w:spacing w:val="5"/>
      <w:u w:val="single"/>
    </w:rPr>
  </w:style>
  <w:style w:type="character" w:styleId="BookTitle">
    <w:name w:val="Book Title"/>
    <w:uiPriority w:val="33"/>
    <w:qFormat/>
    <w:rsid w:val="001259D1"/>
    <w:rPr>
      <w:i/>
      <w:iCs/>
      <w:smallCaps/>
      <w:spacing w:val="5"/>
    </w:rPr>
  </w:style>
  <w:style w:type="paragraph" w:styleId="TOCHeading">
    <w:name w:val="TOC Heading"/>
    <w:basedOn w:val="Heading1"/>
    <w:next w:val="Normal"/>
    <w:uiPriority w:val="39"/>
    <w:semiHidden/>
    <w:unhideWhenUsed/>
    <w:qFormat/>
    <w:rsid w:val="001259D1"/>
    <w:pPr>
      <w:outlineLvl w:val="9"/>
    </w:pPr>
  </w:style>
  <w:style w:type="numbering" w:customStyle="1" w:styleId="Headings">
    <w:name w:val="Headings"/>
    <w:uiPriority w:val="99"/>
    <w:rsid w:val="00B43839"/>
    <w:pPr>
      <w:numPr>
        <w:numId w:val="2"/>
      </w:numPr>
    </w:pPr>
  </w:style>
  <w:style w:type="paragraph" w:styleId="FootnoteText">
    <w:name w:val="footnote text"/>
    <w:basedOn w:val="Normal"/>
    <w:link w:val="FootnoteTextChar"/>
    <w:uiPriority w:val="99"/>
    <w:semiHidden/>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FootnoteTextChar">
    <w:name w:val="Footnote Text Char"/>
    <w:basedOn w:val="DefaultParagraphFont"/>
    <w:link w:val="FootnoteText"/>
    <w:uiPriority w:val="99"/>
    <w:semiHidden/>
    <w:rsid w:val="00715C19"/>
    <w:rPr>
      <w:rFonts w:ascii="Times New Roman" w:eastAsia="Times New Roman" w:hAnsi="Times New Roman" w:cs="Times New Roman"/>
      <w:sz w:val="20"/>
      <w:szCs w:val="20"/>
      <w:lang w:val="en-GB" w:eastAsia="en-GB" w:bidi="ar-SA"/>
    </w:rPr>
  </w:style>
  <w:style w:type="character" w:styleId="FootnoteReference">
    <w:name w:val="footnote reference"/>
    <w:basedOn w:val="DefaultParagraphFont"/>
    <w:uiPriority w:val="99"/>
    <w:semiHidden/>
    <w:rsid w:val="00715C19"/>
    <w:rPr>
      <w:vertAlign w:val="superscript"/>
    </w:rPr>
  </w:style>
  <w:style w:type="paragraph" w:styleId="Header">
    <w:name w:val="header"/>
    <w:link w:val="HeaderChar"/>
    <w:uiPriority w:val="99"/>
    <w:rsid w:val="00715C19"/>
    <w:pPr>
      <w:tabs>
        <w:tab w:val="center" w:pos="4153"/>
        <w:tab w:val="right" w:pos="8306"/>
      </w:tabs>
    </w:pPr>
    <w:rPr>
      <w:rFonts w:ascii="Times New Roman" w:eastAsia="Times New Roman" w:hAnsi="Times New Roman" w:cs="Times New Roman"/>
      <w:sz w:val="24"/>
      <w:szCs w:val="24"/>
      <w:lang w:val="en-GB" w:eastAsia="en-GB" w:bidi="ar-SA"/>
    </w:rPr>
  </w:style>
  <w:style w:type="character" w:customStyle="1" w:styleId="HeaderChar">
    <w:name w:val="Header Char"/>
    <w:basedOn w:val="DefaultParagraphFont"/>
    <w:link w:val="Header"/>
    <w:uiPriority w:val="99"/>
    <w:rsid w:val="00715C19"/>
    <w:rPr>
      <w:rFonts w:ascii="Times New Roman" w:eastAsia="Times New Roman" w:hAnsi="Times New Roman" w:cs="Times New Roman"/>
      <w:sz w:val="24"/>
      <w:szCs w:val="24"/>
      <w:lang w:val="en-GB" w:eastAsia="en-GB" w:bidi="ar-SA"/>
    </w:rPr>
  </w:style>
  <w:style w:type="character" w:styleId="Hyperlink">
    <w:name w:val="Hyperlink"/>
    <w:basedOn w:val="DefaultParagraphFont"/>
    <w:uiPriority w:val="99"/>
    <w:rsid w:val="00715C19"/>
    <w:rPr>
      <w:color w:val="0000FF"/>
      <w:u w:val="single"/>
    </w:rPr>
  </w:style>
  <w:style w:type="numbering" w:customStyle="1" w:styleId="NoList1">
    <w:name w:val="No List1"/>
    <w:next w:val="NoList"/>
    <w:uiPriority w:val="99"/>
    <w:semiHidden/>
    <w:unhideWhenUsed/>
    <w:rsid w:val="00715C19"/>
  </w:style>
  <w:style w:type="table" w:styleId="TableGrid">
    <w:name w:val="Table Grid"/>
    <w:basedOn w:val="TableNormal"/>
    <w:uiPriority w:val="59"/>
    <w:rsid w:val="00715C19"/>
    <w:pPr>
      <w:spacing w:after="0" w:line="240" w:lineRule="auto"/>
    </w:pPr>
    <w:rPr>
      <w:rFonts w:ascii="Calibri" w:eastAsia="Calibri" w:hAnsi="Calibri"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715C19"/>
  </w:style>
  <w:style w:type="numbering" w:customStyle="1" w:styleId="NoList3">
    <w:name w:val="No List3"/>
    <w:next w:val="NoList"/>
    <w:uiPriority w:val="99"/>
    <w:semiHidden/>
    <w:unhideWhenUsed/>
    <w:rsid w:val="00715C19"/>
  </w:style>
  <w:style w:type="paragraph" w:customStyle="1" w:styleId="Default">
    <w:name w:val="Default"/>
    <w:rsid w:val="00715C19"/>
    <w:pPr>
      <w:autoSpaceDE w:val="0"/>
      <w:autoSpaceDN w:val="0"/>
      <w:adjustRightInd w:val="0"/>
      <w:spacing w:after="0" w:line="240" w:lineRule="auto"/>
    </w:pPr>
    <w:rPr>
      <w:rFonts w:ascii="Arial" w:eastAsia="Times New Roman" w:hAnsi="Arial" w:cs="Arial"/>
      <w:color w:val="000000"/>
      <w:sz w:val="24"/>
      <w:szCs w:val="24"/>
      <w:lang w:bidi="ar-SA"/>
    </w:rPr>
  </w:style>
  <w:style w:type="table" w:customStyle="1" w:styleId="TableGrid1">
    <w:name w:val="Table Grid1"/>
    <w:basedOn w:val="TableNormal"/>
    <w:next w:val="TableGrid"/>
    <w:uiPriority w:val="59"/>
    <w:rsid w:val="00715C19"/>
    <w:pPr>
      <w:spacing w:after="0" w:line="240" w:lineRule="auto"/>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15C19"/>
    <w:rPr>
      <w:sz w:val="16"/>
      <w:szCs w:val="16"/>
    </w:rPr>
  </w:style>
  <w:style w:type="paragraph" w:styleId="CommentText">
    <w:name w:val="annotation text"/>
    <w:basedOn w:val="Normal"/>
    <w:link w:val="CommentTextChar"/>
    <w:uiPriority w:val="99"/>
    <w:unhideWhenUsed/>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CommentTextChar">
    <w:name w:val="Comment Text Char"/>
    <w:basedOn w:val="DefaultParagraphFont"/>
    <w:link w:val="CommentText"/>
    <w:uiPriority w:val="99"/>
    <w:rsid w:val="00715C19"/>
    <w:rPr>
      <w:rFonts w:ascii="Times New Roman" w:eastAsia="Times New Roman" w:hAnsi="Times New Roman" w:cs="Times New Roman"/>
      <w:sz w:val="20"/>
      <w:szCs w:val="20"/>
      <w:lang w:val="en-GB" w:eastAsia="en-GB" w:bidi="ar-SA"/>
    </w:rPr>
  </w:style>
  <w:style w:type="paragraph" w:styleId="CommentSubject">
    <w:name w:val="annotation subject"/>
    <w:basedOn w:val="CommentText"/>
    <w:next w:val="CommentText"/>
    <w:link w:val="CommentSubjectChar"/>
    <w:uiPriority w:val="99"/>
    <w:semiHidden/>
    <w:unhideWhenUsed/>
    <w:rsid w:val="00715C19"/>
    <w:rPr>
      <w:b/>
      <w:bCs/>
    </w:rPr>
  </w:style>
  <w:style w:type="character" w:customStyle="1" w:styleId="CommentSubjectChar">
    <w:name w:val="Comment Subject Char"/>
    <w:basedOn w:val="CommentTextChar"/>
    <w:link w:val="CommentSubject"/>
    <w:uiPriority w:val="99"/>
    <w:semiHidden/>
    <w:rsid w:val="00715C19"/>
    <w:rPr>
      <w:rFonts w:ascii="Times New Roman" w:eastAsia="Times New Roman" w:hAnsi="Times New Roman" w:cs="Times New Roman"/>
      <w:b/>
      <w:bCs/>
      <w:sz w:val="20"/>
      <w:szCs w:val="20"/>
      <w:lang w:val="en-GB" w:eastAsia="en-GB" w:bidi="ar-SA"/>
    </w:rPr>
  </w:style>
  <w:style w:type="paragraph" w:styleId="BalloonText">
    <w:name w:val="Balloon Text"/>
    <w:basedOn w:val="Normal"/>
    <w:link w:val="BalloonTextChar"/>
    <w:uiPriority w:val="99"/>
    <w:semiHidden/>
    <w:unhideWhenUsed/>
    <w:rsid w:val="00715C19"/>
    <w:pPr>
      <w:spacing w:after="0" w:line="240" w:lineRule="auto"/>
    </w:pPr>
    <w:rPr>
      <w:rFonts w:ascii="Tahoma" w:eastAsia="Times New Roman" w:hAnsi="Tahoma" w:cs="Tahoma"/>
      <w:sz w:val="16"/>
      <w:szCs w:val="16"/>
      <w:lang w:val="en-GB" w:eastAsia="en-GB" w:bidi="ar-SA"/>
    </w:rPr>
  </w:style>
  <w:style w:type="character" w:customStyle="1" w:styleId="BalloonTextChar">
    <w:name w:val="Balloon Text Char"/>
    <w:basedOn w:val="DefaultParagraphFont"/>
    <w:link w:val="BalloonText"/>
    <w:uiPriority w:val="99"/>
    <w:semiHidden/>
    <w:rsid w:val="00715C19"/>
    <w:rPr>
      <w:rFonts w:ascii="Tahoma" w:eastAsia="Times New Roman" w:hAnsi="Tahoma" w:cs="Tahoma"/>
      <w:sz w:val="16"/>
      <w:szCs w:val="16"/>
      <w:lang w:val="en-GB" w:eastAsia="en-GB" w:bidi="ar-SA"/>
    </w:rPr>
  </w:style>
  <w:style w:type="paragraph" w:customStyle="1" w:styleId="TableTitle">
    <w:name w:val="TableTitle"/>
    <w:basedOn w:val="Normal"/>
    <w:rsid w:val="00715C19"/>
    <w:pPr>
      <w:spacing w:after="0" w:line="300" w:lineRule="exact"/>
    </w:pPr>
    <w:rPr>
      <w:rFonts w:ascii="Times New Roman" w:eastAsia="Times New Roman" w:hAnsi="Times New Roman" w:cs="Times New Roman"/>
      <w:sz w:val="24"/>
      <w:szCs w:val="20"/>
      <w:lang w:val="en-GB" w:bidi="ar-SA"/>
    </w:rPr>
  </w:style>
  <w:style w:type="paragraph" w:styleId="Footer">
    <w:name w:val="footer"/>
    <w:basedOn w:val="Normal"/>
    <w:link w:val="FooterChar"/>
    <w:uiPriority w:val="99"/>
    <w:unhideWhenUsed/>
    <w:rsid w:val="00715C19"/>
    <w:pPr>
      <w:tabs>
        <w:tab w:val="center" w:pos="4513"/>
        <w:tab w:val="right" w:pos="9026"/>
      </w:tabs>
      <w:spacing w:after="0" w:line="240" w:lineRule="auto"/>
    </w:pPr>
    <w:rPr>
      <w:rFonts w:ascii="Times New Roman" w:eastAsia="Times New Roman" w:hAnsi="Times New Roman" w:cs="Times New Roman"/>
      <w:sz w:val="24"/>
      <w:szCs w:val="24"/>
      <w:lang w:val="en-GB" w:eastAsia="en-GB" w:bidi="ar-SA"/>
    </w:rPr>
  </w:style>
  <w:style w:type="character" w:customStyle="1" w:styleId="FooterChar">
    <w:name w:val="Footer Char"/>
    <w:basedOn w:val="DefaultParagraphFont"/>
    <w:link w:val="Footer"/>
    <w:uiPriority w:val="99"/>
    <w:rsid w:val="00715C19"/>
    <w:rPr>
      <w:rFonts w:ascii="Times New Roman" w:eastAsia="Times New Roman" w:hAnsi="Times New Roman" w:cs="Times New Roman"/>
      <w:sz w:val="24"/>
      <w:szCs w:val="24"/>
      <w:lang w:val="en-GB" w:eastAsia="en-GB" w:bidi="ar-SA"/>
    </w:rPr>
  </w:style>
  <w:style w:type="character" w:styleId="FollowedHyperlink">
    <w:name w:val="FollowedHyperlink"/>
    <w:basedOn w:val="DefaultParagraphFont"/>
    <w:uiPriority w:val="99"/>
    <w:semiHidden/>
    <w:unhideWhenUsed/>
    <w:rsid w:val="00715C19"/>
    <w:rPr>
      <w:color w:val="800080" w:themeColor="followedHyperlink"/>
      <w:u w:val="single"/>
    </w:rPr>
  </w:style>
  <w:style w:type="character" w:customStyle="1" w:styleId="st1">
    <w:name w:val="st1"/>
    <w:basedOn w:val="DefaultParagraphFont"/>
    <w:rsid w:val="00715C19"/>
  </w:style>
  <w:style w:type="paragraph" w:styleId="HTMLPreformatted">
    <w:name w:val="HTML Preformatted"/>
    <w:basedOn w:val="Normal"/>
    <w:link w:val="HTMLPreformattedChar"/>
    <w:uiPriority w:val="99"/>
    <w:unhideWhenUsed/>
    <w:rsid w:val="0071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15C19"/>
    <w:rPr>
      <w:rFonts w:ascii="Courier New" w:eastAsia="Times New Roman" w:hAnsi="Courier New" w:cs="Courier New"/>
      <w:sz w:val="20"/>
      <w:szCs w:val="20"/>
      <w:lang w:val="en-GB" w:eastAsia="en-GB"/>
    </w:rPr>
  </w:style>
  <w:style w:type="character" w:customStyle="1" w:styleId="gd40030cor">
    <w:name w:val="gd40030cor"/>
    <w:basedOn w:val="DefaultParagraphFont"/>
    <w:rsid w:val="00715C19"/>
  </w:style>
  <w:style w:type="character" w:customStyle="1" w:styleId="gd40030ccr">
    <w:name w:val="gd40030ccr"/>
    <w:basedOn w:val="DefaultParagraphFont"/>
    <w:rsid w:val="00715C19"/>
  </w:style>
  <w:style w:type="paragraph" w:styleId="Caption">
    <w:name w:val="caption"/>
    <w:basedOn w:val="Normal"/>
    <w:next w:val="Normal"/>
    <w:uiPriority w:val="35"/>
    <w:unhideWhenUsed/>
    <w:qFormat/>
    <w:rsid w:val="00715C19"/>
    <w:pPr>
      <w:spacing w:line="240" w:lineRule="auto"/>
    </w:pPr>
    <w:rPr>
      <w:b/>
      <w:bCs/>
      <w:color w:val="4F81BD" w:themeColor="accent1"/>
      <w:sz w:val="18"/>
      <w:szCs w:val="18"/>
      <w:lang w:val="en-GB"/>
    </w:rPr>
  </w:style>
  <w:style w:type="paragraph" w:styleId="DocumentMap">
    <w:name w:val="Document Map"/>
    <w:basedOn w:val="Normal"/>
    <w:link w:val="DocumentMapChar"/>
    <w:uiPriority w:val="99"/>
    <w:semiHidden/>
    <w:unhideWhenUsed/>
    <w:rsid w:val="00715C19"/>
    <w:pPr>
      <w:spacing w:after="0" w:line="240" w:lineRule="auto"/>
    </w:pPr>
    <w:rPr>
      <w:rFonts w:ascii="Tahoma" w:hAnsi="Tahoma" w:cs="Tahoma"/>
      <w:sz w:val="16"/>
      <w:szCs w:val="16"/>
      <w:lang w:val="en-GB"/>
    </w:rPr>
  </w:style>
  <w:style w:type="character" w:customStyle="1" w:styleId="DocumentMapChar">
    <w:name w:val="Document Map Char"/>
    <w:basedOn w:val="DefaultParagraphFont"/>
    <w:link w:val="DocumentMap"/>
    <w:uiPriority w:val="99"/>
    <w:semiHidden/>
    <w:rsid w:val="00715C19"/>
    <w:rPr>
      <w:rFonts w:ascii="Tahoma" w:hAnsi="Tahoma" w:cs="Tahoma"/>
      <w:sz w:val="16"/>
      <w:szCs w:val="16"/>
      <w:lang w:val="en-GB"/>
    </w:rPr>
  </w:style>
  <w:style w:type="paragraph" w:styleId="TOC1">
    <w:name w:val="toc 1"/>
    <w:basedOn w:val="Normal"/>
    <w:next w:val="Normal"/>
    <w:autoRedefine/>
    <w:uiPriority w:val="39"/>
    <w:unhideWhenUsed/>
    <w:rsid w:val="00715C19"/>
    <w:pPr>
      <w:spacing w:after="100"/>
    </w:pPr>
    <w:rPr>
      <w:lang w:val="en-GB"/>
    </w:rPr>
  </w:style>
  <w:style w:type="paragraph" w:styleId="TOC2">
    <w:name w:val="toc 2"/>
    <w:basedOn w:val="Normal"/>
    <w:next w:val="Normal"/>
    <w:autoRedefine/>
    <w:uiPriority w:val="39"/>
    <w:unhideWhenUsed/>
    <w:rsid w:val="00715C19"/>
    <w:pPr>
      <w:spacing w:after="100"/>
      <w:ind w:left="220"/>
    </w:pPr>
    <w:rPr>
      <w:lang w:val="en-GB"/>
    </w:rPr>
  </w:style>
  <w:style w:type="paragraph" w:styleId="TOC3">
    <w:name w:val="toc 3"/>
    <w:basedOn w:val="Normal"/>
    <w:next w:val="Normal"/>
    <w:autoRedefine/>
    <w:uiPriority w:val="39"/>
    <w:unhideWhenUsed/>
    <w:rsid w:val="00715C19"/>
    <w:pPr>
      <w:spacing w:after="100"/>
      <w:ind w:left="440"/>
    </w:pPr>
    <w:rPr>
      <w:lang w:val="en-GB"/>
    </w:rPr>
  </w:style>
  <w:style w:type="paragraph" w:styleId="TableofFigures">
    <w:name w:val="table of figures"/>
    <w:basedOn w:val="Normal"/>
    <w:next w:val="Normal"/>
    <w:uiPriority w:val="99"/>
    <w:unhideWhenUsed/>
    <w:rsid w:val="00715C19"/>
    <w:pPr>
      <w:spacing w:after="0"/>
    </w:pPr>
    <w:rPr>
      <w:lang w:val="en-GB"/>
    </w:rPr>
  </w:style>
  <w:style w:type="paragraph" w:styleId="Revision">
    <w:name w:val="Revision"/>
    <w:hidden/>
    <w:uiPriority w:val="99"/>
    <w:semiHidden/>
    <w:rsid w:val="00715C19"/>
    <w:pPr>
      <w:spacing w:after="0" w:line="240" w:lineRule="auto"/>
    </w:pPr>
    <w:rPr>
      <w:lang w:val="en-GB"/>
    </w:rPr>
  </w:style>
  <w:style w:type="paragraph" w:customStyle="1" w:styleId="Heading31">
    <w:name w:val="Heading 31"/>
    <w:next w:val="Normal"/>
    <w:uiPriority w:val="9"/>
    <w:rsid w:val="00715C19"/>
    <w:pPr>
      <w:keepNext/>
      <w:spacing w:before="240" w:after="60"/>
      <w:outlineLvl w:val="2"/>
    </w:pPr>
    <w:rPr>
      <w:rFonts w:ascii="Arial" w:eastAsia="Times New Roman" w:hAnsi="Arial" w:cs="Arial"/>
      <w:b/>
      <w:bCs/>
      <w:sz w:val="26"/>
      <w:szCs w:val="26"/>
      <w:lang w:val="en-GB" w:eastAsia="en-GB" w:bidi="ar-SA"/>
    </w:rPr>
  </w:style>
  <w:style w:type="character" w:customStyle="1" w:styleId="apple-converted-space">
    <w:name w:val="apple-converted-space"/>
    <w:basedOn w:val="DefaultParagraphFont"/>
    <w:rsid w:val="00772D0B"/>
  </w:style>
  <w:style w:type="paragraph" w:styleId="ListBullet">
    <w:name w:val="List Bullet"/>
    <w:basedOn w:val="Normal"/>
    <w:uiPriority w:val="99"/>
    <w:unhideWhenUsed/>
    <w:rsid w:val="00AE69C3"/>
    <w:pPr>
      <w:numPr>
        <w:numId w:val="8"/>
      </w:numPr>
      <w:contextualSpacing/>
    </w:pPr>
  </w:style>
  <w:style w:type="paragraph" w:styleId="NormalWeb">
    <w:name w:val="Normal (Web)"/>
    <w:basedOn w:val="Normal"/>
    <w:uiPriority w:val="99"/>
    <w:unhideWhenUsed/>
    <w:rsid w:val="009C2038"/>
    <w:pPr>
      <w:spacing w:before="100" w:beforeAutospacing="1" w:after="100" w:afterAutospacing="1" w:line="240" w:lineRule="auto"/>
    </w:pPr>
    <w:rPr>
      <w:rFonts w:ascii="Times New Roman" w:hAnsi="Times New Roman" w:cs="Times New Roman"/>
      <w:sz w:val="24"/>
      <w:szCs w:val="24"/>
      <w:lang w:val="en-GB" w:eastAsia="en-GB" w:bidi="ar-SA"/>
    </w:rPr>
  </w:style>
  <w:style w:type="table" w:customStyle="1" w:styleId="TableGrid2">
    <w:name w:val="Table Grid2"/>
    <w:basedOn w:val="TableNormal"/>
    <w:next w:val="TableGrid"/>
    <w:uiPriority w:val="59"/>
    <w:rsid w:val="007B0965"/>
    <w:pPr>
      <w:spacing w:after="0" w:line="240" w:lineRule="auto"/>
    </w:pPr>
    <w:rPr>
      <w:rFonts w:eastAsiaTheme="minorHAnsi"/>
      <w:lang w:val="en-GB"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1C47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Headings"/>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731469">
      <w:bodyDiv w:val="1"/>
      <w:marLeft w:val="0"/>
      <w:marRight w:val="0"/>
      <w:marTop w:val="0"/>
      <w:marBottom w:val="0"/>
      <w:divBdr>
        <w:top w:val="none" w:sz="0" w:space="0" w:color="auto"/>
        <w:left w:val="none" w:sz="0" w:space="0" w:color="auto"/>
        <w:bottom w:val="none" w:sz="0" w:space="0" w:color="auto"/>
        <w:right w:val="none" w:sz="0" w:space="0" w:color="auto"/>
      </w:divBdr>
      <w:divsChild>
        <w:div w:id="1832015921">
          <w:marLeft w:val="0"/>
          <w:marRight w:val="0"/>
          <w:marTop w:val="0"/>
          <w:marBottom w:val="0"/>
          <w:divBdr>
            <w:top w:val="none" w:sz="0" w:space="0" w:color="auto"/>
            <w:left w:val="none" w:sz="0" w:space="0" w:color="auto"/>
            <w:bottom w:val="none" w:sz="0" w:space="0" w:color="auto"/>
            <w:right w:val="none" w:sz="0" w:space="0" w:color="auto"/>
          </w:divBdr>
          <w:divsChild>
            <w:div w:id="1404529119">
              <w:marLeft w:val="0"/>
              <w:marRight w:val="0"/>
              <w:marTop w:val="0"/>
              <w:marBottom w:val="0"/>
              <w:divBdr>
                <w:top w:val="none" w:sz="0" w:space="0" w:color="auto"/>
                <w:left w:val="none" w:sz="0" w:space="0" w:color="auto"/>
                <w:bottom w:val="none" w:sz="0" w:space="0" w:color="auto"/>
                <w:right w:val="none" w:sz="0" w:space="0" w:color="auto"/>
              </w:divBdr>
              <w:divsChild>
                <w:div w:id="1460030850">
                  <w:marLeft w:val="0"/>
                  <w:marRight w:val="0"/>
                  <w:marTop w:val="0"/>
                  <w:marBottom w:val="0"/>
                  <w:divBdr>
                    <w:top w:val="none" w:sz="0" w:space="0" w:color="auto"/>
                    <w:left w:val="none" w:sz="0" w:space="0" w:color="auto"/>
                    <w:bottom w:val="none" w:sz="0" w:space="0" w:color="auto"/>
                    <w:right w:val="none" w:sz="0" w:space="0" w:color="auto"/>
                  </w:divBdr>
                  <w:divsChild>
                    <w:div w:id="2054186325">
                      <w:marLeft w:val="0"/>
                      <w:marRight w:val="0"/>
                      <w:marTop w:val="0"/>
                      <w:marBottom w:val="0"/>
                      <w:divBdr>
                        <w:top w:val="none" w:sz="0" w:space="0" w:color="auto"/>
                        <w:left w:val="none" w:sz="0" w:space="0" w:color="auto"/>
                        <w:bottom w:val="none" w:sz="0" w:space="0" w:color="auto"/>
                        <w:right w:val="none" w:sz="0" w:space="0" w:color="auto"/>
                      </w:divBdr>
                      <w:divsChild>
                        <w:div w:id="1538661099">
                          <w:marLeft w:val="0"/>
                          <w:marRight w:val="0"/>
                          <w:marTop w:val="0"/>
                          <w:marBottom w:val="0"/>
                          <w:divBdr>
                            <w:top w:val="none" w:sz="0" w:space="0" w:color="auto"/>
                            <w:left w:val="none" w:sz="0" w:space="0" w:color="auto"/>
                            <w:bottom w:val="none" w:sz="0" w:space="0" w:color="auto"/>
                            <w:right w:val="none" w:sz="0" w:space="0" w:color="auto"/>
                          </w:divBdr>
                          <w:divsChild>
                            <w:div w:id="1131939409">
                              <w:marLeft w:val="0"/>
                              <w:marRight w:val="0"/>
                              <w:marTop w:val="0"/>
                              <w:marBottom w:val="0"/>
                              <w:divBdr>
                                <w:top w:val="none" w:sz="0" w:space="0" w:color="auto"/>
                                <w:left w:val="none" w:sz="0" w:space="0" w:color="auto"/>
                                <w:bottom w:val="none" w:sz="0" w:space="0" w:color="auto"/>
                                <w:right w:val="none" w:sz="0" w:space="0" w:color="auto"/>
                              </w:divBdr>
                              <w:divsChild>
                                <w:div w:id="475296665">
                                  <w:marLeft w:val="0"/>
                                  <w:marRight w:val="0"/>
                                  <w:marTop w:val="0"/>
                                  <w:marBottom w:val="0"/>
                                  <w:divBdr>
                                    <w:top w:val="none" w:sz="0" w:space="0" w:color="auto"/>
                                    <w:left w:val="none" w:sz="0" w:space="0" w:color="auto"/>
                                    <w:bottom w:val="none" w:sz="0" w:space="0" w:color="auto"/>
                                    <w:right w:val="none" w:sz="0" w:space="0" w:color="auto"/>
                                  </w:divBdr>
                                  <w:divsChild>
                                    <w:div w:id="1482580829">
                                      <w:marLeft w:val="0"/>
                                      <w:marRight w:val="0"/>
                                      <w:marTop w:val="0"/>
                                      <w:marBottom w:val="0"/>
                                      <w:divBdr>
                                        <w:top w:val="none" w:sz="0" w:space="0" w:color="auto"/>
                                        <w:left w:val="none" w:sz="0" w:space="0" w:color="auto"/>
                                        <w:bottom w:val="none" w:sz="0" w:space="0" w:color="auto"/>
                                        <w:right w:val="none" w:sz="0" w:space="0" w:color="auto"/>
                                      </w:divBdr>
                                      <w:divsChild>
                                        <w:div w:id="383942606">
                                          <w:marLeft w:val="0"/>
                                          <w:marRight w:val="0"/>
                                          <w:marTop w:val="0"/>
                                          <w:marBottom w:val="0"/>
                                          <w:divBdr>
                                            <w:top w:val="none" w:sz="0" w:space="0" w:color="auto"/>
                                            <w:left w:val="none" w:sz="0" w:space="0" w:color="auto"/>
                                            <w:bottom w:val="none" w:sz="0" w:space="0" w:color="auto"/>
                                            <w:right w:val="none" w:sz="0" w:space="0" w:color="auto"/>
                                          </w:divBdr>
                                          <w:divsChild>
                                            <w:div w:id="1341422463">
                                              <w:marLeft w:val="0"/>
                                              <w:marRight w:val="0"/>
                                              <w:marTop w:val="0"/>
                                              <w:marBottom w:val="0"/>
                                              <w:divBdr>
                                                <w:top w:val="none" w:sz="0" w:space="0" w:color="auto"/>
                                                <w:left w:val="none" w:sz="0" w:space="0" w:color="auto"/>
                                                <w:bottom w:val="none" w:sz="0" w:space="0" w:color="auto"/>
                                                <w:right w:val="none" w:sz="0" w:space="0" w:color="auto"/>
                                              </w:divBdr>
                                              <w:divsChild>
                                                <w:div w:id="280648810">
                                                  <w:marLeft w:val="0"/>
                                                  <w:marRight w:val="0"/>
                                                  <w:marTop w:val="0"/>
                                                  <w:marBottom w:val="0"/>
                                                  <w:divBdr>
                                                    <w:top w:val="none" w:sz="0" w:space="0" w:color="auto"/>
                                                    <w:left w:val="none" w:sz="0" w:space="0" w:color="auto"/>
                                                    <w:bottom w:val="none" w:sz="0" w:space="0" w:color="auto"/>
                                                    <w:right w:val="none" w:sz="0" w:space="0" w:color="auto"/>
                                                  </w:divBdr>
                                                  <w:divsChild>
                                                    <w:div w:id="1198349035">
                                                      <w:marLeft w:val="0"/>
                                                      <w:marRight w:val="0"/>
                                                      <w:marTop w:val="0"/>
                                                      <w:marBottom w:val="0"/>
                                                      <w:divBdr>
                                                        <w:top w:val="none" w:sz="0" w:space="0" w:color="auto"/>
                                                        <w:left w:val="none" w:sz="0" w:space="0" w:color="auto"/>
                                                        <w:bottom w:val="none" w:sz="0" w:space="0" w:color="auto"/>
                                                        <w:right w:val="none" w:sz="0" w:space="0" w:color="auto"/>
                                                      </w:divBdr>
                                                      <w:divsChild>
                                                        <w:div w:id="416631852">
                                                          <w:marLeft w:val="0"/>
                                                          <w:marRight w:val="0"/>
                                                          <w:marTop w:val="0"/>
                                                          <w:marBottom w:val="0"/>
                                                          <w:divBdr>
                                                            <w:top w:val="none" w:sz="0" w:space="0" w:color="auto"/>
                                                            <w:left w:val="none" w:sz="0" w:space="0" w:color="auto"/>
                                                            <w:bottom w:val="none" w:sz="0" w:space="0" w:color="auto"/>
                                                            <w:right w:val="none" w:sz="0" w:space="0" w:color="auto"/>
                                                          </w:divBdr>
                                                          <w:divsChild>
                                                            <w:div w:id="233126190">
                                                              <w:marLeft w:val="0"/>
                                                              <w:marRight w:val="0"/>
                                                              <w:marTop w:val="0"/>
                                                              <w:marBottom w:val="0"/>
                                                              <w:divBdr>
                                                                <w:top w:val="none" w:sz="0" w:space="0" w:color="auto"/>
                                                                <w:left w:val="none" w:sz="0" w:space="0" w:color="auto"/>
                                                                <w:bottom w:val="none" w:sz="0" w:space="0" w:color="auto"/>
                                                                <w:right w:val="none" w:sz="0" w:space="0" w:color="auto"/>
                                                              </w:divBdr>
                                                              <w:divsChild>
                                                                <w:div w:id="1306855151">
                                                                  <w:marLeft w:val="0"/>
                                                                  <w:marRight w:val="0"/>
                                                                  <w:marTop w:val="0"/>
                                                                  <w:marBottom w:val="0"/>
                                                                  <w:divBdr>
                                                                    <w:top w:val="none" w:sz="0" w:space="0" w:color="auto"/>
                                                                    <w:left w:val="none" w:sz="0" w:space="0" w:color="auto"/>
                                                                    <w:bottom w:val="none" w:sz="0" w:space="0" w:color="auto"/>
                                                                    <w:right w:val="none" w:sz="0" w:space="0" w:color="auto"/>
                                                                  </w:divBdr>
                                                                  <w:divsChild>
                                                                    <w:div w:id="1473206292">
                                                                      <w:marLeft w:val="0"/>
                                                                      <w:marRight w:val="0"/>
                                                                      <w:marTop w:val="0"/>
                                                                      <w:marBottom w:val="0"/>
                                                                      <w:divBdr>
                                                                        <w:top w:val="none" w:sz="0" w:space="0" w:color="auto"/>
                                                                        <w:left w:val="none" w:sz="0" w:space="0" w:color="auto"/>
                                                                        <w:bottom w:val="none" w:sz="0" w:space="0" w:color="auto"/>
                                                                        <w:right w:val="none" w:sz="0" w:space="0" w:color="auto"/>
                                                                      </w:divBdr>
                                                                      <w:divsChild>
                                                                        <w:div w:id="1673678176">
                                                                          <w:marLeft w:val="0"/>
                                                                          <w:marRight w:val="0"/>
                                                                          <w:marTop w:val="0"/>
                                                                          <w:marBottom w:val="0"/>
                                                                          <w:divBdr>
                                                                            <w:top w:val="none" w:sz="0" w:space="0" w:color="auto"/>
                                                                            <w:left w:val="none" w:sz="0" w:space="0" w:color="auto"/>
                                                                            <w:bottom w:val="none" w:sz="0" w:space="0" w:color="auto"/>
                                                                            <w:right w:val="none" w:sz="0" w:space="0" w:color="auto"/>
                                                                          </w:divBdr>
                                                                          <w:divsChild>
                                                                            <w:div w:id="435292043">
                                                                              <w:marLeft w:val="0"/>
                                                                              <w:marRight w:val="0"/>
                                                                              <w:marTop w:val="0"/>
                                                                              <w:marBottom w:val="0"/>
                                                                              <w:divBdr>
                                                                                <w:top w:val="none" w:sz="0" w:space="0" w:color="auto"/>
                                                                                <w:left w:val="none" w:sz="0" w:space="0" w:color="auto"/>
                                                                                <w:bottom w:val="none" w:sz="0" w:space="0" w:color="auto"/>
                                                                                <w:right w:val="none" w:sz="0" w:space="0" w:color="auto"/>
                                                                              </w:divBdr>
                                                                              <w:divsChild>
                                                                                <w:div w:id="1548566716">
                                                                                  <w:marLeft w:val="0"/>
                                                                                  <w:marRight w:val="0"/>
                                                                                  <w:marTop w:val="0"/>
                                                                                  <w:marBottom w:val="0"/>
                                                                                  <w:divBdr>
                                                                                    <w:top w:val="none" w:sz="0" w:space="0" w:color="auto"/>
                                                                                    <w:left w:val="none" w:sz="0" w:space="0" w:color="auto"/>
                                                                                    <w:bottom w:val="none" w:sz="0" w:space="0" w:color="auto"/>
                                                                                    <w:right w:val="none" w:sz="0" w:space="0" w:color="auto"/>
                                                                                  </w:divBdr>
                                                                                  <w:divsChild>
                                                                                    <w:div w:id="1950044777">
                                                                                      <w:marLeft w:val="0"/>
                                                                                      <w:marRight w:val="0"/>
                                                                                      <w:marTop w:val="0"/>
                                                                                      <w:marBottom w:val="0"/>
                                                                                      <w:divBdr>
                                                                                        <w:top w:val="none" w:sz="0" w:space="0" w:color="auto"/>
                                                                                        <w:left w:val="none" w:sz="0" w:space="0" w:color="auto"/>
                                                                                        <w:bottom w:val="none" w:sz="0" w:space="0" w:color="auto"/>
                                                                                        <w:right w:val="none" w:sz="0" w:space="0" w:color="auto"/>
                                                                                      </w:divBdr>
                                                                                      <w:divsChild>
                                                                                        <w:div w:id="57016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1379327">
      <w:bodyDiv w:val="1"/>
      <w:marLeft w:val="0"/>
      <w:marRight w:val="0"/>
      <w:marTop w:val="0"/>
      <w:marBottom w:val="0"/>
      <w:divBdr>
        <w:top w:val="none" w:sz="0" w:space="0" w:color="auto"/>
        <w:left w:val="none" w:sz="0" w:space="0" w:color="auto"/>
        <w:bottom w:val="none" w:sz="0" w:space="0" w:color="auto"/>
        <w:right w:val="none" w:sz="0" w:space="0" w:color="auto"/>
      </w:divBdr>
      <w:divsChild>
        <w:div w:id="1363896004">
          <w:marLeft w:val="0"/>
          <w:marRight w:val="0"/>
          <w:marTop w:val="0"/>
          <w:marBottom w:val="0"/>
          <w:divBdr>
            <w:top w:val="none" w:sz="0" w:space="0" w:color="auto"/>
            <w:left w:val="none" w:sz="0" w:space="0" w:color="auto"/>
            <w:bottom w:val="none" w:sz="0" w:space="0" w:color="auto"/>
            <w:right w:val="none" w:sz="0" w:space="0" w:color="auto"/>
          </w:divBdr>
          <w:divsChild>
            <w:div w:id="1403333626">
              <w:marLeft w:val="0"/>
              <w:marRight w:val="0"/>
              <w:marTop w:val="0"/>
              <w:marBottom w:val="0"/>
              <w:divBdr>
                <w:top w:val="none" w:sz="0" w:space="0" w:color="auto"/>
                <w:left w:val="none" w:sz="0" w:space="0" w:color="auto"/>
                <w:bottom w:val="none" w:sz="0" w:space="0" w:color="auto"/>
                <w:right w:val="none" w:sz="0" w:space="0" w:color="auto"/>
              </w:divBdr>
              <w:divsChild>
                <w:div w:id="2034184635">
                  <w:marLeft w:val="0"/>
                  <w:marRight w:val="0"/>
                  <w:marTop w:val="0"/>
                  <w:marBottom w:val="0"/>
                  <w:divBdr>
                    <w:top w:val="none" w:sz="0" w:space="0" w:color="auto"/>
                    <w:left w:val="none" w:sz="0" w:space="0" w:color="auto"/>
                    <w:bottom w:val="none" w:sz="0" w:space="0" w:color="auto"/>
                    <w:right w:val="none" w:sz="0" w:space="0" w:color="auto"/>
                  </w:divBdr>
                  <w:divsChild>
                    <w:div w:id="734357361">
                      <w:marLeft w:val="0"/>
                      <w:marRight w:val="0"/>
                      <w:marTop w:val="0"/>
                      <w:marBottom w:val="0"/>
                      <w:divBdr>
                        <w:top w:val="none" w:sz="0" w:space="0" w:color="auto"/>
                        <w:left w:val="none" w:sz="0" w:space="0" w:color="auto"/>
                        <w:bottom w:val="none" w:sz="0" w:space="0" w:color="auto"/>
                        <w:right w:val="none" w:sz="0" w:space="0" w:color="auto"/>
                      </w:divBdr>
                      <w:divsChild>
                        <w:div w:id="714040723">
                          <w:marLeft w:val="0"/>
                          <w:marRight w:val="0"/>
                          <w:marTop w:val="0"/>
                          <w:marBottom w:val="0"/>
                          <w:divBdr>
                            <w:top w:val="none" w:sz="0" w:space="0" w:color="auto"/>
                            <w:left w:val="none" w:sz="0" w:space="0" w:color="auto"/>
                            <w:bottom w:val="none" w:sz="0" w:space="0" w:color="auto"/>
                            <w:right w:val="none" w:sz="0" w:space="0" w:color="auto"/>
                          </w:divBdr>
                          <w:divsChild>
                            <w:div w:id="98568815">
                              <w:marLeft w:val="0"/>
                              <w:marRight w:val="0"/>
                              <w:marTop w:val="0"/>
                              <w:marBottom w:val="0"/>
                              <w:divBdr>
                                <w:top w:val="none" w:sz="0" w:space="0" w:color="auto"/>
                                <w:left w:val="none" w:sz="0" w:space="0" w:color="auto"/>
                                <w:bottom w:val="none" w:sz="0" w:space="0" w:color="auto"/>
                                <w:right w:val="none" w:sz="0" w:space="0" w:color="auto"/>
                              </w:divBdr>
                              <w:divsChild>
                                <w:div w:id="611785164">
                                  <w:marLeft w:val="0"/>
                                  <w:marRight w:val="0"/>
                                  <w:marTop w:val="0"/>
                                  <w:marBottom w:val="0"/>
                                  <w:divBdr>
                                    <w:top w:val="none" w:sz="0" w:space="0" w:color="auto"/>
                                    <w:left w:val="none" w:sz="0" w:space="0" w:color="auto"/>
                                    <w:bottom w:val="none" w:sz="0" w:space="0" w:color="auto"/>
                                    <w:right w:val="none" w:sz="0" w:space="0" w:color="auto"/>
                                  </w:divBdr>
                                  <w:divsChild>
                                    <w:div w:id="1302422306">
                                      <w:marLeft w:val="0"/>
                                      <w:marRight w:val="0"/>
                                      <w:marTop w:val="0"/>
                                      <w:marBottom w:val="0"/>
                                      <w:divBdr>
                                        <w:top w:val="none" w:sz="0" w:space="0" w:color="auto"/>
                                        <w:left w:val="none" w:sz="0" w:space="0" w:color="auto"/>
                                        <w:bottom w:val="none" w:sz="0" w:space="0" w:color="auto"/>
                                        <w:right w:val="none" w:sz="0" w:space="0" w:color="auto"/>
                                      </w:divBdr>
                                      <w:divsChild>
                                        <w:div w:id="192228042">
                                          <w:marLeft w:val="0"/>
                                          <w:marRight w:val="0"/>
                                          <w:marTop w:val="0"/>
                                          <w:marBottom w:val="0"/>
                                          <w:divBdr>
                                            <w:top w:val="none" w:sz="0" w:space="0" w:color="auto"/>
                                            <w:left w:val="none" w:sz="0" w:space="0" w:color="auto"/>
                                            <w:bottom w:val="none" w:sz="0" w:space="0" w:color="auto"/>
                                            <w:right w:val="none" w:sz="0" w:space="0" w:color="auto"/>
                                          </w:divBdr>
                                          <w:divsChild>
                                            <w:div w:id="818763781">
                                              <w:marLeft w:val="0"/>
                                              <w:marRight w:val="0"/>
                                              <w:marTop w:val="0"/>
                                              <w:marBottom w:val="0"/>
                                              <w:divBdr>
                                                <w:top w:val="none" w:sz="0" w:space="0" w:color="auto"/>
                                                <w:left w:val="none" w:sz="0" w:space="0" w:color="auto"/>
                                                <w:bottom w:val="none" w:sz="0" w:space="0" w:color="auto"/>
                                                <w:right w:val="none" w:sz="0" w:space="0" w:color="auto"/>
                                              </w:divBdr>
                                              <w:divsChild>
                                                <w:div w:id="25876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comments" Target="comments.xml"/><Relationship Id="rId19" Type="http://schemas.openxmlformats.org/officeDocument/2006/relationships/image" Target="media/image9.jpe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6C23B8-4AD1-4189-88E9-5F3EDDFE9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50</Pages>
  <Words>26245</Words>
  <Characters>149597</Characters>
  <Application>Microsoft Office Word</Application>
  <DocSecurity>0</DocSecurity>
  <Lines>1246</Lines>
  <Paragraphs>350</Paragraphs>
  <ScaleCrop>false</ScaleCrop>
  <HeadingPairs>
    <vt:vector size="2" baseType="variant">
      <vt:variant>
        <vt:lpstr>Title</vt:lpstr>
      </vt:variant>
      <vt:variant>
        <vt:i4>1</vt:i4>
      </vt:variant>
    </vt:vector>
  </HeadingPairs>
  <TitlesOfParts>
    <vt:vector size="1" baseType="lpstr">
      <vt:lpstr/>
    </vt:vector>
  </TitlesOfParts>
  <Company>Your Company Name</Company>
  <LinksUpToDate>false</LinksUpToDate>
  <CharactersWithSpaces>175492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Minton</dc:creator>
  <cp:lastModifiedBy>Jon Minton</cp:lastModifiedBy>
  <cp:revision>17</cp:revision>
  <cp:lastPrinted>2012-12-30T16:52:00Z</cp:lastPrinted>
  <dcterms:created xsi:type="dcterms:W3CDTF">2012-10-15T14:18:00Z</dcterms:created>
  <dcterms:modified xsi:type="dcterms:W3CDTF">2013-01-02T14:54:00Z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http://www.zotero.org/styles/bmj</vt:lpwstr>
  </property>
  <property fmtid="{D5CDD505-2E9C-101B-9397-08002B2CF9AE}" pid="3" name="Mendeley Document_1">
    <vt:lpwstr>True</vt:lpwstr>
  </property>
  <property fmtid="{D5CDD505-2E9C-101B-9397-08002B2CF9AE}" pid="4" name="Mendeley User Name_1">
    <vt:lpwstr>j.minton@sheffield.ac.uk@www.mendeley.com</vt:lpwstr>
  </property>
  <property fmtid="{D5CDD505-2E9C-101B-9397-08002B2CF9AE}" pid="5" name="Mendeley Recent Style Name 0_1">
    <vt:lpwstr>American Political Science Association</vt:lpwstr>
  </property>
  <property fmtid="{D5CDD505-2E9C-101B-9397-08002B2CF9AE}" pid="6" name="Mendeley Recent Style Id 0_1">
    <vt:lpwstr>http://www.zotero.org/styles/apsa</vt:lpwstr>
  </property>
  <property fmtid="{D5CDD505-2E9C-101B-9397-08002B2CF9AE}" pid="7" name="Mendeley Recent Style Name 1_1">
    <vt:lpwstr>American Psychological Association 6th Edition</vt:lpwstr>
  </property>
  <property fmtid="{D5CDD505-2E9C-101B-9397-08002B2CF9AE}" pid="8" name="Mendeley Recent Style Id 1_1">
    <vt:lpwstr>http://www.zotero.org/styles/apa</vt:lpwstr>
  </property>
  <property fmtid="{D5CDD505-2E9C-101B-9397-08002B2CF9AE}" pid="9" name="Mendeley Recent Style Name 2_1">
    <vt:lpwstr>American Sociological Association</vt:lpwstr>
  </property>
  <property fmtid="{D5CDD505-2E9C-101B-9397-08002B2CF9AE}" pid="10" name="Mendeley Recent Style Id 2_1">
    <vt:lpwstr>http://www.zotero.org/styles/asa</vt:lpwstr>
  </property>
  <property fmtid="{D5CDD505-2E9C-101B-9397-08002B2CF9AE}" pid="11" name="Mendeley Recent Style Name 3_1">
    <vt:lpwstr>BMJ</vt:lpwstr>
  </property>
  <property fmtid="{D5CDD505-2E9C-101B-9397-08002B2CF9AE}" pid="12" name="Mendeley Recent Style Id 3_1">
    <vt:lpwstr>http://www.zotero.org/styles/bmj</vt:lpwstr>
  </property>
  <property fmtid="{D5CDD505-2E9C-101B-9397-08002B2CF9AE}" pid="13" name="Mendeley Recent Style Name 4_1">
    <vt:lpwstr>Chicago Manual of Style (author-date)</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Vancouver</vt:lpwstr>
  </property>
  <property fmtid="{D5CDD505-2E9C-101B-9397-08002B2CF9AE}" pid="24" name="Mendeley Recent Style Id 9_1">
    <vt:lpwstr>http://www.zotero.org/styles/vancouver</vt:lpwstr>
  </property>
</Properties>
</file>